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BF47B4" w:rsidP="00290C63">
          <w:r w:rsidRPr="00BF47B4">
            <w:rPr>
              <w:noProof/>
              <w:lang w:eastAsia="en-AU"/>
            </w:rPr>
            <w:drawing>
              <wp:anchor distT="0" distB="0" distL="114300" distR="114300" simplePos="0" relativeHeight="251663360" behindDoc="1" locked="0" layoutInCell="1" allowOverlap="1" wp14:anchorId="3CEC8751" wp14:editId="590FFB3A">
                <wp:simplePos x="0" y="0"/>
                <wp:positionH relativeFrom="column">
                  <wp:posOffset>-1140445</wp:posOffset>
                </wp:positionH>
                <wp:positionV relativeFrom="paragraph">
                  <wp:posOffset>-903767</wp:posOffset>
                </wp:positionV>
                <wp:extent cx="8878186" cy="10855841"/>
                <wp:effectExtent l="0" t="0" r="0" b="3175"/>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8773" cy="10856559"/>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B04B4C" w:rsidRDefault="00B04B4C" w:rsidP="00F171E0"/>
        <w:p w:rsidR="00F171E0" w:rsidRDefault="00F171E0" w:rsidP="00F171E0"/>
        <w:p w:rsidR="00327A1E" w:rsidRDefault="001754EE" w:rsidP="001754EE">
          <w:pPr>
            <w:pStyle w:val="ReportSubtitle"/>
            <w:tabs>
              <w:tab w:val="left" w:pos="1122"/>
              <w:tab w:val="center" w:pos="4238"/>
            </w:tabs>
            <w:jc w:val="left"/>
          </w:pPr>
          <w:r>
            <w:tab/>
          </w:r>
          <w:r>
            <w:tab/>
          </w:r>
          <w:r w:rsidR="00A2303E">
            <w:t>FINAL</w:t>
          </w:r>
          <w:r w:rsidR="00DA4752">
            <w:t xml:space="preserve"> DECISION</w:t>
          </w:r>
        </w:p>
        <w:p w:rsidR="00415F31" w:rsidRDefault="00BE3A7E" w:rsidP="008F07A3">
          <w:pPr>
            <w:pStyle w:val="ReportSubtitle"/>
          </w:pPr>
          <w:r>
            <w:t>Australian Gas Networks</w:t>
          </w:r>
          <w:r w:rsidR="00CF2C05">
            <w:br/>
            <w:t>Access Arrangement</w:t>
          </w:r>
        </w:p>
        <w:p w:rsidR="000A6C7B" w:rsidRDefault="005C0A7F" w:rsidP="008F07A3">
          <w:pPr>
            <w:pStyle w:val="ReportSubtitle"/>
          </w:pPr>
          <w:r>
            <w:t>20</w:t>
          </w:r>
          <w:r w:rsidR="00DA4752">
            <w:t xml:space="preserve">16 to </w:t>
          </w:r>
          <w:r w:rsidR="00A06085">
            <w:t>2021</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C54434">
            <w:t>3</w:t>
          </w:r>
          <w:r w:rsidR="00DA4752">
            <w:t xml:space="preserve"> </w:t>
          </w:r>
          <w:r w:rsidR="00415F31">
            <w:rPr>
              <w:rFonts w:cs="Arial"/>
            </w:rPr>
            <w:t>–</w:t>
          </w:r>
          <w:r w:rsidR="00DA4752">
            <w:t xml:space="preserve"> </w:t>
          </w:r>
          <w:r w:rsidR="00C54434">
            <w:t>Rate of return</w:t>
          </w:r>
        </w:p>
        <w:p w:rsidR="000A6C7B" w:rsidRPr="00327A1E" w:rsidRDefault="00334901" w:rsidP="00327A1E">
          <w:pPr>
            <w:pStyle w:val="ReportDate"/>
          </w:pPr>
          <w:r>
            <w:t>May</w:t>
          </w:r>
          <w:r w:rsidR="005C0A7F">
            <w:t xml:space="preserve"> </w:t>
          </w:r>
          <w:r w:rsidR="00A2303E">
            <w:t>2016</w:t>
          </w:r>
        </w:p>
      </w:sdtContent>
    </w:sdt>
    <w:p w:rsidR="00327A1E" w:rsidRPr="00290C63" w:rsidRDefault="00327A1E" w:rsidP="00290C63">
      <w:r>
        <w:br w:type="page"/>
      </w:r>
    </w:p>
    <w:p w:rsidR="000A6C7B" w:rsidRDefault="00F44991"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51943765"/>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846126" w:rsidRPr="00846126" w:rsidRDefault="00846126" w:rsidP="00846126">
      <w:r w:rsidRPr="00846126">
        <w:t>This attachment forms part of the AER's final decision on the access arrangement for Australian Gas Networks South Australian distribution network for 2016–21. It should be read with all other parts of the final decision.</w:t>
      </w:r>
    </w:p>
    <w:p w:rsidR="00415F31" w:rsidRDefault="00415F31" w:rsidP="00846126">
      <w:r>
        <w:t xml:space="preserve">The </w:t>
      </w:r>
      <w:r w:rsidR="00A2303E">
        <w:t>final</w:t>
      </w:r>
      <w:r w:rsidR="005C0A7F">
        <w:t xml:space="preserve"> </w:t>
      </w:r>
      <w:r>
        <w:t>decision includes the following documents:</w:t>
      </w:r>
    </w:p>
    <w:p w:rsidR="00415F31" w:rsidRDefault="00415F31" w:rsidP="00846126">
      <w:r>
        <w:t>Overview</w:t>
      </w:r>
    </w:p>
    <w:p w:rsidR="0070011E" w:rsidRDefault="0070011E" w:rsidP="00846126">
      <w:r>
        <w:t xml:space="preserve">Attachment 1 - </w:t>
      </w:r>
      <w:r w:rsidR="00EE77FA">
        <w:t>Services covered by the access arrangement</w:t>
      </w:r>
    </w:p>
    <w:p w:rsidR="0070011E" w:rsidRDefault="0070011E" w:rsidP="00846126">
      <w:r>
        <w:t xml:space="preserve">Attachment 2 - </w:t>
      </w:r>
      <w:r w:rsidR="00EE77FA">
        <w:t>Capital base</w:t>
      </w:r>
    </w:p>
    <w:p w:rsidR="0070011E" w:rsidRDefault="0070011E" w:rsidP="00846126">
      <w:r>
        <w:t xml:space="preserve">Attachment 3 - </w:t>
      </w:r>
      <w:r w:rsidR="00EE77FA">
        <w:t>R</w:t>
      </w:r>
      <w:r>
        <w:t>ate of return</w:t>
      </w:r>
    </w:p>
    <w:p w:rsidR="0070011E" w:rsidRDefault="0070011E" w:rsidP="00846126">
      <w:r>
        <w:t>Attachment 4 - Value of imputation credits</w:t>
      </w:r>
    </w:p>
    <w:p w:rsidR="0070011E" w:rsidRDefault="0070011E" w:rsidP="00846126">
      <w:r>
        <w:t>Attachment 5 - Regulatory depreciation</w:t>
      </w:r>
    </w:p>
    <w:p w:rsidR="0070011E" w:rsidRDefault="0070011E" w:rsidP="00846126">
      <w:r>
        <w:t xml:space="preserve">Attachment 6 - Capital expenditure </w:t>
      </w:r>
    </w:p>
    <w:p w:rsidR="0070011E" w:rsidRDefault="0070011E" w:rsidP="00846126">
      <w:r>
        <w:t>Attachment 7 - Operating expenditure</w:t>
      </w:r>
    </w:p>
    <w:p w:rsidR="0070011E" w:rsidRDefault="0070011E" w:rsidP="00846126">
      <w:r>
        <w:t>Attachment 8 - Corporate income tax</w:t>
      </w:r>
    </w:p>
    <w:p w:rsidR="0070011E" w:rsidRDefault="0070011E" w:rsidP="00846126">
      <w:r>
        <w:t xml:space="preserve">Attachment 9 - Efficiency </w:t>
      </w:r>
      <w:r w:rsidR="00EE77FA">
        <w:t>carryover mechanism</w:t>
      </w:r>
    </w:p>
    <w:p w:rsidR="0070011E" w:rsidRDefault="0070011E" w:rsidP="00846126">
      <w:r>
        <w:t xml:space="preserve">Attachment 10 - </w:t>
      </w:r>
      <w:r w:rsidR="00EE77FA">
        <w:t>Reference tariff setting</w:t>
      </w:r>
    </w:p>
    <w:p w:rsidR="0070011E" w:rsidRDefault="0070011E" w:rsidP="00846126">
      <w:r>
        <w:t xml:space="preserve">Attachment 11 - </w:t>
      </w:r>
      <w:r w:rsidR="00EE77FA">
        <w:t>Reference tariff variation mechanism</w:t>
      </w:r>
    </w:p>
    <w:p w:rsidR="0070011E" w:rsidRDefault="0070011E" w:rsidP="00846126">
      <w:r>
        <w:t xml:space="preserve">Attachment 12 - </w:t>
      </w:r>
      <w:r w:rsidR="00EE77FA">
        <w:t>Non-tariff components</w:t>
      </w:r>
    </w:p>
    <w:p w:rsidR="0070011E" w:rsidRDefault="0070011E" w:rsidP="00846126">
      <w:r>
        <w:t xml:space="preserve">Attachment 13 - </w:t>
      </w:r>
      <w:r w:rsidR="00EE77FA">
        <w:t>Demand</w:t>
      </w:r>
    </w:p>
    <w:p w:rsidR="00BE3A7E" w:rsidRDefault="00BE3A7E" w:rsidP="00846126">
      <w:r>
        <w:t>Attachment 14 - Other incentive schemes</w:t>
      </w:r>
    </w:p>
    <w:p w:rsidR="00DE563D" w:rsidRPr="00A72B34" w:rsidRDefault="00DE563D" w:rsidP="00DE772C">
      <w:pPr>
        <w:pStyle w:val="UnnumberedHeading"/>
        <w:numPr>
          <w:ilvl w:val="0"/>
          <w:numId w:val="23"/>
        </w:numPr>
      </w:pPr>
      <w:bookmarkStart w:id="6" w:name="_Toc403144133"/>
      <w:bookmarkStart w:id="7" w:name="_Toc451943766"/>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896136" w:rsidRDefault="0089613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 </w:instrText>
          </w:r>
          <w:r>
            <w:rPr>
              <w:color w:val="auto"/>
              <w:sz w:val="22"/>
            </w:rPr>
            <w:fldChar w:fldCharType="separate"/>
          </w:r>
          <w:hyperlink w:anchor="_Toc451943765" w:history="1">
            <w:r w:rsidRPr="00220D79">
              <w:rPr>
                <w:rStyle w:val="Hyperlink"/>
              </w:rPr>
              <w:t>Note</w:t>
            </w:r>
            <w:r>
              <w:rPr>
                <w:webHidden/>
              </w:rPr>
              <w:tab/>
            </w:r>
            <w:r>
              <w:rPr>
                <w:webHidden/>
              </w:rPr>
              <w:fldChar w:fldCharType="begin"/>
            </w:r>
            <w:r>
              <w:rPr>
                <w:webHidden/>
              </w:rPr>
              <w:instrText xml:space="preserve"> PAGEREF _Toc451943765 \h </w:instrText>
            </w:r>
            <w:r>
              <w:rPr>
                <w:webHidden/>
              </w:rPr>
            </w:r>
            <w:r>
              <w:rPr>
                <w:webHidden/>
              </w:rPr>
              <w:fldChar w:fldCharType="separate"/>
            </w:r>
            <w:r>
              <w:rPr>
                <w:webHidden/>
              </w:rPr>
              <w:t>3-2</w:t>
            </w:r>
            <w:r>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66" w:history="1">
            <w:r w:rsidR="00896136" w:rsidRPr="00220D79">
              <w:rPr>
                <w:rStyle w:val="Hyperlink"/>
              </w:rPr>
              <w:t>Contents</w:t>
            </w:r>
            <w:r w:rsidR="00896136">
              <w:rPr>
                <w:webHidden/>
              </w:rPr>
              <w:tab/>
            </w:r>
            <w:r w:rsidR="00896136">
              <w:rPr>
                <w:webHidden/>
              </w:rPr>
              <w:fldChar w:fldCharType="begin"/>
            </w:r>
            <w:r w:rsidR="00896136">
              <w:rPr>
                <w:webHidden/>
              </w:rPr>
              <w:instrText xml:space="preserve"> PAGEREF _Toc451943766 \h </w:instrText>
            </w:r>
            <w:r w:rsidR="00896136">
              <w:rPr>
                <w:webHidden/>
              </w:rPr>
            </w:r>
            <w:r w:rsidR="00896136">
              <w:rPr>
                <w:webHidden/>
              </w:rPr>
              <w:fldChar w:fldCharType="separate"/>
            </w:r>
            <w:r w:rsidR="00896136">
              <w:rPr>
                <w:webHidden/>
              </w:rPr>
              <w:t>3-3</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67" w:history="1">
            <w:r w:rsidR="00896136" w:rsidRPr="00220D79">
              <w:rPr>
                <w:rStyle w:val="Hyperlink"/>
              </w:rPr>
              <w:t>Shortened forms</w:t>
            </w:r>
            <w:r w:rsidR="00896136">
              <w:rPr>
                <w:webHidden/>
              </w:rPr>
              <w:tab/>
            </w:r>
            <w:r w:rsidR="00896136">
              <w:rPr>
                <w:webHidden/>
              </w:rPr>
              <w:fldChar w:fldCharType="begin"/>
            </w:r>
            <w:r w:rsidR="00896136">
              <w:rPr>
                <w:webHidden/>
              </w:rPr>
              <w:instrText xml:space="preserve"> PAGEREF _Toc451943767 \h </w:instrText>
            </w:r>
            <w:r w:rsidR="00896136">
              <w:rPr>
                <w:webHidden/>
              </w:rPr>
            </w:r>
            <w:r w:rsidR="00896136">
              <w:rPr>
                <w:webHidden/>
              </w:rPr>
              <w:fldChar w:fldCharType="separate"/>
            </w:r>
            <w:r w:rsidR="00896136">
              <w:rPr>
                <w:webHidden/>
              </w:rPr>
              <w:t>3-6</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68" w:history="1">
            <w:r w:rsidR="00896136" w:rsidRPr="00220D79">
              <w:rPr>
                <w:rStyle w:val="Hyperlink"/>
              </w:rPr>
              <w:t>3</w:t>
            </w:r>
            <w:r w:rsidR="00896136">
              <w:rPr>
                <w:rFonts w:asciiTheme="minorHAnsi" w:eastAsiaTheme="minorEastAsia" w:hAnsiTheme="minorHAnsi"/>
                <w:b w:val="0"/>
                <w:color w:val="auto"/>
                <w:sz w:val="22"/>
                <w:lang w:val="en-AU" w:eastAsia="en-AU"/>
              </w:rPr>
              <w:tab/>
            </w:r>
            <w:r w:rsidR="00896136" w:rsidRPr="00220D79">
              <w:rPr>
                <w:rStyle w:val="Hyperlink"/>
              </w:rPr>
              <w:t>Rate of return</w:t>
            </w:r>
            <w:r w:rsidR="00896136">
              <w:rPr>
                <w:webHidden/>
              </w:rPr>
              <w:tab/>
            </w:r>
            <w:r w:rsidR="00896136">
              <w:rPr>
                <w:webHidden/>
              </w:rPr>
              <w:fldChar w:fldCharType="begin"/>
            </w:r>
            <w:r w:rsidR="00896136">
              <w:rPr>
                <w:webHidden/>
              </w:rPr>
              <w:instrText xml:space="preserve"> PAGEREF _Toc451943768 \h </w:instrText>
            </w:r>
            <w:r w:rsidR="00896136">
              <w:rPr>
                <w:webHidden/>
              </w:rPr>
            </w:r>
            <w:r w:rsidR="00896136">
              <w:rPr>
                <w:webHidden/>
              </w:rPr>
              <w:fldChar w:fldCharType="separate"/>
            </w:r>
            <w:r w:rsidR="00896136">
              <w:rPr>
                <w:webHidden/>
              </w:rPr>
              <w:t>3-8</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69" w:history="1">
            <w:r w:rsidR="00896136" w:rsidRPr="00220D79">
              <w:rPr>
                <w:rStyle w:val="Hyperlink"/>
              </w:rPr>
              <w:t>3.1</w:t>
            </w:r>
            <w:r w:rsidR="00896136">
              <w:rPr>
                <w:rFonts w:asciiTheme="minorHAnsi" w:eastAsiaTheme="minorEastAsia" w:hAnsiTheme="minorHAnsi"/>
                <w:b w:val="0"/>
                <w:color w:val="auto"/>
                <w:sz w:val="22"/>
                <w:lang w:eastAsia="en-AU"/>
              </w:rPr>
              <w:tab/>
            </w:r>
            <w:r w:rsidR="00896136" w:rsidRPr="00220D79">
              <w:rPr>
                <w:rStyle w:val="Hyperlink"/>
              </w:rPr>
              <w:t>Final decision</w:t>
            </w:r>
            <w:r w:rsidR="00896136">
              <w:rPr>
                <w:webHidden/>
              </w:rPr>
              <w:tab/>
            </w:r>
            <w:r w:rsidR="00896136">
              <w:rPr>
                <w:webHidden/>
              </w:rPr>
              <w:fldChar w:fldCharType="begin"/>
            </w:r>
            <w:r w:rsidR="00896136">
              <w:rPr>
                <w:webHidden/>
              </w:rPr>
              <w:instrText xml:space="preserve"> PAGEREF _Toc451943769 \h </w:instrText>
            </w:r>
            <w:r w:rsidR="00896136">
              <w:rPr>
                <w:webHidden/>
              </w:rPr>
            </w:r>
            <w:r w:rsidR="00896136">
              <w:rPr>
                <w:webHidden/>
              </w:rPr>
              <w:fldChar w:fldCharType="separate"/>
            </w:r>
            <w:r w:rsidR="00896136">
              <w:rPr>
                <w:webHidden/>
              </w:rPr>
              <w:t>3-8</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70" w:history="1">
            <w:r w:rsidR="00896136" w:rsidRPr="00220D79">
              <w:rPr>
                <w:rStyle w:val="Hyperlink"/>
              </w:rPr>
              <w:t>3.2</w:t>
            </w:r>
            <w:r w:rsidR="00896136">
              <w:rPr>
                <w:rFonts w:asciiTheme="minorHAnsi" w:eastAsiaTheme="minorEastAsia" w:hAnsiTheme="minorHAnsi"/>
                <w:b w:val="0"/>
                <w:color w:val="auto"/>
                <w:sz w:val="22"/>
                <w:lang w:eastAsia="en-AU"/>
              </w:rPr>
              <w:tab/>
            </w:r>
            <w:r w:rsidR="00896136" w:rsidRPr="00220D79">
              <w:rPr>
                <w:rStyle w:val="Hyperlink"/>
              </w:rPr>
              <w:t>AGN's revised proposal</w:t>
            </w:r>
            <w:r w:rsidR="00896136">
              <w:rPr>
                <w:webHidden/>
              </w:rPr>
              <w:tab/>
            </w:r>
            <w:r w:rsidR="00896136">
              <w:rPr>
                <w:webHidden/>
              </w:rPr>
              <w:fldChar w:fldCharType="begin"/>
            </w:r>
            <w:r w:rsidR="00896136">
              <w:rPr>
                <w:webHidden/>
              </w:rPr>
              <w:instrText xml:space="preserve"> PAGEREF _Toc451943770 \h </w:instrText>
            </w:r>
            <w:r w:rsidR="00896136">
              <w:rPr>
                <w:webHidden/>
              </w:rPr>
            </w:r>
            <w:r w:rsidR="00896136">
              <w:rPr>
                <w:webHidden/>
              </w:rPr>
              <w:fldChar w:fldCharType="separate"/>
            </w:r>
            <w:r w:rsidR="00896136">
              <w:rPr>
                <w:webHidden/>
              </w:rPr>
              <w:t>3-13</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71" w:history="1">
            <w:r w:rsidR="00896136" w:rsidRPr="00220D79">
              <w:rPr>
                <w:rStyle w:val="Hyperlink"/>
              </w:rPr>
              <w:t>3.3</w:t>
            </w:r>
            <w:r w:rsidR="00896136">
              <w:rPr>
                <w:rFonts w:asciiTheme="minorHAnsi" w:eastAsiaTheme="minorEastAsia" w:hAnsiTheme="minorHAnsi"/>
                <w:b w:val="0"/>
                <w:color w:val="auto"/>
                <w:sz w:val="22"/>
                <w:lang w:eastAsia="en-AU"/>
              </w:rPr>
              <w:tab/>
            </w:r>
            <w:r w:rsidR="00896136" w:rsidRPr="00220D79">
              <w:rPr>
                <w:rStyle w:val="Hyperlink"/>
              </w:rPr>
              <w:t>Assessment approach</w:t>
            </w:r>
            <w:r w:rsidR="00896136">
              <w:rPr>
                <w:webHidden/>
              </w:rPr>
              <w:tab/>
            </w:r>
            <w:r w:rsidR="00896136">
              <w:rPr>
                <w:webHidden/>
              </w:rPr>
              <w:fldChar w:fldCharType="begin"/>
            </w:r>
            <w:r w:rsidR="00896136">
              <w:rPr>
                <w:webHidden/>
              </w:rPr>
              <w:instrText xml:space="preserve"> PAGEREF _Toc451943771 \h </w:instrText>
            </w:r>
            <w:r w:rsidR="00896136">
              <w:rPr>
                <w:webHidden/>
              </w:rPr>
            </w:r>
            <w:r w:rsidR="00896136">
              <w:rPr>
                <w:webHidden/>
              </w:rPr>
              <w:fldChar w:fldCharType="separate"/>
            </w:r>
            <w:r w:rsidR="00896136">
              <w:rPr>
                <w:webHidden/>
              </w:rPr>
              <w:t>3-14</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2" w:history="1">
            <w:r w:rsidR="00896136" w:rsidRPr="00220D79">
              <w:rPr>
                <w:rStyle w:val="Hyperlink"/>
              </w:rPr>
              <w:t>3.3.1</w:t>
            </w:r>
            <w:r w:rsidR="00896136">
              <w:rPr>
                <w:rFonts w:asciiTheme="minorHAnsi" w:eastAsiaTheme="minorEastAsia" w:hAnsiTheme="minorHAnsi"/>
                <w:lang w:eastAsia="en-AU"/>
              </w:rPr>
              <w:tab/>
            </w:r>
            <w:r w:rsidR="00896136" w:rsidRPr="00220D79">
              <w:rPr>
                <w:rStyle w:val="Hyperlink"/>
              </w:rPr>
              <w:t>National gas law</w:t>
            </w:r>
            <w:r w:rsidR="00896136">
              <w:rPr>
                <w:webHidden/>
              </w:rPr>
              <w:tab/>
            </w:r>
            <w:r w:rsidR="00896136">
              <w:rPr>
                <w:webHidden/>
              </w:rPr>
              <w:fldChar w:fldCharType="begin"/>
            </w:r>
            <w:r w:rsidR="00896136">
              <w:rPr>
                <w:webHidden/>
              </w:rPr>
              <w:instrText xml:space="preserve"> PAGEREF _Toc451943772 \h </w:instrText>
            </w:r>
            <w:r w:rsidR="00896136">
              <w:rPr>
                <w:webHidden/>
              </w:rPr>
            </w:r>
            <w:r w:rsidR="00896136">
              <w:rPr>
                <w:webHidden/>
              </w:rPr>
              <w:fldChar w:fldCharType="separate"/>
            </w:r>
            <w:r w:rsidR="00896136">
              <w:rPr>
                <w:webHidden/>
              </w:rPr>
              <w:t>3-14</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3" w:history="1">
            <w:r w:rsidR="00896136" w:rsidRPr="00220D79">
              <w:rPr>
                <w:rStyle w:val="Hyperlink"/>
              </w:rPr>
              <w:t>3.3.2</w:t>
            </w:r>
            <w:r w:rsidR="00896136">
              <w:rPr>
                <w:rFonts w:asciiTheme="minorHAnsi" w:eastAsiaTheme="minorEastAsia" w:hAnsiTheme="minorHAnsi"/>
                <w:lang w:eastAsia="en-AU"/>
              </w:rPr>
              <w:tab/>
            </w:r>
            <w:r w:rsidR="00896136" w:rsidRPr="00220D79">
              <w:rPr>
                <w:rStyle w:val="Hyperlink"/>
              </w:rPr>
              <w:t>The overall rate of return</w:t>
            </w:r>
            <w:r w:rsidR="00896136">
              <w:rPr>
                <w:webHidden/>
              </w:rPr>
              <w:tab/>
            </w:r>
            <w:r w:rsidR="00896136">
              <w:rPr>
                <w:webHidden/>
              </w:rPr>
              <w:fldChar w:fldCharType="begin"/>
            </w:r>
            <w:r w:rsidR="00896136">
              <w:rPr>
                <w:webHidden/>
              </w:rPr>
              <w:instrText xml:space="preserve"> PAGEREF _Toc451943773 \h </w:instrText>
            </w:r>
            <w:r w:rsidR="00896136">
              <w:rPr>
                <w:webHidden/>
              </w:rPr>
            </w:r>
            <w:r w:rsidR="00896136">
              <w:rPr>
                <w:webHidden/>
              </w:rPr>
              <w:fldChar w:fldCharType="separate"/>
            </w:r>
            <w:r w:rsidR="00896136">
              <w:rPr>
                <w:webHidden/>
              </w:rPr>
              <w:t>3-15</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4" w:history="1">
            <w:r w:rsidR="00896136" w:rsidRPr="00220D79">
              <w:rPr>
                <w:rStyle w:val="Hyperlink"/>
              </w:rPr>
              <w:t>3.3.3</w:t>
            </w:r>
            <w:r w:rsidR="00896136">
              <w:rPr>
                <w:rFonts w:asciiTheme="minorHAnsi" w:eastAsiaTheme="minorEastAsia" w:hAnsiTheme="minorHAnsi"/>
                <w:lang w:eastAsia="en-AU"/>
              </w:rPr>
              <w:tab/>
            </w:r>
            <w:r w:rsidR="00896136" w:rsidRPr="00220D79">
              <w:rPr>
                <w:rStyle w:val="Hyperlink"/>
              </w:rPr>
              <w:t>Allowed rate of return objective</w:t>
            </w:r>
            <w:r w:rsidR="00896136">
              <w:rPr>
                <w:webHidden/>
              </w:rPr>
              <w:tab/>
            </w:r>
            <w:r w:rsidR="00896136">
              <w:rPr>
                <w:webHidden/>
              </w:rPr>
              <w:fldChar w:fldCharType="begin"/>
            </w:r>
            <w:r w:rsidR="00896136">
              <w:rPr>
                <w:webHidden/>
              </w:rPr>
              <w:instrText xml:space="preserve"> PAGEREF _Toc451943774 \h </w:instrText>
            </w:r>
            <w:r w:rsidR="00896136">
              <w:rPr>
                <w:webHidden/>
              </w:rPr>
            </w:r>
            <w:r w:rsidR="00896136">
              <w:rPr>
                <w:webHidden/>
              </w:rPr>
              <w:fldChar w:fldCharType="separate"/>
            </w:r>
            <w:r w:rsidR="00896136">
              <w:rPr>
                <w:webHidden/>
              </w:rPr>
              <w:t>3-16</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5" w:history="1">
            <w:r w:rsidR="00896136" w:rsidRPr="00220D79">
              <w:rPr>
                <w:rStyle w:val="Hyperlink"/>
              </w:rPr>
              <w:t>3.3.4</w:t>
            </w:r>
            <w:r w:rsidR="00896136">
              <w:rPr>
                <w:rFonts w:asciiTheme="minorHAnsi" w:eastAsiaTheme="minorEastAsia" w:hAnsiTheme="minorHAnsi"/>
                <w:lang w:eastAsia="en-AU"/>
              </w:rPr>
              <w:tab/>
            </w:r>
            <w:r w:rsidR="00896136" w:rsidRPr="00220D79">
              <w:rPr>
                <w:rStyle w:val="Hyperlink"/>
              </w:rPr>
              <w:t>Return on debt factors in the rules</w:t>
            </w:r>
            <w:r w:rsidR="00896136">
              <w:rPr>
                <w:webHidden/>
              </w:rPr>
              <w:tab/>
            </w:r>
            <w:r w:rsidR="00896136">
              <w:rPr>
                <w:webHidden/>
              </w:rPr>
              <w:fldChar w:fldCharType="begin"/>
            </w:r>
            <w:r w:rsidR="00896136">
              <w:rPr>
                <w:webHidden/>
              </w:rPr>
              <w:instrText xml:space="preserve"> PAGEREF _Toc451943775 \h </w:instrText>
            </w:r>
            <w:r w:rsidR="00896136">
              <w:rPr>
                <w:webHidden/>
              </w:rPr>
            </w:r>
            <w:r w:rsidR="00896136">
              <w:rPr>
                <w:webHidden/>
              </w:rPr>
              <w:fldChar w:fldCharType="separate"/>
            </w:r>
            <w:r w:rsidR="00896136">
              <w:rPr>
                <w:webHidden/>
              </w:rPr>
              <w:t>3-26</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6" w:history="1">
            <w:r w:rsidR="00896136" w:rsidRPr="00220D79">
              <w:rPr>
                <w:rStyle w:val="Hyperlink"/>
              </w:rPr>
              <w:t>3.3.5</w:t>
            </w:r>
            <w:r w:rsidR="00896136">
              <w:rPr>
                <w:rFonts w:asciiTheme="minorHAnsi" w:eastAsiaTheme="minorEastAsia" w:hAnsiTheme="minorHAnsi"/>
                <w:lang w:eastAsia="en-AU"/>
              </w:rPr>
              <w:tab/>
            </w:r>
            <w:r w:rsidR="00896136" w:rsidRPr="00220D79">
              <w:rPr>
                <w:rStyle w:val="Hyperlink"/>
              </w:rPr>
              <w:t>Rate of return Guideline</w:t>
            </w:r>
            <w:r w:rsidR="00896136">
              <w:rPr>
                <w:webHidden/>
              </w:rPr>
              <w:tab/>
            </w:r>
            <w:r w:rsidR="00896136">
              <w:rPr>
                <w:webHidden/>
              </w:rPr>
              <w:fldChar w:fldCharType="begin"/>
            </w:r>
            <w:r w:rsidR="00896136">
              <w:rPr>
                <w:webHidden/>
              </w:rPr>
              <w:instrText xml:space="preserve"> PAGEREF _Toc451943776 \h </w:instrText>
            </w:r>
            <w:r w:rsidR="00896136">
              <w:rPr>
                <w:webHidden/>
              </w:rPr>
            </w:r>
            <w:r w:rsidR="00896136">
              <w:rPr>
                <w:webHidden/>
              </w:rPr>
              <w:fldChar w:fldCharType="separate"/>
            </w:r>
            <w:r w:rsidR="00896136">
              <w:rPr>
                <w:webHidden/>
              </w:rPr>
              <w:t>3-28</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7" w:history="1">
            <w:r w:rsidR="00896136" w:rsidRPr="00220D79">
              <w:rPr>
                <w:rStyle w:val="Hyperlink"/>
              </w:rPr>
              <w:t>3.3.6</w:t>
            </w:r>
            <w:r w:rsidR="00896136">
              <w:rPr>
                <w:rFonts w:asciiTheme="minorHAnsi" w:eastAsiaTheme="minorEastAsia" w:hAnsiTheme="minorHAnsi"/>
                <w:lang w:eastAsia="en-AU"/>
              </w:rPr>
              <w:tab/>
            </w:r>
            <w:r w:rsidR="00896136" w:rsidRPr="00220D79">
              <w:rPr>
                <w:rStyle w:val="Hyperlink"/>
              </w:rPr>
              <w:t>Interrelationships</w:t>
            </w:r>
            <w:r w:rsidR="00896136">
              <w:rPr>
                <w:webHidden/>
              </w:rPr>
              <w:tab/>
            </w:r>
            <w:r w:rsidR="00896136">
              <w:rPr>
                <w:webHidden/>
              </w:rPr>
              <w:fldChar w:fldCharType="begin"/>
            </w:r>
            <w:r w:rsidR="00896136">
              <w:rPr>
                <w:webHidden/>
              </w:rPr>
              <w:instrText xml:space="preserve"> PAGEREF _Toc451943777 \h </w:instrText>
            </w:r>
            <w:r w:rsidR="00896136">
              <w:rPr>
                <w:webHidden/>
              </w:rPr>
            </w:r>
            <w:r w:rsidR="00896136">
              <w:rPr>
                <w:webHidden/>
              </w:rPr>
              <w:fldChar w:fldCharType="separate"/>
            </w:r>
            <w:r w:rsidR="00896136">
              <w:rPr>
                <w:webHidden/>
              </w:rPr>
              <w:t>3-34</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78" w:history="1">
            <w:r w:rsidR="00896136" w:rsidRPr="00220D79">
              <w:rPr>
                <w:rStyle w:val="Hyperlink"/>
              </w:rPr>
              <w:t>3.3.7</w:t>
            </w:r>
            <w:r w:rsidR="00896136">
              <w:rPr>
                <w:rFonts w:asciiTheme="minorHAnsi" w:eastAsiaTheme="minorEastAsia" w:hAnsiTheme="minorHAnsi"/>
                <w:lang w:eastAsia="en-AU"/>
              </w:rPr>
              <w:tab/>
            </w:r>
            <w:r w:rsidR="00896136" w:rsidRPr="00220D79">
              <w:rPr>
                <w:rStyle w:val="Hyperlink"/>
              </w:rPr>
              <w:t>Consideration of relevant material</w:t>
            </w:r>
            <w:r w:rsidR="00896136">
              <w:rPr>
                <w:webHidden/>
              </w:rPr>
              <w:tab/>
            </w:r>
            <w:r w:rsidR="00896136">
              <w:rPr>
                <w:webHidden/>
              </w:rPr>
              <w:fldChar w:fldCharType="begin"/>
            </w:r>
            <w:r w:rsidR="00896136">
              <w:rPr>
                <w:webHidden/>
              </w:rPr>
              <w:instrText xml:space="preserve"> PAGEREF _Toc451943778 \h </w:instrText>
            </w:r>
            <w:r w:rsidR="00896136">
              <w:rPr>
                <w:webHidden/>
              </w:rPr>
            </w:r>
            <w:r w:rsidR="00896136">
              <w:rPr>
                <w:webHidden/>
              </w:rPr>
              <w:fldChar w:fldCharType="separate"/>
            </w:r>
            <w:r w:rsidR="00896136">
              <w:rPr>
                <w:webHidden/>
              </w:rPr>
              <w:t>3-36</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79" w:history="1">
            <w:r w:rsidR="00896136" w:rsidRPr="00220D79">
              <w:rPr>
                <w:rStyle w:val="Hyperlink"/>
              </w:rPr>
              <w:t>3.4</w:t>
            </w:r>
            <w:r w:rsidR="00896136">
              <w:rPr>
                <w:rFonts w:asciiTheme="minorHAnsi" w:eastAsiaTheme="minorEastAsia" w:hAnsiTheme="minorHAnsi"/>
                <w:b w:val="0"/>
                <w:color w:val="auto"/>
                <w:sz w:val="22"/>
                <w:lang w:eastAsia="en-AU"/>
              </w:rPr>
              <w:tab/>
            </w:r>
            <w:r w:rsidR="00896136" w:rsidRPr="00220D79">
              <w:rPr>
                <w:rStyle w:val="Hyperlink"/>
              </w:rPr>
              <w:t>Reasons for final decision</w:t>
            </w:r>
            <w:r w:rsidR="00896136">
              <w:rPr>
                <w:webHidden/>
              </w:rPr>
              <w:tab/>
            </w:r>
            <w:r w:rsidR="00896136">
              <w:rPr>
                <w:webHidden/>
              </w:rPr>
              <w:fldChar w:fldCharType="begin"/>
            </w:r>
            <w:r w:rsidR="00896136">
              <w:rPr>
                <w:webHidden/>
              </w:rPr>
              <w:instrText xml:space="preserve"> PAGEREF _Toc451943779 \h </w:instrText>
            </w:r>
            <w:r w:rsidR="00896136">
              <w:rPr>
                <w:webHidden/>
              </w:rPr>
            </w:r>
            <w:r w:rsidR="00896136">
              <w:rPr>
                <w:webHidden/>
              </w:rPr>
              <w:fldChar w:fldCharType="separate"/>
            </w:r>
            <w:r w:rsidR="00896136">
              <w:rPr>
                <w:webHidden/>
              </w:rPr>
              <w:t>3-40</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80" w:history="1">
            <w:r w:rsidR="00896136" w:rsidRPr="00220D79">
              <w:rPr>
                <w:rStyle w:val="Hyperlink"/>
              </w:rPr>
              <w:t>3.4.1</w:t>
            </w:r>
            <w:r w:rsidR="00896136">
              <w:rPr>
                <w:rFonts w:asciiTheme="minorHAnsi" w:eastAsiaTheme="minorEastAsia" w:hAnsiTheme="minorHAnsi"/>
                <w:lang w:eastAsia="en-AU"/>
              </w:rPr>
              <w:tab/>
            </w:r>
            <w:r w:rsidR="00896136" w:rsidRPr="00220D79">
              <w:rPr>
                <w:rStyle w:val="Hyperlink"/>
              </w:rPr>
              <w:t>Return on equity</w:t>
            </w:r>
            <w:r w:rsidR="00896136">
              <w:rPr>
                <w:webHidden/>
              </w:rPr>
              <w:tab/>
            </w:r>
            <w:r w:rsidR="00896136">
              <w:rPr>
                <w:webHidden/>
              </w:rPr>
              <w:fldChar w:fldCharType="begin"/>
            </w:r>
            <w:r w:rsidR="00896136">
              <w:rPr>
                <w:webHidden/>
              </w:rPr>
              <w:instrText xml:space="preserve"> PAGEREF _Toc451943780 \h </w:instrText>
            </w:r>
            <w:r w:rsidR="00896136">
              <w:rPr>
                <w:webHidden/>
              </w:rPr>
            </w:r>
            <w:r w:rsidR="00896136">
              <w:rPr>
                <w:webHidden/>
              </w:rPr>
              <w:fldChar w:fldCharType="separate"/>
            </w:r>
            <w:r w:rsidR="00896136">
              <w:rPr>
                <w:webHidden/>
              </w:rPr>
              <w:t>3-41</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81" w:history="1">
            <w:r w:rsidR="00896136" w:rsidRPr="00220D79">
              <w:rPr>
                <w:rStyle w:val="Hyperlink"/>
              </w:rPr>
              <w:t>3.4.2</w:t>
            </w:r>
            <w:r w:rsidR="00896136">
              <w:rPr>
                <w:rFonts w:asciiTheme="minorHAnsi" w:eastAsiaTheme="minorEastAsia" w:hAnsiTheme="minorHAnsi"/>
                <w:lang w:eastAsia="en-AU"/>
              </w:rPr>
              <w:tab/>
            </w:r>
            <w:r w:rsidR="00896136" w:rsidRPr="00220D79">
              <w:rPr>
                <w:rStyle w:val="Hyperlink"/>
              </w:rPr>
              <w:t>Return on debt</w:t>
            </w:r>
            <w:r w:rsidR="00896136">
              <w:rPr>
                <w:webHidden/>
              </w:rPr>
              <w:tab/>
            </w:r>
            <w:r w:rsidR="00896136">
              <w:rPr>
                <w:webHidden/>
              </w:rPr>
              <w:fldChar w:fldCharType="begin"/>
            </w:r>
            <w:r w:rsidR="00896136">
              <w:rPr>
                <w:webHidden/>
              </w:rPr>
              <w:instrText xml:space="preserve"> PAGEREF _Toc451943781 \h </w:instrText>
            </w:r>
            <w:r w:rsidR="00896136">
              <w:rPr>
                <w:webHidden/>
              </w:rPr>
            </w:r>
            <w:r w:rsidR="00896136">
              <w:rPr>
                <w:webHidden/>
              </w:rPr>
              <w:fldChar w:fldCharType="separate"/>
            </w:r>
            <w:r w:rsidR="00896136">
              <w:rPr>
                <w:webHidden/>
              </w:rPr>
              <w:t>3-88</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82" w:history="1">
            <w:r w:rsidR="00896136" w:rsidRPr="00220D79">
              <w:rPr>
                <w:rStyle w:val="Hyperlink"/>
              </w:rPr>
              <w:t>3.4.3</w:t>
            </w:r>
            <w:r w:rsidR="00896136">
              <w:rPr>
                <w:rFonts w:asciiTheme="minorHAnsi" w:eastAsiaTheme="minorEastAsia" w:hAnsiTheme="minorHAnsi"/>
                <w:lang w:eastAsia="en-AU"/>
              </w:rPr>
              <w:tab/>
            </w:r>
            <w:r w:rsidR="00896136" w:rsidRPr="00220D79">
              <w:rPr>
                <w:rStyle w:val="Hyperlink"/>
              </w:rPr>
              <w:t>Gearing</w:t>
            </w:r>
            <w:r w:rsidR="00896136">
              <w:rPr>
                <w:webHidden/>
              </w:rPr>
              <w:tab/>
            </w:r>
            <w:r w:rsidR="00896136">
              <w:rPr>
                <w:webHidden/>
              </w:rPr>
              <w:fldChar w:fldCharType="begin"/>
            </w:r>
            <w:r w:rsidR="00896136">
              <w:rPr>
                <w:webHidden/>
              </w:rPr>
              <w:instrText xml:space="preserve"> PAGEREF _Toc451943782 \h </w:instrText>
            </w:r>
            <w:r w:rsidR="00896136">
              <w:rPr>
                <w:webHidden/>
              </w:rPr>
            </w:r>
            <w:r w:rsidR="00896136">
              <w:rPr>
                <w:webHidden/>
              </w:rPr>
              <w:fldChar w:fldCharType="separate"/>
            </w:r>
            <w:r w:rsidR="00896136">
              <w:rPr>
                <w:webHidden/>
              </w:rPr>
              <w:t>3-147</w:t>
            </w:r>
            <w:r w:rsidR="00896136">
              <w:rPr>
                <w:webHidden/>
              </w:rPr>
              <w:fldChar w:fldCharType="end"/>
            </w:r>
          </w:hyperlink>
        </w:p>
        <w:p w:rsidR="00896136" w:rsidRDefault="007F1E09">
          <w:pPr>
            <w:pStyle w:val="TOC3"/>
            <w:rPr>
              <w:rFonts w:asciiTheme="minorHAnsi" w:eastAsiaTheme="minorEastAsia" w:hAnsiTheme="minorHAnsi"/>
              <w:lang w:eastAsia="en-AU"/>
            </w:rPr>
          </w:pPr>
          <w:hyperlink w:anchor="_Toc451943783" w:history="1">
            <w:r w:rsidR="00896136" w:rsidRPr="00220D79">
              <w:rPr>
                <w:rStyle w:val="Hyperlink"/>
              </w:rPr>
              <w:t>3.4.4</w:t>
            </w:r>
            <w:r w:rsidR="00896136">
              <w:rPr>
                <w:rFonts w:asciiTheme="minorHAnsi" w:eastAsiaTheme="minorEastAsia" w:hAnsiTheme="minorHAnsi"/>
                <w:lang w:eastAsia="en-AU"/>
              </w:rPr>
              <w:tab/>
            </w:r>
            <w:r w:rsidR="00896136" w:rsidRPr="00220D79">
              <w:rPr>
                <w:rStyle w:val="Hyperlink"/>
              </w:rPr>
              <w:t>Expected inflation rate</w:t>
            </w:r>
            <w:r w:rsidR="00896136">
              <w:rPr>
                <w:webHidden/>
              </w:rPr>
              <w:tab/>
            </w:r>
            <w:r w:rsidR="00896136">
              <w:rPr>
                <w:webHidden/>
              </w:rPr>
              <w:fldChar w:fldCharType="begin"/>
            </w:r>
            <w:r w:rsidR="00896136">
              <w:rPr>
                <w:webHidden/>
              </w:rPr>
              <w:instrText xml:space="preserve"> PAGEREF _Toc451943783 \h </w:instrText>
            </w:r>
            <w:r w:rsidR="00896136">
              <w:rPr>
                <w:webHidden/>
              </w:rPr>
            </w:r>
            <w:r w:rsidR="00896136">
              <w:rPr>
                <w:webHidden/>
              </w:rPr>
              <w:fldChar w:fldCharType="separate"/>
            </w:r>
            <w:r w:rsidR="00896136">
              <w:rPr>
                <w:webHidden/>
              </w:rPr>
              <w:t>3-149</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84" w:history="1">
            <w:r w:rsidR="00896136" w:rsidRPr="00220D79">
              <w:rPr>
                <w:rStyle w:val="Hyperlink"/>
              </w:rPr>
              <w:t>A</w:t>
            </w:r>
            <w:r w:rsidR="00896136">
              <w:rPr>
                <w:rFonts w:asciiTheme="minorHAnsi" w:eastAsiaTheme="minorEastAsia" w:hAnsiTheme="minorHAnsi"/>
                <w:b w:val="0"/>
                <w:color w:val="auto"/>
                <w:sz w:val="22"/>
                <w:lang w:val="en-AU" w:eastAsia="en-AU"/>
              </w:rPr>
              <w:tab/>
            </w:r>
            <w:r w:rsidR="00896136" w:rsidRPr="00220D79">
              <w:rPr>
                <w:rStyle w:val="Hyperlink"/>
              </w:rPr>
              <w:t>Our foundation model approach</w:t>
            </w:r>
            <w:r w:rsidR="00896136">
              <w:rPr>
                <w:webHidden/>
              </w:rPr>
              <w:tab/>
            </w:r>
            <w:r w:rsidR="00896136">
              <w:rPr>
                <w:webHidden/>
              </w:rPr>
              <w:fldChar w:fldCharType="begin"/>
            </w:r>
            <w:r w:rsidR="00896136">
              <w:rPr>
                <w:webHidden/>
              </w:rPr>
              <w:instrText xml:space="preserve"> PAGEREF _Toc451943784 \h </w:instrText>
            </w:r>
            <w:r w:rsidR="00896136">
              <w:rPr>
                <w:webHidden/>
              </w:rPr>
            </w:r>
            <w:r w:rsidR="00896136">
              <w:rPr>
                <w:webHidden/>
              </w:rPr>
              <w:fldChar w:fldCharType="separate"/>
            </w:r>
            <w:r w:rsidR="00896136">
              <w:rPr>
                <w:webHidden/>
              </w:rPr>
              <w:t>3-161</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85" w:history="1">
            <w:r w:rsidR="00896136" w:rsidRPr="00220D79">
              <w:rPr>
                <w:rStyle w:val="Hyperlink"/>
              </w:rPr>
              <w:t>B</w:t>
            </w:r>
            <w:r w:rsidR="00896136">
              <w:rPr>
                <w:rFonts w:asciiTheme="minorHAnsi" w:eastAsiaTheme="minorEastAsia" w:hAnsiTheme="minorHAnsi"/>
                <w:b w:val="0"/>
                <w:color w:val="auto"/>
                <w:sz w:val="22"/>
                <w:lang w:val="en-AU" w:eastAsia="en-AU"/>
              </w:rPr>
              <w:tab/>
            </w:r>
            <w:r w:rsidR="00896136" w:rsidRPr="00220D79">
              <w:rPr>
                <w:rStyle w:val="Hyperlink"/>
              </w:rPr>
              <w:t>Equity models</w:t>
            </w:r>
            <w:r w:rsidR="00896136">
              <w:rPr>
                <w:webHidden/>
              </w:rPr>
              <w:tab/>
            </w:r>
            <w:r w:rsidR="00896136">
              <w:rPr>
                <w:webHidden/>
              </w:rPr>
              <w:fldChar w:fldCharType="begin"/>
            </w:r>
            <w:r w:rsidR="00896136">
              <w:rPr>
                <w:webHidden/>
              </w:rPr>
              <w:instrText xml:space="preserve"> PAGEREF _Toc451943785 \h </w:instrText>
            </w:r>
            <w:r w:rsidR="00896136">
              <w:rPr>
                <w:webHidden/>
              </w:rPr>
            </w:r>
            <w:r w:rsidR="00896136">
              <w:rPr>
                <w:webHidden/>
              </w:rPr>
              <w:fldChar w:fldCharType="separate"/>
            </w:r>
            <w:r w:rsidR="00896136">
              <w:rPr>
                <w:webHidden/>
              </w:rPr>
              <w:t>3-164</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86" w:history="1">
            <w:r w:rsidR="00896136" w:rsidRPr="00220D79">
              <w:rPr>
                <w:rStyle w:val="Hyperlink"/>
              </w:rPr>
              <w:t>B.1</w:t>
            </w:r>
            <w:r w:rsidR="00896136">
              <w:rPr>
                <w:rFonts w:asciiTheme="minorHAnsi" w:eastAsiaTheme="minorEastAsia" w:hAnsiTheme="minorHAnsi"/>
                <w:b w:val="0"/>
                <w:color w:val="auto"/>
                <w:sz w:val="22"/>
                <w:lang w:eastAsia="en-AU"/>
              </w:rPr>
              <w:tab/>
            </w:r>
            <w:r w:rsidR="00896136" w:rsidRPr="00220D79">
              <w:rPr>
                <w:rStyle w:val="Hyperlink"/>
              </w:rPr>
              <w:t>Sharpe-Lintner CAPM</w:t>
            </w:r>
            <w:r w:rsidR="00896136">
              <w:rPr>
                <w:webHidden/>
              </w:rPr>
              <w:tab/>
            </w:r>
            <w:r w:rsidR="00896136">
              <w:rPr>
                <w:webHidden/>
              </w:rPr>
              <w:fldChar w:fldCharType="begin"/>
            </w:r>
            <w:r w:rsidR="00896136">
              <w:rPr>
                <w:webHidden/>
              </w:rPr>
              <w:instrText xml:space="preserve"> PAGEREF _Toc451943786 \h </w:instrText>
            </w:r>
            <w:r w:rsidR="00896136">
              <w:rPr>
                <w:webHidden/>
              </w:rPr>
            </w:r>
            <w:r w:rsidR="00896136">
              <w:rPr>
                <w:webHidden/>
              </w:rPr>
              <w:fldChar w:fldCharType="separate"/>
            </w:r>
            <w:r w:rsidR="00896136">
              <w:rPr>
                <w:webHidden/>
              </w:rPr>
              <w:t>3-165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87" w:history="1">
            <w:r w:rsidR="00896136" w:rsidRPr="00220D79">
              <w:rPr>
                <w:rStyle w:val="Hyperlink"/>
              </w:rPr>
              <w:t>B.2</w:t>
            </w:r>
            <w:r w:rsidR="00896136">
              <w:rPr>
                <w:rFonts w:asciiTheme="minorHAnsi" w:eastAsiaTheme="minorEastAsia" w:hAnsiTheme="minorHAnsi"/>
                <w:b w:val="0"/>
                <w:color w:val="auto"/>
                <w:sz w:val="22"/>
                <w:lang w:eastAsia="en-AU"/>
              </w:rPr>
              <w:tab/>
            </w:r>
            <w:r w:rsidR="00896136" w:rsidRPr="00220D79">
              <w:rPr>
                <w:rStyle w:val="Hyperlink"/>
              </w:rPr>
              <w:t>Black CAPM</w:t>
            </w:r>
            <w:r w:rsidR="00896136">
              <w:rPr>
                <w:webHidden/>
              </w:rPr>
              <w:tab/>
            </w:r>
            <w:r w:rsidR="00896136">
              <w:rPr>
                <w:webHidden/>
              </w:rPr>
              <w:fldChar w:fldCharType="begin"/>
            </w:r>
            <w:r w:rsidR="00896136">
              <w:rPr>
                <w:webHidden/>
              </w:rPr>
              <w:instrText xml:space="preserve"> PAGEREF _Toc451943787 \h </w:instrText>
            </w:r>
            <w:r w:rsidR="00896136">
              <w:rPr>
                <w:webHidden/>
              </w:rPr>
            </w:r>
            <w:r w:rsidR="00896136">
              <w:rPr>
                <w:webHidden/>
              </w:rPr>
              <w:fldChar w:fldCharType="separate"/>
            </w:r>
            <w:r w:rsidR="00896136">
              <w:rPr>
                <w:webHidden/>
              </w:rPr>
              <w:t>3-178</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88" w:history="1">
            <w:r w:rsidR="00896136" w:rsidRPr="00220D79">
              <w:rPr>
                <w:rStyle w:val="Hyperlink"/>
              </w:rPr>
              <w:t>B.3</w:t>
            </w:r>
            <w:r w:rsidR="00896136">
              <w:rPr>
                <w:rFonts w:asciiTheme="minorHAnsi" w:eastAsiaTheme="minorEastAsia" w:hAnsiTheme="minorHAnsi"/>
                <w:b w:val="0"/>
                <w:color w:val="auto"/>
                <w:sz w:val="22"/>
                <w:lang w:eastAsia="en-AU"/>
              </w:rPr>
              <w:tab/>
            </w:r>
            <w:r w:rsidR="00896136" w:rsidRPr="00220D79">
              <w:rPr>
                <w:rStyle w:val="Hyperlink"/>
              </w:rPr>
              <w:t>Fama-French model</w:t>
            </w:r>
            <w:r w:rsidR="00896136">
              <w:rPr>
                <w:webHidden/>
              </w:rPr>
              <w:tab/>
            </w:r>
            <w:r w:rsidR="00896136">
              <w:rPr>
                <w:webHidden/>
              </w:rPr>
              <w:fldChar w:fldCharType="begin"/>
            </w:r>
            <w:r w:rsidR="00896136">
              <w:rPr>
                <w:webHidden/>
              </w:rPr>
              <w:instrText xml:space="preserve"> PAGEREF _Toc451943788 \h </w:instrText>
            </w:r>
            <w:r w:rsidR="00896136">
              <w:rPr>
                <w:webHidden/>
              </w:rPr>
            </w:r>
            <w:r w:rsidR="00896136">
              <w:rPr>
                <w:webHidden/>
              </w:rPr>
              <w:fldChar w:fldCharType="separate"/>
            </w:r>
            <w:r w:rsidR="00896136">
              <w:rPr>
                <w:webHidden/>
              </w:rPr>
              <w:t>3-192</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89" w:history="1">
            <w:r w:rsidR="00896136" w:rsidRPr="00220D79">
              <w:rPr>
                <w:rStyle w:val="Hyperlink"/>
              </w:rPr>
              <w:t>B.4</w:t>
            </w:r>
            <w:r w:rsidR="00896136">
              <w:rPr>
                <w:rFonts w:asciiTheme="minorHAnsi" w:eastAsiaTheme="minorEastAsia" w:hAnsiTheme="minorHAnsi"/>
                <w:b w:val="0"/>
                <w:color w:val="auto"/>
                <w:sz w:val="22"/>
                <w:lang w:eastAsia="en-AU"/>
              </w:rPr>
              <w:tab/>
            </w:r>
            <w:r w:rsidR="00896136" w:rsidRPr="00220D79">
              <w:rPr>
                <w:rStyle w:val="Hyperlink"/>
              </w:rPr>
              <w:t>Dividend growth model</w:t>
            </w:r>
            <w:r w:rsidR="00896136">
              <w:rPr>
                <w:webHidden/>
              </w:rPr>
              <w:tab/>
            </w:r>
            <w:r w:rsidR="00896136">
              <w:rPr>
                <w:webHidden/>
              </w:rPr>
              <w:fldChar w:fldCharType="begin"/>
            </w:r>
            <w:r w:rsidR="00896136">
              <w:rPr>
                <w:webHidden/>
              </w:rPr>
              <w:instrText xml:space="preserve"> PAGEREF _Toc451943789 \h </w:instrText>
            </w:r>
            <w:r w:rsidR="00896136">
              <w:rPr>
                <w:webHidden/>
              </w:rPr>
            </w:r>
            <w:r w:rsidR="00896136">
              <w:rPr>
                <w:webHidden/>
              </w:rPr>
              <w:fldChar w:fldCharType="separate"/>
            </w:r>
            <w:r w:rsidR="00896136">
              <w:rPr>
                <w:webHidden/>
              </w:rPr>
              <w:t>3-201</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0" w:history="1">
            <w:r w:rsidR="00896136" w:rsidRPr="00220D79">
              <w:rPr>
                <w:rStyle w:val="Hyperlink"/>
              </w:rPr>
              <w:t>B.5</w:t>
            </w:r>
            <w:r w:rsidR="00896136">
              <w:rPr>
                <w:rFonts w:asciiTheme="minorHAnsi" w:eastAsiaTheme="minorEastAsia" w:hAnsiTheme="minorHAnsi"/>
                <w:b w:val="0"/>
                <w:color w:val="auto"/>
                <w:sz w:val="22"/>
                <w:lang w:eastAsia="en-AU"/>
              </w:rPr>
              <w:tab/>
            </w:r>
            <w:r w:rsidR="00896136" w:rsidRPr="00220D79">
              <w:rPr>
                <w:rStyle w:val="Hyperlink"/>
              </w:rPr>
              <w:t>Wright CAPM and historical CAPM</w:t>
            </w:r>
            <w:r w:rsidR="00896136">
              <w:rPr>
                <w:webHidden/>
              </w:rPr>
              <w:tab/>
            </w:r>
            <w:r w:rsidR="00896136">
              <w:rPr>
                <w:webHidden/>
              </w:rPr>
              <w:fldChar w:fldCharType="begin"/>
            </w:r>
            <w:r w:rsidR="00896136">
              <w:rPr>
                <w:webHidden/>
              </w:rPr>
              <w:instrText xml:space="preserve"> PAGEREF _Toc451943790 \h </w:instrText>
            </w:r>
            <w:r w:rsidR="00896136">
              <w:rPr>
                <w:webHidden/>
              </w:rPr>
            </w:r>
            <w:r w:rsidR="00896136">
              <w:rPr>
                <w:webHidden/>
              </w:rPr>
              <w:fldChar w:fldCharType="separate"/>
            </w:r>
            <w:r w:rsidR="00896136">
              <w:rPr>
                <w:webHidden/>
              </w:rPr>
              <w:t>3-208</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91" w:history="1">
            <w:r w:rsidR="00896136" w:rsidRPr="00220D79">
              <w:rPr>
                <w:rStyle w:val="Hyperlink"/>
              </w:rPr>
              <w:t>C</w:t>
            </w:r>
            <w:r w:rsidR="00896136">
              <w:rPr>
                <w:rFonts w:asciiTheme="minorHAnsi" w:eastAsiaTheme="minorEastAsia" w:hAnsiTheme="minorHAnsi"/>
                <w:b w:val="0"/>
                <w:color w:val="auto"/>
                <w:sz w:val="22"/>
                <w:lang w:val="en-AU" w:eastAsia="en-AU"/>
              </w:rPr>
              <w:tab/>
            </w:r>
            <w:r w:rsidR="00896136" w:rsidRPr="00220D79">
              <w:rPr>
                <w:rStyle w:val="Hyperlink"/>
              </w:rPr>
              <w:t>Historical stock returns</w:t>
            </w:r>
            <w:r w:rsidR="00896136">
              <w:rPr>
                <w:webHidden/>
              </w:rPr>
              <w:tab/>
            </w:r>
            <w:r w:rsidR="00896136">
              <w:rPr>
                <w:webHidden/>
              </w:rPr>
              <w:fldChar w:fldCharType="begin"/>
            </w:r>
            <w:r w:rsidR="00896136">
              <w:rPr>
                <w:webHidden/>
              </w:rPr>
              <w:instrText xml:space="preserve"> PAGEREF _Toc451943791 \h </w:instrText>
            </w:r>
            <w:r w:rsidR="00896136">
              <w:rPr>
                <w:webHidden/>
              </w:rPr>
            </w:r>
            <w:r w:rsidR="00896136">
              <w:rPr>
                <w:webHidden/>
              </w:rPr>
              <w:fldChar w:fldCharType="separate"/>
            </w:r>
            <w:r w:rsidR="00896136">
              <w:rPr>
                <w:webHidden/>
              </w:rPr>
              <w:t>3-212</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2" w:history="1">
            <w:r w:rsidR="00896136" w:rsidRPr="00220D79">
              <w:rPr>
                <w:rStyle w:val="Hyperlink"/>
              </w:rPr>
              <w:t>C.1</w:t>
            </w:r>
            <w:r w:rsidR="00896136">
              <w:rPr>
                <w:rFonts w:asciiTheme="minorHAnsi" w:eastAsiaTheme="minorEastAsia" w:hAnsiTheme="minorHAnsi"/>
                <w:b w:val="0"/>
                <w:color w:val="auto"/>
                <w:sz w:val="22"/>
                <w:lang w:eastAsia="en-AU"/>
              </w:rPr>
              <w:tab/>
            </w:r>
            <w:r w:rsidR="00896136" w:rsidRPr="00220D79">
              <w:rPr>
                <w:rStyle w:val="Hyperlink"/>
              </w:rPr>
              <w:t>Prevailing estimates: excess returns</w:t>
            </w:r>
            <w:r w:rsidR="00896136">
              <w:rPr>
                <w:webHidden/>
              </w:rPr>
              <w:tab/>
            </w:r>
            <w:r w:rsidR="00896136">
              <w:rPr>
                <w:webHidden/>
              </w:rPr>
              <w:fldChar w:fldCharType="begin"/>
            </w:r>
            <w:r w:rsidR="00896136">
              <w:rPr>
                <w:webHidden/>
              </w:rPr>
              <w:instrText xml:space="preserve"> PAGEREF _Toc451943792 \h </w:instrText>
            </w:r>
            <w:r w:rsidR="00896136">
              <w:rPr>
                <w:webHidden/>
              </w:rPr>
            </w:r>
            <w:r w:rsidR="00896136">
              <w:rPr>
                <w:webHidden/>
              </w:rPr>
              <w:fldChar w:fldCharType="separate"/>
            </w:r>
            <w:r w:rsidR="00896136">
              <w:rPr>
                <w:webHidden/>
              </w:rPr>
              <w:t>3-212</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3" w:history="1">
            <w:r w:rsidR="00896136" w:rsidRPr="00220D79">
              <w:rPr>
                <w:rStyle w:val="Hyperlink"/>
              </w:rPr>
              <w:t>C.2</w:t>
            </w:r>
            <w:r w:rsidR="00896136">
              <w:rPr>
                <w:rFonts w:asciiTheme="minorHAnsi" w:eastAsiaTheme="minorEastAsia" w:hAnsiTheme="minorHAnsi"/>
                <w:b w:val="0"/>
                <w:color w:val="auto"/>
                <w:sz w:val="22"/>
                <w:lang w:eastAsia="en-AU"/>
              </w:rPr>
              <w:tab/>
            </w:r>
            <w:r w:rsidR="00896136" w:rsidRPr="00220D79">
              <w:rPr>
                <w:rStyle w:val="Hyperlink"/>
              </w:rPr>
              <w:t>Prevailing estimates: total returns</w:t>
            </w:r>
            <w:r w:rsidR="00896136">
              <w:rPr>
                <w:webHidden/>
              </w:rPr>
              <w:tab/>
            </w:r>
            <w:r w:rsidR="00896136">
              <w:rPr>
                <w:webHidden/>
              </w:rPr>
              <w:fldChar w:fldCharType="begin"/>
            </w:r>
            <w:r w:rsidR="00896136">
              <w:rPr>
                <w:webHidden/>
              </w:rPr>
              <w:instrText xml:space="preserve"> PAGEREF _Toc451943793 \h </w:instrText>
            </w:r>
            <w:r w:rsidR="00896136">
              <w:rPr>
                <w:webHidden/>
              </w:rPr>
            </w:r>
            <w:r w:rsidR="00896136">
              <w:rPr>
                <w:webHidden/>
              </w:rPr>
              <w:fldChar w:fldCharType="separate"/>
            </w:r>
            <w:r w:rsidR="00896136">
              <w:rPr>
                <w:webHidden/>
              </w:rPr>
              <w:t>3-213</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4" w:history="1">
            <w:r w:rsidR="00896136" w:rsidRPr="00220D79">
              <w:rPr>
                <w:rStyle w:val="Hyperlink"/>
              </w:rPr>
              <w:t>C.3</w:t>
            </w:r>
            <w:r w:rsidR="00896136">
              <w:rPr>
                <w:rFonts w:asciiTheme="minorHAnsi" w:eastAsiaTheme="minorEastAsia" w:hAnsiTheme="minorHAnsi"/>
                <w:b w:val="0"/>
                <w:color w:val="auto"/>
                <w:sz w:val="22"/>
                <w:lang w:eastAsia="en-AU"/>
              </w:rPr>
              <w:tab/>
            </w:r>
            <w:r w:rsidR="00896136" w:rsidRPr="00220D79">
              <w:rPr>
                <w:rStyle w:val="Hyperlink"/>
              </w:rPr>
              <w:t>Arithmetic and geometric averages</w:t>
            </w:r>
            <w:r w:rsidR="00896136">
              <w:rPr>
                <w:webHidden/>
              </w:rPr>
              <w:tab/>
            </w:r>
            <w:r w:rsidR="00896136">
              <w:rPr>
                <w:webHidden/>
              </w:rPr>
              <w:fldChar w:fldCharType="begin"/>
            </w:r>
            <w:r w:rsidR="00896136">
              <w:rPr>
                <w:webHidden/>
              </w:rPr>
              <w:instrText xml:space="preserve"> PAGEREF _Toc451943794 \h </w:instrText>
            </w:r>
            <w:r w:rsidR="00896136">
              <w:rPr>
                <w:webHidden/>
              </w:rPr>
            </w:r>
            <w:r w:rsidR="00896136">
              <w:rPr>
                <w:webHidden/>
              </w:rPr>
              <w:fldChar w:fldCharType="separate"/>
            </w:r>
            <w:r w:rsidR="00896136">
              <w:rPr>
                <w:webHidden/>
              </w:rPr>
              <w:t>3-214</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5" w:history="1">
            <w:r w:rsidR="00896136" w:rsidRPr="00220D79">
              <w:rPr>
                <w:rStyle w:val="Hyperlink"/>
              </w:rPr>
              <w:t>C.4</w:t>
            </w:r>
            <w:r w:rsidR="00896136">
              <w:rPr>
                <w:rFonts w:asciiTheme="minorHAnsi" w:eastAsiaTheme="minorEastAsia" w:hAnsiTheme="minorHAnsi"/>
                <w:b w:val="0"/>
                <w:color w:val="auto"/>
                <w:sz w:val="22"/>
                <w:lang w:eastAsia="en-AU"/>
              </w:rPr>
              <w:tab/>
            </w:r>
            <w:r w:rsidR="00896136" w:rsidRPr="00220D79">
              <w:rPr>
                <w:rStyle w:val="Hyperlink"/>
              </w:rPr>
              <w:t>ASX adjustment to historical data</w:t>
            </w:r>
            <w:r w:rsidR="00896136">
              <w:rPr>
                <w:webHidden/>
              </w:rPr>
              <w:tab/>
            </w:r>
            <w:r w:rsidR="00896136">
              <w:rPr>
                <w:webHidden/>
              </w:rPr>
              <w:fldChar w:fldCharType="begin"/>
            </w:r>
            <w:r w:rsidR="00896136">
              <w:rPr>
                <w:webHidden/>
              </w:rPr>
              <w:instrText xml:space="preserve"> PAGEREF _Toc451943795 \h </w:instrText>
            </w:r>
            <w:r w:rsidR="00896136">
              <w:rPr>
                <w:webHidden/>
              </w:rPr>
            </w:r>
            <w:r w:rsidR="00896136">
              <w:rPr>
                <w:webHidden/>
              </w:rPr>
              <w:fldChar w:fldCharType="separate"/>
            </w:r>
            <w:r w:rsidR="00896136">
              <w:rPr>
                <w:webHidden/>
              </w:rPr>
              <w:t>3-218</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796" w:history="1">
            <w:r w:rsidR="00896136" w:rsidRPr="00220D79">
              <w:rPr>
                <w:rStyle w:val="Hyperlink"/>
              </w:rPr>
              <w:t>D</w:t>
            </w:r>
            <w:r w:rsidR="00896136">
              <w:rPr>
                <w:rFonts w:asciiTheme="minorHAnsi" w:eastAsiaTheme="minorEastAsia" w:hAnsiTheme="minorHAnsi"/>
                <w:b w:val="0"/>
                <w:color w:val="auto"/>
                <w:sz w:val="22"/>
                <w:lang w:val="en-AU" w:eastAsia="en-AU"/>
              </w:rPr>
              <w:tab/>
            </w:r>
            <w:r w:rsidR="00896136" w:rsidRPr="00220D79">
              <w:rPr>
                <w:rStyle w:val="Hyperlink"/>
              </w:rPr>
              <w:t>AER's dividend growth model</w:t>
            </w:r>
            <w:r w:rsidR="00896136">
              <w:rPr>
                <w:webHidden/>
              </w:rPr>
              <w:tab/>
            </w:r>
            <w:r w:rsidR="00896136">
              <w:rPr>
                <w:webHidden/>
              </w:rPr>
              <w:fldChar w:fldCharType="begin"/>
            </w:r>
            <w:r w:rsidR="00896136">
              <w:rPr>
                <w:webHidden/>
              </w:rPr>
              <w:instrText xml:space="preserve"> PAGEREF _Toc451943796 \h </w:instrText>
            </w:r>
            <w:r w:rsidR="00896136">
              <w:rPr>
                <w:webHidden/>
              </w:rPr>
            </w:r>
            <w:r w:rsidR="00896136">
              <w:rPr>
                <w:webHidden/>
              </w:rPr>
              <w:fldChar w:fldCharType="separate"/>
            </w:r>
            <w:r w:rsidR="00896136">
              <w:rPr>
                <w:webHidden/>
              </w:rPr>
              <w:t>3-223</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7" w:history="1">
            <w:r w:rsidR="00896136" w:rsidRPr="00220D79">
              <w:rPr>
                <w:rStyle w:val="Hyperlink"/>
              </w:rPr>
              <w:t>D.1</w:t>
            </w:r>
            <w:r w:rsidR="00896136">
              <w:rPr>
                <w:rFonts w:asciiTheme="minorHAnsi" w:eastAsiaTheme="minorEastAsia" w:hAnsiTheme="minorHAnsi"/>
                <w:b w:val="0"/>
                <w:color w:val="auto"/>
                <w:sz w:val="22"/>
                <w:lang w:eastAsia="en-AU"/>
              </w:rPr>
              <w:tab/>
            </w:r>
            <w:r w:rsidR="00896136" w:rsidRPr="00220D79">
              <w:rPr>
                <w:rStyle w:val="Hyperlink"/>
              </w:rPr>
              <w:t>Prevailing estimates</w:t>
            </w:r>
            <w:r w:rsidR="00896136">
              <w:rPr>
                <w:webHidden/>
              </w:rPr>
              <w:tab/>
            </w:r>
            <w:r w:rsidR="00896136">
              <w:rPr>
                <w:webHidden/>
              </w:rPr>
              <w:fldChar w:fldCharType="begin"/>
            </w:r>
            <w:r w:rsidR="00896136">
              <w:rPr>
                <w:webHidden/>
              </w:rPr>
              <w:instrText xml:space="preserve"> PAGEREF _Toc451943797 \h </w:instrText>
            </w:r>
            <w:r w:rsidR="00896136">
              <w:rPr>
                <w:webHidden/>
              </w:rPr>
            </w:r>
            <w:r w:rsidR="00896136">
              <w:rPr>
                <w:webHidden/>
              </w:rPr>
              <w:fldChar w:fldCharType="separate"/>
            </w:r>
            <w:r w:rsidR="00896136">
              <w:rPr>
                <w:webHidden/>
              </w:rPr>
              <w:t>3-223</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8" w:history="1">
            <w:r w:rsidR="00896136" w:rsidRPr="00220D79">
              <w:rPr>
                <w:rStyle w:val="Hyperlink"/>
              </w:rPr>
              <w:t>D.2</w:t>
            </w:r>
            <w:r w:rsidR="00896136">
              <w:rPr>
                <w:rFonts w:asciiTheme="minorHAnsi" w:eastAsiaTheme="minorEastAsia" w:hAnsiTheme="minorHAnsi"/>
                <w:b w:val="0"/>
                <w:color w:val="auto"/>
                <w:sz w:val="22"/>
                <w:lang w:eastAsia="en-AU"/>
              </w:rPr>
              <w:tab/>
            </w:r>
            <w:r w:rsidR="00896136" w:rsidRPr="00220D79">
              <w:rPr>
                <w:rStyle w:val="Hyperlink"/>
              </w:rPr>
              <w:t>Sensitivity analysis</w:t>
            </w:r>
            <w:r w:rsidR="00896136">
              <w:rPr>
                <w:webHidden/>
              </w:rPr>
              <w:tab/>
            </w:r>
            <w:r w:rsidR="00896136">
              <w:rPr>
                <w:webHidden/>
              </w:rPr>
              <w:fldChar w:fldCharType="begin"/>
            </w:r>
            <w:r w:rsidR="00896136">
              <w:rPr>
                <w:webHidden/>
              </w:rPr>
              <w:instrText xml:space="preserve"> PAGEREF _Toc451943798 \h </w:instrText>
            </w:r>
            <w:r w:rsidR="00896136">
              <w:rPr>
                <w:webHidden/>
              </w:rPr>
            </w:r>
            <w:r w:rsidR="00896136">
              <w:rPr>
                <w:webHidden/>
              </w:rPr>
              <w:fldChar w:fldCharType="separate"/>
            </w:r>
            <w:r w:rsidR="00896136">
              <w:rPr>
                <w:webHidden/>
              </w:rPr>
              <w:t>3-224</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799" w:history="1">
            <w:r w:rsidR="00896136" w:rsidRPr="00220D79">
              <w:rPr>
                <w:rStyle w:val="Hyperlink"/>
              </w:rPr>
              <w:t>D.3</w:t>
            </w:r>
            <w:r w:rsidR="00896136">
              <w:rPr>
                <w:rFonts w:asciiTheme="minorHAnsi" w:eastAsiaTheme="minorEastAsia" w:hAnsiTheme="minorHAnsi"/>
                <w:b w:val="0"/>
                <w:color w:val="auto"/>
                <w:sz w:val="22"/>
                <w:lang w:eastAsia="en-AU"/>
              </w:rPr>
              <w:tab/>
            </w:r>
            <w:r w:rsidR="00896136" w:rsidRPr="00220D79">
              <w:rPr>
                <w:rStyle w:val="Hyperlink"/>
              </w:rPr>
              <w:t>Preferred construction of the dividend growth model</w:t>
            </w:r>
            <w:r w:rsidR="00896136">
              <w:rPr>
                <w:webHidden/>
              </w:rPr>
              <w:tab/>
            </w:r>
            <w:r w:rsidR="00896136">
              <w:rPr>
                <w:webHidden/>
              </w:rPr>
              <w:fldChar w:fldCharType="begin"/>
            </w:r>
            <w:r w:rsidR="00896136">
              <w:rPr>
                <w:webHidden/>
              </w:rPr>
              <w:instrText xml:space="preserve"> PAGEREF _Toc451943799 \h </w:instrText>
            </w:r>
            <w:r w:rsidR="00896136">
              <w:rPr>
                <w:webHidden/>
              </w:rPr>
            </w:r>
            <w:r w:rsidR="00896136">
              <w:rPr>
                <w:webHidden/>
              </w:rPr>
              <w:fldChar w:fldCharType="separate"/>
            </w:r>
            <w:r w:rsidR="00896136">
              <w:rPr>
                <w:webHidden/>
              </w:rPr>
              <w:t>3-225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0" w:history="1">
            <w:r w:rsidR="00896136" w:rsidRPr="00220D79">
              <w:rPr>
                <w:rStyle w:val="Hyperlink"/>
              </w:rPr>
              <w:t>D.4</w:t>
            </w:r>
            <w:r w:rsidR="00896136">
              <w:rPr>
                <w:rFonts w:asciiTheme="minorHAnsi" w:eastAsiaTheme="minorEastAsia" w:hAnsiTheme="minorHAnsi"/>
                <w:b w:val="0"/>
                <w:color w:val="auto"/>
                <w:sz w:val="22"/>
                <w:lang w:eastAsia="en-AU"/>
              </w:rPr>
              <w:tab/>
            </w:r>
            <w:r w:rsidR="00896136" w:rsidRPr="00220D79">
              <w:rPr>
                <w:rStyle w:val="Hyperlink"/>
              </w:rPr>
              <w:t>Sources of potential upward bias</w:t>
            </w:r>
            <w:r w:rsidR="00896136">
              <w:rPr>
                <w:webHidden/>
              </w:rPr>
              <w:tab/>
            </w:r>
            <w:r w:rsidR="00896136">
              <w:rPr>
                <w:webHidden/>
              </w:rPr>
              <w:fldChar w:fldCharType="begin"/>
            </w:r>
            <w:r w:rsidR="00896136">
              <w:rPr>
                <w:webHidden/>
              </w:rPr>
              <w:instrText xml:space="preserve"> PAGEREF _Toc451943800 \h </w:instrText>
            </w:r>
            <w:r w:rsidR="00896136">
              <w:rPr>
                <w:webHidden/>
              </w:rPr>
            </w:r>
            <w:r w:rsidR="00896136">
              <w:rPr>
                <w:webHidden/>
              </w:rPr>
              <w:fldChar w:fldCharType="separate"/>
            </w:r>
            <w:r w:rsidR="00896136">
              <w:rPr>
                <w:webHidden/>
              </w:rPr>
              <w:t>3-227</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01" w:history="1">
            <w:r w:rsidR="00896136" w:rsidRPr="00220D79">
              <w:rPr>
                <w:rStyle w:val="Hyperlink"/>
              </w:rPr>
              <w:t>E</w:t>
            </w:r>
            <w:r w:rsidR="00896136">
              <w:rPr>
                <w:rFonts w:asciiTheme="minorHAnsi" w:eastAsiaTheme="minorEastAsia" w:hAnsiTheme="minorHAnsi"/>
                <w:b w:val="0"/>
                <w:color w:val="auto"/>
                <w:sz w:val="22"/>
                <w:lang w:val="en-AU" w:eastAsia="en-AU"/>
              </w:rPr>
              <w:tab/>
            </w:r>
            <w:r w:rsidR="00896136" w:rsidRPr="00220D79">
              <w:rPr>
                <w:rStyle w:val="Hyperlink"/>
              </w:rPr>
              <w:t>Return on equity conditioning variables</w:t>
            </w:r>
            <w:r w:rsidR="00896136">
              <w:rPr>
                <w:webHidden/>
              </w:rPr>
              <w:tab/>
            </w:r>
            <w:r w:rsidR="00896136">
              <w:rPr>
                <w:webHidden/>
              </w:rPr>
              <w:fldChar w:fldCharType="begin"/>
            </w:r>
            <w:r w:rsidR="00896136">
              <w:rPr>
                <w:webHidden/>
              </w:rPr>
              <w:instrText xml:space="preserve"> PAGEREF _Toc451943801 \h </w:instrText>
            </w:r>
            <w:r w:rsidR="00896136">
              <w:rPr>
                <w:webHidden/>
              </w:rPr>
            </w:r>
            <w:r w:rsidR="00896136">
              <w:rPr>
                <w:webHidden/>
              </w:rPr>
              <w:fldChar w:fldCharType="separate"/>
            </w:r>
            <w:r w:rsidR="00896136">
              <w:rPr>
                <w:webHidden/>
              </w:rPr>
              <w:t>3-230</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2" w:history="1">
            <w:r w:rsidR="00896136" w:rsidRPr="00220D79">
              <w:rPr>
                <w:rStyle w:val="Hyperlink"/>
              </w:rPr>
              <w:t>E.1</w:t>
            </w:r>
            <w:r w:rsidR="00896136">
              <w:rPr>
                <w:rFonts w:asciiTheme="minorHAnsi" w:eastAsiaTheme="minorEastAsia" w:hAnsiTheme="minorHAnsi"/>
                <w:b w:val="0"/>
                <w:color w:val="auto"/>
                <w:sz w:val="22"/>
                <w:lang w:eastAsia="en-AU"/>
              </w:rPr>
              <w:tab/>
            </w:r>
            <w:r w:rsidR="00896136" w:rsidRPr="00220D79">
              <w:rPr>
                <w:rStyle w:val="Hyperlink"/>
              </w:rPr>
              <w:t>Implied volatility</w:t>
            </w:r>
            <w:r w:rsidR="00896136">
              <w:rPr>
                <w:webHidden/>
              </w:rPr>
              <w:tab/>
            </w:r>
            <w:r w:rsidR="00896136">
              <w:rPr>
                <w:webHidden/>
              </w:rPr>
              <w:fldChar w:fldCharType="begin"/>
            </w:r>
            <w:r w:rsidR="00896136">
              <w:rPr>
                <w:webHidden/>
              </w:rPr>
              <w:instrText xml:space="preserve"> PAGEREF _Toc451943802 \h </w:instrText>
            </w:r>
            <w:r w:rsidR="00896136">
              <w:rPr>
                <w:webHidden/>
              </w:rPr>
            </w:r>
            <w:r w:rsidR="00896136">
              <w:rPr>
                <w:webHidden/>
              </w:rPr>
              <w:fldChar w:fldCharType="separate"/>
            </w:r>
            <w:r w:rsidR="00896136">
              <w:rPr>
                <w:webHidden/>
              </w:rPr>
              <w:t>3-231</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3" w:history="1">
            <w:r w:rsidR="00896136" w:rsidRPr="00220D79">
              <w:rPr>
                <w:rStyle w:val="Hyperlink"/>
              </w:rPr>
              <w:t>E.2</w:t>
            </w:r>
            <w:r w:rsidR="00896136">
              <w:rPr>
                <w:rFonts w:asciiTheme="minorHAnsi" w:eastAsiaTheme="minorEastAsia" w:hAnsiTheme="minorHAnsi"/>
                <w:b w:val="0"/>
                <w:color w:val="auto"/>
                <w:sz w:val="22"/>
                <w:lang w:eastAsia="en-AU"/>
              </w:rPr>
              <w:tab/>
            </w:r>
            <w:r w:rsidR="00896136" w:rsidRPr="00220D79">
              <w:rPr>
                <w:rStyle w:val="Hyperlink"/>
              </w:rPr>
              <w:t>Dividend yields</w:t>
            </w:r>
            <w:r w:rsidR="00896136">
              <w:rPr>
                <w:webHidden/>
              </w:rPr>
              <w:tab/>
            </w:r>
            <w:r w:rsidR="00896136">
              <w:rPr>
                <w:webHidden/>
              </w:rPr>
              <w:fldChar w:fldCharType="begin"/>
            </w:r>
            <w:r w:rsidR="00896136">
              <w:rPr>
                <w:webHidden/>
              </w:rPr>
              <w:instrText xml:space="preserve"> PAGEREF _Toc451943803 \h </w:instrText>
            </w:r>
            <w:r w:rsidR="00896136">
              <w:rPr>
                <w:webHidden/>
              </w:rPr>
            </w:r>
            <w:r w:rsidR="00896136">
              <w:rPr>
                <w:webHidden/>
              </w:rPr>
              <w:fldChar w:fldCharType="separate"/>
            </w:r>
            <w:r w:rsidR="00896136">
              <w:rPr>
                <w:webHidden/>
              </w:rPr>
              <w:t>3-232</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4" w:history="1">
            <w:r w:rsidR="00896136" w:rsidRPr="00220D79">
              <w:rPr>
                <w:rStyle w:val="Hyperlink"/>
              </w:rPr>
              <w:t>E.3</w:t>
            </w:r>
            <w:r w:rsidR="00896136">
              <w:rPr>
                <w:rFonts w:asciiTheme="minorHAnsi" w:eastAsiaTheme="minorEastAsia" w:hAnsiTheme="minorHAnsi"/>
                <w:b w:val="0"/>
                <w:color w:val="auto"/>
                <w:sz w:val="22"/>
                <w:lang w:eastAsia="en-AU"/>
              </w:rPr>
              <w:tab/>
            </w:r>
            <w:r w:rsidR="00896136" w:rsidRPr="00220D79">
              <w:rPr>
                <w:rStyle w:val="Hyperlink"/>
              </w:rPr>
              <w:t>Yield spreads</w:t>
            </w:r>
            <w:r w:rsidR="00896136">
              <w:rPr>
                <w:webHidden/>
              </w:rPr>
              <w:tab/>
            </w:r>
            <w:r w:rsidR="00896136">
              <w:rPr>
                <w:webHidden/>
              </w:rPr>
              <w:fldChar w:fldCharType="begin"/>
            </w:r>
            <w:r w:rsidR="00896136">
              <w:rPr>
                <w:webHidden/>
              </w:rPr>
              <w:instrText xml:space="preserve"> PAGEREF _Toc451943804 \h </w:instrText>
            </w:r>
            <w:r w:rsidR="00896136">
              <w:rPr>
                <w:webHidden/>
              </w:rPr>
            </w:r>
            <w:r w:rsidR="00896136">
              <w:rPr>
                <w:webHidden/>
              </w:rPr>
              <w:fldChar w:fldCharType="separate"/>
            </w:r>
            <w:r w:rsidR="00896136">
              <w:rPr>
                <w:webHidden/>
              </w:rPr>
              <w:t>3-233</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05" w:history="1">
            <w:r w:rsidR="00896136" w:rsidRPr="00220D79">
              <w:rPr>
                <w:rStyle w:val="Hyperlink"/>
              </w:rPr>
              <w:t>F</w:t>
            </w:r>
            <w:r w:rsidR="00896136">
              <w:rPr>
                <w:rFonts w:asciiTheme="minorHAnsi" w:eastAsiaTheme="minorEastAsia" w:hAnsiTheme="minorHAnsi"/>
                <w:b w:val="0"/>
                <w:color w:val="auto"/>
                <w:sz w:val="22"/>
                <w:lang w:val="en-AU" w:eastAsia="en-AU"/>
              </w:rPr>
              <w:tab/>
            </w:r>
            <w:r w:rsidR="00896136" w:rsidRPr="00220D79">
              <w:rPr>
                <w:rStyle w:val="Hyperlink"/>
              </w:rPr>
              <w:t>Other practitioner's return on equity estimates</w:t>
            </w:r>
            <w:r w:rsidR="00896136">
              <w:rPr>
                <w:webHidden/>
              </w:rPr>
              <w:tab/>
            </w:r>
            <w:r w:rsidR="00896136">
              <w:rPr>
                <w:webHidden/>
              </w:rPr>
              <w:fldChar w:fldCharType="begin"/>
            </w:r>
            <w:r w:rsidR="00896136">
              <w:rPr>
                <w:webHidden/>
              </w:rPr>
              <w:instrText xml:space="preserve"> PAGEREF _Toc451943805 \h </w:instrText>
            </w:r>
            <w:r w:rsidR="00896136">
              <w:rPr>
                <w:webHidden/>
              </w:rPr>
            </w:r>
            <w:r w:rsidR="00896136">
              <w:rPr>
                <w:webHidden/>
              </w:rPr>
              <w:fldChar w:fldCharType="separate"/>
            </w:r>
            <w:r w:rsidR="00896136">
              <w:rPr>
                <w:webHidden/>
              </w:rPr>
              <w:t>3-239</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6" w:history="1">
            <w:r w:rsidR="00896136" w:rsidRPr="00220D79">
              <w:rPr>
                <w:rStyle w:val="Hyperlink"/>
              </w:rPr>
              <w:t>F.1</w:t>
            </w:r>
            <w:r w:rsidR="00896136">
              <w:rPr>
                <w:rFonts w:asciiTheme="minorHAnsi" w:eastAsiaTheme="minorEastAsia" w:hAnsiTheme="minorHAnsi"/>
                <w:b w:val="0"/>
                <w:color w:val="auto"/>
                <w:sz w:val="22"/>
                <w:lang w:eastAsia="en-AU"/>
              </w:rPr>
              <w:tab/>
            </w:r>
            <w:r w:rsidR="00896136" w:rsidRPr="00220D79">
              <w:rPr>
                <w:rStyle w:val="Hyperlink"/>
              </w:rPr>
              <w:t>Prevailing estimates: surveys</w:t>
            </w:r>
            <w:r w:rsidR="00896136">
              <w:rPr>
                <w:webHidden/>
              </w:rPr>
              <w:tab/>
            </w:r>
            <w:r w:rsidR="00896136">
              <w:rPr>
                <w:webHidden/>
              </w:rPr>
              <w:fldChar w:fldCharType="begin"/>
            </w:r>
            <w:r w:rsidR="00896136">
              <w:rPr>
                <w:webHidden/>
              </w:rPr>
              <w:instrText xml:space="preserve"> PAGEREF _Toc451943806 \h </w:instrText>
            </w:r>
            <w:r w:rsidR="00896136">
              <w:rPr>
                <w:webHidden/>
              </w:rPr>
            </w:r>
            <w:r w:rsidR="00896136">
              <w:rPr>
                <w:webHidden/>
              </w:rPr>
              <w:fldChar w:fldCharType="separate"/>
            </w:r>
            <w:r w:rsidR="00896136">
              <w:rPr>
                <w:webHidden/>
              </w:rPr>
              <w:t>3-240</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7" w:history="1">
            <w:r w:rsidR="00896136" w:rsidRPr="00220D79">
              <w:rPr>
                <w:rStyle w:val="Hyperlink"/>
              </w:rPr>
              <w:t>F.2</w:t>
            </w:r>
            <w:r w:rsidR="00896136">
              <w:rPr>
                <w:rFonts w:asciiTheme="minorHAnsi" w:eastAsiaTheme="minorEastAsia" w:hAnsiTheme="minorHAnsi"/>
                <w:b w:val="0"/>
                <w:color w:val="auto"/>
                <w:sz w:val="22"/>
                <w:lang w:eastAsia="en-AU"/>
              </w:rPr>
              <w:tab/>
            </w:r>
            <w:r w:rsidR="00896136" w:rsidRPr="00220D79">
              <w:rPr>
                <w:rStyle w:val="Hyperlink"/>
              </w:rPr>
              <w:t>Prevailing estimates: broker reports</w:t>
            </w:r>
            <w:r w:rsidR="00896136">
              <w:rPr>
                <w:webHidden/>
              </w:rPr>
              <w:tab/>
            </w:r>
            <w:r w:rsidR="00896136">
              <w:rPr>
                <w:webHidden/>
              </w:rPr>
              <w:fldChar w:fldCharType="begin"/>
            </w:r>
            <w:r w:rsidR="00896136">
              <w:rPr>
                <w:webHidden/>
              </w:rPr>
              <w:instrText xml:space="preserve"> PAGEREF _Toc451943807 \h </w:instrText>
            </w:r>
            <w:r w:rsidR="00896136">
              <w:rPr>
                <w:webHidden/>
              </w:rPr>
            </w:r>
            <w:r w:rsidR="00896136">
              <w:rPr>
                <w:webHidden/>
              </w:rPr>
              <w:fldChar w:fldCharType="separate"/>
            </w:r>
            <w:r w:rsidR="00896136">
              <w:rPr>
                <w:webHidden/>
              </w:rPr>
              <w:t>3-242</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8" w:history="1">
            <w:r w:rsidR="00896136" w:rsidRPr="00220D79">
              <w:rPr>
                <w:rStyle w:val="Hyperlink"/>
              </w:rPr>
              <w:t>F.3</w:t>
            </w:r>
            <w:r w:rsidR="00896136">
              <w:rPr>
                <w:rFonts w:asciiTheme="minorHAnsi" w:eastAsiaTheme="minorEastAsia" w:hAnsiTheme="minorHAnsi"/>
                <w:b w:val="0"/>
                <w:color w:val="auto"/>
                <w:sz w:val="22"/>
                <w:lang w:eastAsia="en-AU"/>
              </w:rPr>
              <w:tab/>
            </w:r>
            <w:r w:rsidR="00896136" w:rsidRPr="00220D79">
              <w:rPr>
                <w:rStyle w:val="Hyperlink"/>
              </w:rPr>
              <w:t>Prevailing estimates: valuation reports</w:t>
            </w:r>
            <w:r w:rsidR="00896136">
              <w:rPr>
                <w:webHidden/>
              </w:rPr>
              <w:tab/>
            </w:r>
            <w:r w:rsidR="00896136">
              <w:rPr>
                <w:webHidden/>
              </w:rPr>
              <w:fldChar w:fldCharType="begin"/>
            </w:r>
            <w:r w:rsidR="00896136">
              <w:rPr>
                <w:webHidden/>
              </w:rPr>
              <w:instrText xml:space="preserve"> PAGEREF _Toc451943808 \h </w:instrText>
            </w:r>
            <w:r w:rsidR="00896136">
              <w:rPr>
                <w:webHidden/>
              </w:rPr>
            </w:r>
            <w:r w:rsidR="00896136">
              <w:rPr>
                <w:webHidden/>
              </w:rPr>
              <w:fldChar w:fldCharType="separate"/>
            </w:r>
            <w:r w:rsidR="00896136">
              <w:rPr>
                <w:webHidden/>
              </w:rPr>
              <w:t>3-243</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09" w:history="1">
            <w:r w:rsidR="00896136" w:rsidRPr="00220D79">
              <w:rPr>
                <w:rStyle w:val="Hyperlink"/>
              </w:rPr>
              <w:t>F.4</w:t>
            </w:r>
            <w:r w:rsidR="00896136">
              <w:rPr>
                <w:rFonts w:asciiTheme="minorHAnsi" w:eastAsiaTheme="minorEastAsia" w:hAnsiTheme="minorHAnsi"/>
                <w:b w:val="0"/>
                <w:color w:val="auto"/>
                <w:sz w:val="22"/>
                <w:lang w:eastAsia="en-AU"/>
              </w:rPr>
              <w:tab/>
            </w:r>
            <w:r w:rsidR="00896136" w:rsidRPr="00220D79">
              <w:rPr>
                <w:rStyle w:val="Hyperlink"/>
              </w:rPr>
              <w:t>Prevailing estimates: other regulators</w:t>
            </w:r>
            <w:r w:rsidR="00896136">
              <w:rPr>
                <w:webHidden/>
              </w:rPr>
              <w:tab/>
            </w:r>
            <w:r w:rsidR="00896136">
              <w:rPr>
                <w:webHidden/>
              </w:rPr>
              <w:fldChar w:fldCharType="begin"/>
            </w:r>
            <w:r w:rsidR="00896136">
              <w:rPr>
                <w:webHidden/>
              </w:rPr>
              <w:instrText xml:space="preserve"> PAGEREF _Toc451943809 \h </w:instrText>
            </w:r>
            <w:r w:rsidR="00896136">
              <w:rPr>
                <w:webHidden/>
              </w:rPr>
            </w:r>
            <w:r w:rsidR="00896136">
              <w:rPr>
                <w:webHidden/>
              </w:rPr>
              <w:fldChar w:fldCharType="separate"/>
            </w:r>
            <w:r w:rsidR="00896136">
              <w:rPr>
                <w:webHidden/>
              </w:rPr>
              <w:t>3-246</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0" w:history="1">
            <w:r w:rsidR="00896136" w:rsidRPr="00220D79">
              <w:rPr>
                <w:rStyle w:val="Hyperlink"/>
              </w:rPr>
              <w:t>F.5</w:t>
            </w:r>
            <w:r w:rsidR="00896136">
              <w:rPr>
                <w:rFonts w:asciiTheme="minorHAnsi" w:eastAsiaTheme="minorEastAsia" w:hAnsiTheme="minorHAnsi"/>
                <w:b w:val="0"/>
                <w:color w:val="auto"/>
                <w:sz w:val="22"/>
                <w:lang w:eastAsia="en-AU"/>
              </w:rPr>
              <w:tab/>
            </w:r>
            <w:r w:rsidR="00896136" w:rsidRPr="00220D79">
              <w:rPr>
                <w:rStyle w:val="Hyperlink"/>
              </w:rPr>
              <w:t>Relationship between risk free rate and market risk premium in valuation reports</w:t>
            </w:r>
            <w:r w:rsidR="00896136">
              <w:rPr>
                <w:webHidden/>
              </w:rPr>
              <w:tab/>
            </w:r>
            <w:r w:rsidR="00896136">
              <w:rPr>
                <w:webHidden/>
              </w:rPr>
              <w:fldChar w:fldCharType="begin"/>
            </w:r>
            <w:r w:rsidR="00896136">
              <w:rPr>
                <w:webHidden/>
              </w:rPr>
              <w:instrText xml:space="preserve"> PAGEREF _Toc451943810 \h </w:instrText>
            </w:r>
            <w:r w:rsidR="00896136">
              <w:rPr>
                <w:webHidden/>
              </w:rPr>
            </w:r>
            <w:r w:rsidR="00896136">
              <w:rPr>
                <w:webHidden/>
              </w:rPr>
              <w:fldChar w:fldCharType="separate"/>
            </w:r>
            <w:r w:rsidR="00896136">
              <w:rPr>
                <w:webHidden/>
              </w:rPr>
              <w:t>3-249</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11" w:history="1">
            <w:r w:rsidR="00896136" w:rsidRPr="00220D79">
              <w:rPr>
                <w:rStyle w:val="Hyperlink"/>
              </w:rPr>
              <w:t>G</w:t>
            </w:r>
            <w:r w:rsidR="00896136">
              <w:rPr>
                <w:rFonts w:asciiTheme="minorHAnsi" w:eastAsiaTheme="minorEastAsia" w:hAnsiTheme="minorHAnsi"/>
                <w:b w:val="0"/>
                <w:color w:val="auto"/>
                <w:sz w:val="22"/>
                <w:lang w:val="en-AU" w:eastAsia="en-AU"/>
              </w:rPr>
              <w:tab/>
            </w:r>
            <w:r w:rsidR="00896136" w:rsidRPr="00220D79">
              <w:rPr>
                <w:rStyle w:val="Hyperlink"/>
              </w:rPr>
              <w:t>Empirical estimates of equity beta</w:t>
            </w:r>
            <w:r w:rsidR="00896136">
              <w:rPr>
                <w:webHidden/>
              </w:rPr>
              <w:tab/>
            </w:r>
            <w:r w:rsidR="00896136">
              <w:rPr>
                <w:webHidden/>
              </w:rPr>
              <w:fldChar w:fldCharType="begin"/>
            </w:r>
            <w:r w:rsidR="00896136">
              <w:rPr>
                <w:webHidden/>
              </w:rPr>
              <w:instrText xml:space="preserve"> PAGEREF _Toc451943811 \h </w:instrText>
            </w:r>
            <w:r w:rsidR="00896136">
              <w:rPr>
                <w:webHidden/>
              </w:rPr>
            </w:r>
            <w:r w:rsidR="00896136">
              <w:rPr>
                <w:webHidden/>
              </w:rPr>
              <w:fldChar w:fldCharType="separate"/>
            </w:r>
            <w:r w:rsidR="00896136">
              <w:rPr>
                <w:webHidden/>
              </w:rPr>
              <w:t>3-255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2" w:history="1">
            <w:r w:rsidR="00896136" w:rsidRPr="00220D79">
              <w:rPr>
                <w:rStyle w:val="Hyperlink"/>
              </w:rPr>
              <w:t>G.1</w:t>
            </w:r>
            <w:r w:rsidR="00896136">
              <w:rPr>
                <w:rFonts w:asciiTheme="minorHAnsi" w:eastAsiaTheme="minorEastAsia" w:hAnsiTheme="minorHAnsi"/>
                <w:b w:val="0"/>
                <w:color w:val="auto"/>
                <w:sz w:val="22"/>
                <w:lang w:eastAsia="en-AU"/>
              </w:rPr>
              <w:tab/>
            </w:r>
            <w:r w:rsidR="00896136" w:rsidRPr="00220D79">
              <w:rPr>
                <w:rStyle w:val="Hyperlink"/>
              </w:rPr>
              <w:t>Australian empirical estimates from Henry's 2014 report</w:t>
            </w:r>
            <w:r w:rsidR="00896136">
              <w:rPr>
                <w:webHidden/>
              </w:rPr>
              <w:tab/>
            </w:r>
            <w:r w:rsidR="00896136">
              <w:rPr>
                <w:webHidden/>
              </w:rPr>
              <w:fldChar w:fldCharType="begin"/>
            </w:r>
            <w:r w:rsidR="00896136">
              <w:rPr>
                <w:webHidden/>
              </w:rPr>
              <w:instrText xml:space="preserve"> PAGEREF _Toc451943812 \h </w:instrText>
            </w:r>
            <w:r w:rsidR="00896136">
              <w:rPr>
                <w:webHidden/>
              </w:rPr>
            </w:r>
            <w:r w:rsidR="00896136">
              <w:rPr>
                <w:webHidden/>
              </w:rPr>
              <w:fldChar w:fldCharType="separate"/>
            </w:r>
            <w:r w:rsidR="00896136">
              <w:rPr>
                <w:webHidden/>
              </w:rPr>
              <w:t>3-255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3" w:history="1">
            <w:r w:rsidR="00896136" w:rsidRPr="00220D79">
              <w:rPr>
                <w:rStyle w:val="Hyperlink"/>
              </w:rPr>
              <w:t>G.2</w:t>
            </w:r>
            <w:r w:rsidR="00896136">
              <w:rPr>
                <w:rFonts w:asciiTheme="minorHAnsi" w:eastAsiaTheme="minorEastAsia" w:hAnsiTheme="minorHAnsi"/>
                <w:b w:val="0"/>
                <w:color w:val="auto"/>
                <w:sz w:val="22"/>
                <w:lang w:eastAsia="en-AU"/>
              </w:rPr>
              <w:tab/>
            </w:r>
            <w:r w:rsidR="00896136" w:rsidRPr="00220D79">
              <w:rPr>
                <w:rStyle w:val="Hyperlink"/>
              </w:rPr>
              <w:t>Australian empirical estimates from other studies</w:t>
            </w:r>
            <w:r w:rsidR="00896136">
              <w:rPr>
                <w:webHidden/>
              </w:rPr>
              <w:tab/>
            </w:r>
            <w:r w:rsidR="00896136">
              <w:rPr>
                <w:webHidden/>
              </w:rPr>
              <w:fldChar w:fldCharType="begin"/>
            </w:r>
            <w:r w:rsidR="00896136">
              <w:rPr>
                <w:webHidden/>
              </w:rPr>
              <w:instrText xml:space="preserve"> PAGEREF _Toc451943813 \h </w:instrText>
            </w:r>
            <w:r w:rsidR="00896136">
              <w:rPr>
                <w:webHidden/>
              </w:rPr>
            </w:r>
            <w:r w:rsidR="00896136">
              <w:rPr>
                <w:webHidden/>
              </w:rPr>
              <w:fldChar w:fldCharType="separate"/>
            </w:r>
            <w:r w:rsidR="00896136">
              <w:rPr>
                <w:webHidden/>
              </w:rPr>
              <w:t>3-259</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4" w:history="1">
            <w:r w:rsidR="00896136" w:rsidRPr="00220D79">
              <w:rPr>
                <w:rStyle w:val="Hyperlink"/>
              </w:rPr>
              <w:t>G.3</w:t>
            </w:r>
            <w:r w:rsidR="00896136">
              <w:rPr>
                <w:rFonts w:asciiTheme="minorHAnsi" w:eastAsiaTheme="minorEastAsia" w:hAnsiTheme="minorHAnsi"/>
                <w:b w:val="0"/>
                <w:color w:val="auto"/>
                <w:sz w:val="22"/>
                <w:lang w:eastAsia="en-AU"/>
              </w:rPr>
              <w:tab/>
            </w:r>
            <w:r w:rsidR="00896136" w:rsidRPr="00220D79">
              <w:rPr>
                <w:rStyle w:val="Hyperlink"/>
              </w:rPr>
              <w:t>International empirical estimates</w:t>
            </w:r>
            <w:r w:rsidR="00896136">
              <w:rPr>
                <w:webHidden/>
              </w:rPr>
              <w:tab/>
            </w:r>
            <w:r w:rsidR="00896136">
              <w:rPr>
                <w:webHidden/>
              </w:rPr>
              <w:fldChar w:fldCharType="begin"/>
            </w:r>
            <w:r w:rsidR="00896136">
              <w:rPr>
                <w:webHidden/>
              </w:rPr>
              <w:instrText xml:space="preserve"> PAGEREF _Toc451943814 \h </w:instrText>
            </w:r>
            <w:r w:rsidR="00896136">
              <w:rPr>
                <w:webHidden/>
              </w:rPr>
            </w:r>
            <w:r w:rsidR="00896136">
              <w:rPr>
                <w:webHidden/>
              </w:rPr>
              <w:fldChar w:fldCharType="separate"/>
            </w:r>
            <w:r w:rsidR="00896136">
              <w:rPr>
                <w:webHidden/>
              </w:rPr>
              <w:t>3-261</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5" w:history="1">
            <w:r w:rsidR="00896136" w:rsidRPr="00220D79">
              <w:rPr>
                <w:rStyle w:val="Hyperlink"/>
              </w:rPr>
              <w:t>G.4</w:t>
            </w:r>
            <w:r w:rsidR="00896136">
              <w:rPr>
                <w:rFonts w:asciiTheme="minorHAnsi" w:eastAsiaTheme="minorEastAsia" w:hAnsiTheme="minorHAnsi"/>
                <w:b w:val="0"/>
                <w:color w:val="auto"/>
                <w:sz w:val="22"/>
                <w:lang w:eastAsia="en-AU"/>
              </w:rPr>
              <w:tab/>
            </w:r>
            <w:r w:rsidR="00896136" w:rsidRPr="00220D79">
              <w:rPr>
                <w:rStyle w:val="Hyperlink"/>
              </w:rPr>
              <w:t>Choice of comparator set</w:t>
            </w:r>
            <w:r w:rsidR="00896136">
              <w:rPr>
                <w:webHidden/>
              </w:rPr>
              <w:tab/>
            </w:r>
            <w:r w:rsidR="00896136">
              <w:rPr>
                <w:webHidden/>
              </w:rPr>
              <w:fldChar w:fldCharType="begin"/>
            </w:r>
            <w:r w:rsidR="00896136">
              <w:rPr>
                <w:webHidden/>
              </w:rPr>
              <w:instrText xml:space="preserve"> PAGEREF _Toc451943815 \h </w:instrText>
            </w:r>
            <w:r w:rsidR="00896136">
              <w:rPr>
                <w:webHidden/>
              </w:rPr>
            </w:r>
            <w:r w:rsidR="00896136">
              <w:rPr>
                <w:webHidden/>
              </w:rPr>
              <w:fldChar w:fldCharType="separate"/>
            </w:r>
            <w:r w:rsidR="00896136">
              <w:rPr>
                <w:webHidden/>
              </w:rPr>
              <w:t>3-263</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16" w:history="1">
            <w:r w:rsidR="00896136" w:rsidRPr="00220D79">
              <w:rPr>
                <w:rStyle w:val="Hyperlink"/>
              </w:rPr>
              <w:t>H</w:t>
            </w:r>
            <w:r w:rsidR="00896136">
              <w:rPr>
                <w:rFonts w:asciiTheme="minorHAnsi" w:eastAsiaTheme="minorEastAsia" w:hAnsiTheme="minorHAnsi"/>
                <w:b w:val="0"/>
                <w:color w:val="auto"/>
                <w:sz w:val="22"/>
                <w:lang w:val="en-AU" w:eastAsia="en-AU"/>
              </w:rPr>
              <w:tab/>
            </w:r>
            <w:r w:rsidR="00896136" w:rsidRPr="00220D79">
              <w:rPr>
                <w:rStyle w:val="Hyperlink"/>
              </w:rPr>
              <w:t>Return on debt approach</w:t>
            </w:r>
            <w:r w:rsidR="00896136">
              <w:rPr>
                <w:webHidden/>
              </w:rPr>
              <w:tab/>
            </w:r>
            <w:r w:rsidR="00896136">
              <w:rPr>
                <w:webHidden/>
              </w:rPr>
              <w:fldChar w:fldCharType="begin"/>
            </w:r>
            <w:r w:rsidR="00896136">
              <w:rPr>
                <w:webHidden/>
              </w:rPr>
              <w:instrText xml:space="preserve"> PAGEREF _Toc451943816 \h </w:instrText>
            </w:r>
            <w:r w:rsidR="00896136">
              <w:rPr>
                <w:webHidden/>
              </w:rPr>
            </w:r>
            <w:r w:rsidR="00896136">
              <w:rPr>
                <w:webHidden/>
              </w:rPr>
              <w:fldChar w:fldCharType="separate"/>
            </w:r>
            <w:r w:rsidR="00896136">
              <w:rPr>
                <w:webHidden/>
              </w:rPr>
              <w:t>3-275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7" w:history="1">
            <w:r w:rsidR="00896136" w:rsidRPr="00220D79">
              <w:rPr>
                <w:rStyle w:val="Hyperlink"/>
              </w:rPr>
              <w:t>H.1</w:t>
            </w:r>
            <w:r w:rsidR="00896136">
              <w:rPr>
                <w:rFonts w:asciiTheme="minorHAnsi" w:eastAsiaTheme="minorEastAsia" w:hAnsiTheme="minorHAnsi"/>
                <w:b w:val="0"/>
                <w:color w:val="auto"/>
                <w:sz w:val="22"/>
                <w:lang w:eastAsia="en-AU"/>
              </w:rPr>
              <w:tab/>
            </w:r>
            <w:r w:rsidR="00896136" w:rsidRPr="00220D79">
              <w:rPr>
                <w:rStyle w:val="Hyperlink"/>
              </w:rPr>
              <w:t>Interpretation of the ARORO</w:t>
            </w:r>
            <w:r w:rsidR="00896136">
              <w:rPr>
                <w:webHidden/>
              </w:rPr>
              <w:tab/>
            </w:r>
            <w:r w:rsidR="00896136">
              <w:rPr>
                <w:webHidden/>
              </w:rPr>
              <w:fldChar w:fldCharType="begin"/>
            </w:r>
            <w:r w:rsidR="00896136">
              <w:rPr>
                <w:webHidden/>
              </w:rPr>
              <w:instrText xml:space="preserve"> PAGEREF _Toc451943817 \h </w:instrText>
            </w:r>
            <w:r w:rsidR="00896136">
              <w:rPr>
                <w:webHidden/>
              </w:rPr>
            </w:r>
            <w:r w:rsidR="00896136">
              <w:rPr>
                <w:webHidden/>
              </w:rPr>
              <w:fldChar w:fldCharType="separate"/>
            </w:r>
            <w:r w:rsidR="00896136">
              <w:rPr>
                <w:webHidden/>
              </w:rPr>
              <w:t>3-276</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8" w:history="1">
            <w:r w:rsidR="00896136" w:rsidRPr="00220D79">
              <w:rPr>
                <w:rStyle w:val="Hyperlink"/>
              </w:rPr>
              <w:t>H.2</w:t>
            </w:r>
            <w:r w:rsidR="00896136">
              <w:rPr>
                <w:rFonts w:asciiTheme="minorHAnsi" w:eastAsiaTheme="minorEastAsia" w:hAnsiTheme="minorHAnsi"/>
                <w:b w:val="0"/>
                <w:color w:val="auto"/>
                <w:sz w:val="22"/>
                <w:lang w:eastAsia="en-AU"/>
              </w:rPr>
              <w:tab/>
            </w:r>
            <w:r w:rsidR="00896136" w:rsidRPr="00220D79">
              <w:rPr>
                <w:rStyle w:val="Hyperlink"/>
              </w:rPr>
              <w:t>Requirements under the ARORO</w:t>
            </w:r>
            <w:r w:rsidR="00896136">
              <w:rPr>
                <w:webHidden/>
              </w:rPr>
              <w:tab/>
            </w:r>
            <w:r w:rsidR="00896136">
              <w:rPr>
                <w:webHidden/>
              </w:rPr>
              <w:fldChar w:fldCharType="begin"/>
            </w:r>
            <w:r w:rsidR="00896136">
              <w:rPr>
                <w:webHidden/>
              </w:rPr>
              <w:instrText xml:space="preserve"> PAGEREF _Toc451943818 \h </w:instrText>
            </w:r>
            <w:r w:rsidR="00896136">
              <w:rPr>
                <w:webHidden/>
              </w:rPr>
            </w:r>
            <w:r w:rsidR="00896136">
              <w:rPr>
                <w:webHidden/>
              </w:rPr>
              <w:fldChar w:fldCharType="separate"/>
            </w:r>
            <w:r w:rsidR="00896136">
              <w:rPr>
                <w:webHidden/>
              </w:rPr>
              <w:t>3-280</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19" w:history="1">
            <w:r w:rsidR="00896136" w:rsidRPr="00220D79">
              <w:rPr>
                <w:rStyle w:val="Hyperlink"/>
              </w:rPr>
              <w:t>H.3</w:t>
            </w:r>
            <w:r w:rsidR="00896136">
              <w:rPr>
                <w:rFonts w:asciiTheme="minorHAnsi" w:eastAsiaTheme="minorEastAsia" w:hAnsiTheme="minorHAnsi"/>
                <w:b w:val="0"/>
                <w:color w:val="auto"/>
                <w:sz w:val="22"/>
                <w:lang w:eastAsia="en-AU"/>
              </w:rPr>
              <w:tab/>
            </w:r>
            <w:r w:rsidR="00896136" w:rsidRPr="00220D79">
              <w:rPr>
                <w:rStyle w:val="Hyperlink"/>
              </w:rPr>
              <w:t>On-the-day and trailing average approaches</w:t>
            </w:r>
            <w:r w:rsidR="00896136">
              <w:rPr>
                <w:webHidden/>
              </w:rPr>
              <w:tab/>
            </w:r>
            <w:r w:rsidR="00896136">
              <w:rPr>
                <w:webHidden/>
              </w:rPr>
              <w:fldChar w:fldCharType="begin"/>
            </w:r>
            <w:r w:rsidR="00896136">
              <w:rPr>
                <w:webHidden/>
              </w:rPr>
              <w:instrText xml:space="preserve"> PAGEREF _Toc451943819 \h </w:instrText>
            </w:r>
            <w:r w:rsidR="00896136">
              <w:rPr>
                <w:webHidden/>
              </w:rPr>
            </w:r>
            <w:r w:rsidR="00896136">
              <w:rPr>
                <w:webHidden/>
              </w:rPr>
              <w:fldChar w:fldCharType="separate"/>
            </w:r>
            <w:r w:rsidR="00896136">
              <w:rPr>
                <w:webHidden/>
              </w:rPr>
              <w:t>3-291</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0" w:history="1">
            <w:r w:rsidR="00896136" w:rsidRPr="00220D79">
              <w:rPr>
                <w:rStyle w:val="Hyperlink"/>
              </w:rPr>
              <w:t>H.4</w:t>
            </w:r>
            <w:r w:rsidR="00896136">
              <w:rPr>
                <w:rFonts w:asciiTheme="minorHAnsi" w:eastAsiaTheme="minorEastAsia" w:hAnsiTheme="minorHAnsi"/>
                <w:b w:val="0"/>
                <w:color w:val="auto"/>
                <w:sz w:val="22"/>
                <w:lang w:eastAsia="en-AU"/>
              </w:rPr>
              <w:tab/>
            </w:r>
            <w:r w:rsidR="00896136" w:rsidRPr="00220D79">
              <w:rPr>
                <w:rStyle w:val="Hyperlink"/>
              </w:rPr>
              <w:t>A full transition satisfies the ARORO</w:t>
            </w:r>
            <w:r w:rsidR="00896136">
              <w:rPr>
                <w:webHidden/>
              </w:rPr>
              <w:tab/>
            </w:r>
            <w:r w:rsidR="00896136">
              <w:rPr>
                <w:webHidden/>
              </w:rPr>
              <w:fldChar w:fldCharType="begin"/>
            </w:r>
            <w:r w:rsidR="00896136">
              <w:rPr>
                <w:webHidden/>
              </w:rPr>
              <w:instrText xml:space="preserve"> PAGEREF _Toc451943820 \h </w:instrText>
            </w:r>
            <w:r w:rsidR="00896136">
              <w:rPr>
                <w:webHidden/>
              </w:rPr>
            </w:r>
            <w:r w:rsidR="00896136">
              <w:rPr>
                <w:webHidden/>
              </w:rPr>
              <w:fldChar w:fldCharType="separate"/>
            </w:r>
            <w:r w:rsidR="00896136">
              <w:rPr>
                <w:webHidden/>
              </w:rPr>
              <w:t>3-306</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1" w:history="1">
            <w:r w:rsidR="00896136" w:rsidRPr="00220D79">
              <w:rPr>
                <w:rStyle w:val="Hyperlink"/>
              </w:rPr>
              <w:t>H.5</w:t>
            </w:r>
            <w:r w:rsidR="00896136">
              <w:rPr>
                <w:rFonts w:asciiTheme="minorHAnsi" w:eastAsiaTheme="minorEastAsia" w:hAnsiTheme="minorHAnsi"/>
                <w:b w:val="0"/>
                <w:color w:val="auto"/>
                <w:sz w:val="22"/>
                <w:lang w:eastAsia="en-AU"/>
              </w:rPr>
              <w:tab/>
            </w:r>
            <w:r w:rsidR="00896136" w:rsidRPr="00220D79">
              <w:rPr>
                <w:rStyle w:val="Hyperlink"/>
              </w:rPr>
              <w:t>An immediate (or hybrid) transition will not satisfy the ARORO</w:t>
            </w:r>
            <w:r w:rsidR="00896136">
              <w:rPr>
                <w:webHidden/>
              </w:rPr>
              <w:tab/>
            </w:r>
            <w:r w:rsidR="00896136">
              <w:rPr>
                <w:webHidden/>
              </w:rPr>
              <w:tab/>
            </w:r>
            <w:r w:rsidR="00896136">
              <w:rPr>
                <w:webHidden/>
              </w:rPr>
              <w:tab/>
            </w:r>
            <w:r w:rsidR="00896136">
              <w:rPr>
                <w:webHidden/>
              </w:rPr>
              <w:fldChar w:fldCharType="begin"/>
            </w:r>
            <w:r w:rsidR="00896136">
              <w:rPr>
                <w:webHidden/>
              </w:rPr>
              <w:instrText xml:space="preserve"> PAGEREF _Toc451943821 \h </w:instrText>
            </w:r>
            <w:r w:rsidR="00896136">
              <w:rPr>
                <w:webHidden/>
              </w:rPr>
            </w:r>
            <w:r w:rsidR="00896136">
              <w:rPr>
                <w:webHidden/>
              </w:rPr>
              <w:fldChar w:fldCharType="separate"/>
            </w:r>
            <w:r w:rsidR="00896136">
              <w:rPr>
                <w:webHidden/>
              </w:rPr>
              <w:t>3-307</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22" w:history="1">
            <w:r w:rsidR="00896136" w:rsidRPr="00220D79">
              <w:rPr>
                <w:rStyle w:val="Hyperlink"/>
              </w:rPr>
              <w:t>I</w:t>
            </w:r>
            <w:r w:rsidR="00896136">
              <w:rPr>
                <w:rFonts w:asciiTheme="minorHAnsi" w:eastAsiaTheme="minorEastAsia" w:hAnsiTheme="minorHAnsi"/>
                <w:b w:val="0"/>
                <w:color w:val="auto"/>
                <w:sz w:val="22"/>
                <w:lang w:val="en-AU" w:eastAsia="en-AU"/>
              </w:rPr>
              <w:tab/>
            </w:r>
            <w:r w:rsidR="00896136" w:rsidRPr="00220D79">
              <w:rPr>
                <w:rStyle w:val="Hyperlink"/>
              </w:rPr>
              <w:t>Return on debt implementation</w:t>
            </w:r>
            <w:r w:rsidR="00896136">
              <w:rPr>
                <w:webHidden/>
              </w:rPr>
              <w:tab/>
            </w:r>
            <w:r w:rsidR="00896136">
              <w:rPr>
                <w:webHidden/>
              </w:rPr>
              <w:fldChar w:fldCharType="begin"/>
            </w:r>
            <w:r w:rsidR="00896136">
              <w:rPr>
                <w:webHidden/>
              </w:rPr>
              <w:instrText xml:space="preserve"> PAGEREF _Toc451943822 \h </w:instrText>
            </w:r>
            <w:r w:rsidR="00896136">
              <w:rPr>
                <w:webHidden/>
              </w:rPr>
            </w:r>
            <w:r w:rsidR="00896136">
              <w:rPr>
                <w:webHidden/>
              </w:rPr>
              <w:fldChar w:fldCharType="separate"/>
            </w:r>
            <w:r w:rsidR="00896136">
              <w:rPr>
                <w:webHidden/>
              </w:rPr>
              <w:t>3-319</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3" w:history="1">
            <w:r w:rsidR="00896136" w:rsidRPr="00220D79">
              <w:rPr>
                <w:rStyle w:val="Hyperlink"/>
              </w:rPr>
              <w:t>I.1</w:t>
            </w:r>
            <w:r w:rsidR="00896136">
              <w:rPr>
                <w:rFonts w:asciiTheme="minorHAnsi" w:eastAsiaTheme="minorEastAsia" w:hAnsiTheme="minorHAnsi"/>
                <w:b w:val="0"/>
                <w:color w:val="auto"/>
                <w:sz w:val="22"/>
                <w:lang w:eastAsia="en-AU"/>
              </w:rPr>
              <w:tab/>
            </w:r>
            <w:r w:rsidR="00896136" w:rsidRPr="00220D79">
              <w:rPr>
                <w:rStyle w:val="Hyperlink"/>
              </w:rPr>
              <w:t>The Thomson Reuters curve</w:t>
            </w:r>
            <w:r w:rsidR="00896136">
              <w:rPr>
                <w:webHidden/>
              </w:rPr>
              <w:tab/>
            </w:r>
            <w:r w:rsidR="00896136">
              <w:rPr>
                <w:webHidden/>
              </w:rPr>
              <w:fldChar w:fldCharType="begin"/>
            </w:r>
            <w:r w:rsidR="00896136">
              <w:rPr>
                <w:webHidden/>
              </w:rPr>
              <w:instrText xml:space="preserve"> PAGEREF _Toc451943823 \h </w:instrText>
            </w:r>
            <w:r w:rsidR="00896136">
              <w:rPr>
                <w:webHidden/>
              </w:rPr>
            </w:r>
            <w:r w:rsidR="00896136">
              <w:rPr>
                <w:webHidden/>
              </w:rPr>
              <w:fldChar w:fldCharType="separate"/>
            </w:r>
            <w:r w:rsidR="00896136">
              <w:rPr>
                <w:webHidden/>
              </w:rPr>
              <w:t>3-320</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4" w:history="1">
            <w:r w:rsidR="00896136" w:rsidRPr="00220D79">
              <w:rPr>
                <w:rStyle w:val="Hyperlink"/>
              </w:rPr>
              <w:t>I.2</w:t>
            </w:r>
            <w:r w:rsidR="00896136">
              <w:rPr>
                <w:rFonts w:asciiTheme="minorHAnsi" w:eastAsiaTheme="minorEastAsia" w:hAnsiTheme="minorHAnsi"/>
                <w:b w:val="0"/>
                <w:color w:val="auto"/>
                <w:sz w:val="22"/>
                <w:lang w:eastAsia="en-AU"/>
              </w:rPr>
              <w:tab/>
            </w:r>
            <w:r w:rsidR="00896136" w:rsidRPr="00220D79">
              <w:rPr>
                <w:rStyle w:val="Hyperlink"/>
              </w:rPr>
              <w:t>Criticisms of the BVAL curve</w:t>
            </w:r>
            <w:r w:rsidR="00896136">
              <w:rPr>
                <w:webHidden/>
              </w:rPr>
              <w:tab/>
            </w:r>
            <w:r w:rsidR="00896136">
              <w:rPr>
                <w:webHidden/>
              </w:rPr>
              <w:fldChar w:fldCharType="begin"/>
            </w:r>
            <w:r w:rsidR="00896136">
              <w:rPr>
                <w:webHidden/>
              </w:rPr>
              <w:instrText xml:space="preserve"> PAGEREF _Toc451943824 \h </w:instrText>
            </w:r>
            <w:r w:rsidR="00896136">
              <w:rPr>
                <w:webHidden/>
              </w:rPr>
            </w:r>
            <w:r w:rsidR="00896136">
              <w:rPr>
                <w:webHidden/>
              </w:rPr>
              <w:fldChar w:fldCharType="separate"/>
            </w:r>
            <w:r w:rsidR="00896136">
              <w:rPr>
                <w:webHidden/>
              </w:rPr>
              <w:t>3-325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5" w:history="1">
            <w:r w:rsidR="00896136" w:rsidRPr="00220D79">
              <w:rPr>
                <w:rStyle w:val="Hyperlink"/>
              </w:rPr>
              <w:t>I.3</w:t>
            </w:r>
            <w:r w:rsidR="00896136">
              <w:rPr>
                <w:rFonts w:asciiTheme="minorHAnsi" w:eastAsiaTheme="minorEastAsia" w:hAnsiTheme="minorHAnsi"/>
                <w:b w:val="0"/>
                <w:color w:val="auto"/>
                <w:sz w:val="22"/>
                <w:lang w:eastAsia="en-AU"/>
              </w:rPr>
              <w:tab/>
            </w:r>
            <w:r w:rsidR="00896136" w:rsidRPr="00220D79">
              <w:rPr>
                <w:rStyle w:val="Hyperlink"/>
              </w:rPr>
              <w:t>Other issues</w:t>
            </w:r>
            <w:r w:rsidR="00896136">
              <w:rPr>
                <w:webHidden/>
              </w:rPr>
              <w:tab/>
            </w:r>
            <w:r w:rsidR="00896136">
              <w:rPr>
                <w:webHidden/>
              </w:rPr>
              <w:fldChar w:fldCharType="begin"/>
            </w:r>
            <w:r w:rsidR="00896136">
              <w:rPr>
                <w:webHidden/>
              </w:rPr>
              <w:instrText xml:space="preserve"> PAGEREF _Toc451943825 \h </w:instrText>
            </w:r>
            <w:r w:rsidR="00896136">
              <w:rPr>
                <w:webHidden/>
              </w:rPr>
            </w:r>
            <w:r w:rsidR="00896136">
              <w:rPr>
                <w:webHidden/>
              </w:rPr>
              <w:fldChar w:fldCharType="separate"/>
            </w:r>
            <w:r w:rsidR="00896136">
              <w:rPr>
                <w:webHidden/>
              </w:rPr>
              <w:t>3-339</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6" w:history="1">
            <w:r w:rsidR="00896136" w:rsidRPr="00220D79">
              <w:rPr>
                <w:rStyle w:val="Hyperlink"/>
              </w:rPr>
              <w:t>I.4</w:t>
            </w:r>
            <w:r w:rsidR="00896136">
              <w:rPr>
                <w:rFonts w:asciiTheme="minorHAnsi" w:eastAsiaTheme="minorEastAsia" w:hAnsiTheme="minorHAnsi"/>
                <w:b w:val="0"/>
                <w:color w:val="auto"/>
                <w:sz w:val="22"/>
                <w:lang w:eastAsia="en-AU"/>
              </w:rPr>
              <w:tab/>
            </w:r>
            <w:r w:rsidR="00896136" w:rsidRPr="00220D79">
              <w:rPr>
                <w:rStyle w:val="Hyperlink"/>
              </w:rPr>
              <w:t>New issue premium</w:t>
            </w:r>
            <w:r w:rsidR="00896136">
              <w:rPr>
                <w:webHidden/>
              </w:rPr>
              <w:tab/>
            </w:r>
            <w:r w:rsidR="00896136">
              <w:rPr>
                <w:webHidden/>
              </w:rPr>
              <w:fldChar w:fldCharType="begin"/>
            </w:r>
            <w:r w:rsidR="00896136">
              <w:rPr>
                <w:webHidden/>
              </w:rPr>
              <w:instrText xml:space="preserve"> PAGEREF _Toc451943826 \h </w:instrText>
            </w:r>
            <w:r w:rsidR="00896136">
              <w:rPr>
                <w:webHidden/>
              </w:rPr>
            </w:r>
            <w:r w:rsidR="00896136">
              <w:rPr>
                <w:webHidden/>
              </w:rPr>
              <w:fldChar w:fldCharType="separate"/>
            </w:r>
            <w:r w:rsidR="00896136">
              <w:rPr>
                <w:webHidden/>
              </w:rPr>
              <w:t>3-341</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7" w:history="1">
            <w:r w:rsidR="00896136" w:rsidRPr="00220D79">
              <w:rPr>
                <w:rStyle w:val="Hyperlink"/>
              </w:rPr>
              <w:t>I.5</w:t>
            </w:r>
            <w:r w:rsidR="00896136">
              <w:rPr>
                <w:rFonts w:asciiTheme="minorHAnsi" w:eastAsiaTheme="minorEastAsia" w:hAnsiTheme="minorHAnsi"/>
                <w:b w:val="0"/>
                <w:color w:val="auto"/>
                <w:sz w:val="22"/>
                <w:lang w:eastAsia="en-AU"/>
              </w:rPr>
              <w:tab/>
            </w:r>
            <w:r w:rsidR="00896136" w:rsidRPr="00220D79">
              <w:rPr>
                <w:rStyle w:val="Hyperlink"/>
              </w:rPr>
              <w:t>Averaging periods</w:t>
            </w:r>
            <w:r w:rsidR="00896136">
              <w:rPr>
                <w:webHidden/>
              </w:rPr>
              <w:tab/>
            </w:r>
            <w:r w:rsidR="00896136">
              <w:rPr>
                <w:webHidden/>
              </w:rPr>
              <w:fldChar w:fldCharType="begin"/>
            </w:r>
            <w:r w:rsidR="00896136">
              <w:rPr>
                <w:webHidden/>
              </w:rPr>
              <w:instrText xml:space="preserve"> PAGEREF _Toc451943827 \h </w:instrText>
            </w:r>
            <w:r w:rsidR="00896136">
              <w:rPr>
                <w:webHidden/>
              </w:rPr>
            </w:r>
            <w:r w:rsidR="00896136">
              <w:rPr>
                <w:webHidden/>
              </w:rPr>
              <w:fldChar w:fldCharType="separate"/>
            </w:r>
            <w:r w:rsidR="00896136">
              <w:rPr>
                <w:webHidden/>
              </w:rPr>
              <w:t>3-353</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28" w:history="1">
            <w:r w:rsidR="00896136" w:rsidRPr="00220D79">
              <w:rPr>
                <w:rStyle w:val="Hyperlink"/>
              </w:rPr>
              <w:t>J</w:t>
            </w:r>
            <w:r w:rsidR="00896136">
              <w:rPr>
                <w:rFonts w:asciiTheme="minorHAnsi" w:eastAsiaTheme="minorEastAsia" w:hAnsiTheme="minorHAnsi"/>
                <w:b w:val="0"/>
                <w:color w:val="auto"/>
                <w:sz w:val="22"/>
                <w:lang w:val="en-AU" w:eastAsia="en-AU"/>
              </w:rPr>
              <w:tab/>
            </w:r>
            <w:r w:rsidR="00896136" w:rsidRPr="00220D79">
              <w:rPr>
                <w:rStyle w:val="Hyperlink"/>
              </w:rPr>
              <w:t>Methodology to annual update the return on debt</w:t>
            </w:r>
            <w:r w:rsidR="00896136">
              <w:rPr>
                <w:webHidden/>
              </w:rPr>
              <w:tab/>
            </w:r>
            <w:r w:rsidR="00896136">
              <w:rPr>
                <w:webHidden/>
              </w:rPr>
              <w:fldChar w:fldCharType="begin"/>
            </w:r>
            <w:r w:rsidR="00896136">
              <w:rPr>
                <w:webHidden/>
              </w:rPr>
              <w:instrText xml:space="preserve"> PAGEREF _Toc451943828 \h </w:instrText>
            </w:r>
            <w:r w:rsidR="00896136">
              <w:rPr>
                <w:webHidden/>
              </w:rPr>
            </w:r>
            <w:r w:rsidR="00896136">
              <w:rPr>
                <w:webHidden/>
              </w:rPr>
              <w:fldChar w:fldCharType="separate"/>
            </w:r>
            <w:r w:rsidR="00896136">
              <w:rPr>
                <w:webHidden/>
              </w:rPr>
              <w:t>3-364</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29" w:history="1">
            <w:r w:rsidR="00896136" w:rsidRPr="00220D79">
              <w:rPr>
                <w:rStyle w:val="Hyperlink"/>
              </w:rPr>
              <w:t>J.1</w:t>
            </w:r>
            <w:r w:rsidR="00896136">
              <w:rPr>
                <w:rFonts w:asciiTheme="minorHAnsi" w:eastAsiaTheme="minorEastAsia" w:hAnsiTheme="minorHAnsi"/>
                <w:b w:val="0"/>
                <w:color w:val="auto"/>
                <w:sz w:val="22"/>
                <w:lang w:eastAsia="en-AU"/>
              </w:rPr>
              <w:tab/>
            </w:r>
            <w:r w:rsidR="00896136" w:rsidRPr="00220D79">
              <w:rPr>
                <w:rStyle w:val="Hyperlink"/>
              </w:rPr>
              <w:t>Approach to estimating the return on debt</w:t>
            </w:r>
            <w:r w:rsidR="00896136">
              <w:rPr>
                <w:webHidden/>
              </w:rPr>
              <w:tab/>
            </w:r>
            <w:r w:rsidR="00896136">
              <w:rPr>
                <w:webHidden/>
              </w:rPr>
              <w:fldChar w:fldCharType="begin"/>
            </w:r>
            <w:r w:rsidR="00896136">
              <w:rPr>
                <w:webHidden/>
              </w:rPr>
              <w:instrText xml:space="preserve"> PAGEREF _Toc451943829 \h </w:instrText>
            </w:r>
            <w:r w:rsidR="00896136">
              <w:rPr>
                <w:webHidden/>
              </w:rPr>
            </w:r>
            <w:r w:rsidR="00896136">
              <w:rPr>
                <w:webHidden/>
              </w:rPr>
              <w:fldChar w:fldCharType="separate"/>
            </w:r>
            <w:r w:rsidR="00896136">
              <w:rPr>
                <w:webHidden/>
              </w:rPr>
              <w:t>3-365</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30" w:history="1">
            <w:r w:rsidR="00896136" w:rsidRPr="00220D79">
              <w:rPr>
                <w:rStyle w:val="Hyperlink"/>
              </w:rPr>
              <w:t>J.2</w:t>
            </w:r>
            <w:r w:rsidR="00896136">
              <w:rPr>
                <w:rFonts w:asciiTheme="minorHAnsi" w:eastAsiaTheme="minorEastAsia" w:hAnsiTheme="minorHAnsi"/>
                <w:b w:val="0"/>
                <w:color w:val="auto"/>
                <w:sz w:val="22"/>
                <w:lang w:eastAsia="en-AU"/>
              </w:rPr>
              <w:tab/>
            </w:r>
            <w:r w:rsidR="00896136" w:rsidRPr="00220D79">
              <w:rPr>
                <w:rStyle w:val="Hyperlink"/>
              </w:rPr>
              <w:t>Implementing the return on debt approach</w:t>
            </w:r>
            <w:r w:rsidR="00896136">
              <w:rPr>
                <w:webHidden/>
              </w:rPr>
              <w:tab/>
            </w:r>
            <w:r w:rsidR="00896136">
              <w:rPr>
                <w:webHidden/>
              </w:rPr>
              <w:fldChar w:fldCharType="begin"/>
            </w:r>
            <w:r w:rsidR="00896136">
              <w:rPr>
                <w:webHidden/>
              </w:rPr>
              <w:instrText xml:space="preserve"> PAGEREF _Toc451943830 \h </w:instrText>
            </w:r>
            <w:r w:rsidR="00896136">
              <w:rPr>
                <w:webHidden/>
              </w:rPr>
            </w:r>
            <w:r w:rsidR="00896136">
              <w:rPr>
                <w:webHidden/>
              </w:rPr>
              <w:fldChar w:fldCharType="separate"/>
            </w:r>
            <w:r w:rsidR="00896136">
              <w:rPr>
                <w:webHidden/>
              </w:rPr>
              <w:t>3-366</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31" w:history="1">
            <w:r w:rsidR="00896136" w:rsidRPr="00220D79">
              <w:rPr>
                <w:rStyle w:val="Hyperlink"/>
              </w:rPr>
              <w:t>K</w:t>
            </w:r>
            <w:r w:rsidR="00896136">
              <w:rPr>
                <w:rFonts w:asciiTheme="minorHAnsi" w:eastAsiaTheme="minorEastAsia" w:hAnsiTheme="minorHAnsi"/>
                <w:b w:val="0"/>
                <w:color w:val="auto"/>
                <w:sz w:val="22"/>
                <w:lang w:val="en-AU" w:eastAsia="en-AU"/>
              </w:rPr>
              <w:tab/>
            </w:r>
            <w:r w:rsidR="00896136" w:rsidRPr="00220D79">
              <w:rPr>
                <w:rStyle w:val="Hyperlink"/>
              </w:rPr>
              <w:t>Equity and debt raising costs</w:t>
            </w:r>
            <w:r w:rsidR="00896136">
              <w:rPr>
                <w:webHidden/>
              </w:rPr>
              <w:tab/>
            </w:r>
            <w:r w:rsidR="00896136">
              <w:rPr>
                <w:webHidden/>
              </w:rPr>
              <w:fldChar w:fldCharType="begin"/>
            </w:r>
            <w:r w:rsidR="00896136">
              <w:rPr>
                <w:webHidden/>
              </w:rPr>
              <w:instrText xml:space="preserve"> PAGEREF _Toc451943831 \h </w:instrText>
            </w:r>
            <w:r w:rsidR="00896136">
              <w:rPr>
                <w:webHidden/>
              </w:rPr>
            </w:r>
            <w:r w:rsidR="00896136">
              <w:rPr>
                <w:webHidden/>
              </w:rPr>
              <w:fldChar w:fldCharType="separate"/>
            </w:r>
            <w:r w:rsidR="00896136">
              <w:rPr>
                <w:webHidden/>
              </w:rPr>
              <w:t>3-378</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32" w:history="1">
            <w:r w:rsidR="00896136" w:rsidRPr="00220D79">
              <w:rPr>
                <w:rStyle w:val="Hyperlink"/>
              </w:rPr>
              <w:t>K.1</w:t>
            </w:r>
            <w:r w:rsidR="00896136">
              <w:rPr>
                <w:rFonts w:asciiTheme="minorHAnsi" w:eastAsiaTheme="minorEastAsia" w:hAnsiTheme="minorHAnsi"/>
                <w:b w:val="0"/>
                <w:color w:val="auto"/>
                <w:sz w:val="22"/>
                <w:lang w:eastAsia="en-AU"/>
              </w:rPr>
              <w:tab/>
            </w:r>
            <w:r w:rsidR="00896136" w:rsidRPr="00220D79">
              <w:rPr>
                <w:rStyle w:val="Hyperlink"/>
              </w:rPr>
              <w:t>Equity raising costs</w:t>
            </w:r>
            <w:r w:rsidR="00896136">
              <w:rPr>
                <w:webHidden/>
              </w:rPr>
              <w:tab/>
            </w:r>
            <w:r w:rsidR="00896136">
              <w:rPr>
                <w:webHidden/>
              </w:rPr>
              <w:fldChar w:fldCharType="begin"/>
            </w:r>
            <w:r w:rsidR="00896136">
              <w:rPr>
                <w:webHidden/>
              </w:rPr>
              <w:instrText xml:space="preserve"> PAGEREF _Toc451943832 \h </w:instrText>
            </w:r>
            <w:r w:rsidR="00896136">
              <w:rPr>
                <w:webHidden/>
              </w:rPr>
            </w:r>
            <w:r w:rsidR="00896136">
              <w:rPr>
                <w:webHidden/>
              </w:rPr>
              <w:fldChar w:fldCharType="separate"/>
            </w:r>
            <w:r w:rsidR="00896136">
              <w:rPr>
                <w:webHidden/>
              </w:rPr>
              <w:t>3-378</w:t>
            </w:r>
            <w:r w:rsidR="00896136">
              <w:rPr>
                <w:webHidden/>
              </w:rPr>
              <w:fldChar w:fldCharType="end"/>
            </w:r>
          </w:hyperlink>
        </w:p>
        <w:p w:rsidR="00896136" w:rsidRDefault="007F1E09">
          <w:pPr>
            <w:pStyle w:val="TOC2"/>
            <w:rPr>
              <w:rFonts w:asciiTheme="minorHAnsi" w:eastAsiaTheme="minorEastAsia" w:hAnsiTheme="minorHAnsi"/>
              <w:b w:val="0"/>
              <w:color w:val="auto"/>
              <w:sz w:val="22"/>
              <w:lang w:eastAsia="en-AU"/>
            </w:rPr>
          </w:pPr>
          <w:hyperlink w:anchor="_Toc451943833" w:history="1">
            <w:r w:rsidR="00896136" w:rsidRPr="00220D79">
              <w:rPr>
                <w:rStyle w:val="Hyperlink"/>
              </w:rPr>
              <w:t>K.2</w:t>
            </w:r>
            <w:r w:rsidR="00896136">
              <w:rPr>
                <w:rFonts w:asciiTheme="minorHAnsi" w:eastAsiaTheme="minorEastAsia" w:hAnsiTheme="minorHAnsi"/>
                <w:b w:val="0"/>
                <w:color w:val="auto"/>
                <w:sz w:val="22"/>
                <w:lang w:eastAsia="en-AU"/>
              </w:rPr>
              <w:tab/>
            </w:r>
            <w:r w:rsidR="00896136" w:rsidRPr="00220D79">
              <w:rPr>
                <w:rStyle w:val="Hyperlink"/>
              </w:rPr>
              <w:t>Debt raising costs</w:t>
            </w:r>
            <w:r w:rsidR="00896136">
              <w:rPr>
                <w:webHidden/>
              </w:rPr>
              <w:tab/>
            </w:r>
            <w:r w:rsidR="00896136">
              <w:rPr>
                <w:webHidden/>
              </w:rPr>
              <w:fldChar w:fldCharType="begin"/>
            </w:r>
            <w:r w:rsidR="00896136">
              <w:rPr>
                <w:webHidden/>
              </w:rPr>
              <w:instrText xml:space="preserve"> PAGEREF _Toc451943833 \h </w:instrText>
            </w:r>
            <w:r w:rsidR="00896136">
              <w:rPr>
                <w:webHidden/>
              </w:rPr>
            </w:r>
            <w:r w:rsidR="00896136">
              <w:rPr>
                <w:webHidden/>
              </w:rPr>
              <w:fldChar w:fldCharType="separate"/>
            </w:r>
            <w:r w:rsidR="00896136">
              <w:rPr>
                <w:webHidden/>
              </w:rPr>
              <w:t>3-379</w:t>
            </w:r>
            <w:r w:rsidR="00896136">
              <w:rPr>
                <w:webHidden/>
              </w:rPr>
              <w:fldChar w:fldCharType="end"/>
            </w:r>
          </w:hyperlink>
        </w:p>
        <w:p w:rsidR="00896136" w:rsidRDefault="007F1E09">
          <w:pPr>
            <w:pStyle w:val="TOC1"/>
            <w:rPr>
              <w:rFonts w:asciiTheme="minorHAnsi" w:eastAsiaTheme="minorEastAsia" w:hAnsiTheme="minorHAnsi"/>
              <w:b w:val="0"/>
              <w:color w:val="auto"/>
              <w:sz w:val="22"/>
              <w:lang w:val="en-AU" w:eastAsia="en-AU"/>
            </w:rPr>
          </w:pPr>
          <w:hyperlink w:anchor="_Toc451943834" w:history="1">
            <w:r w:rsidR="00896136" w:rsidRPr="00220D79">
              <w:rPr>
                <w:rStyle w:val="Hyperlink"/>
              </w:rPr>
              <w:t>L</w:t>
            </w:r>
            <w:r w:rsidR="00896136">
              <w:rPr>
                <w:rFonts w:asciiTheme="minorHAnsi" w:eastAsiaTheme="minorEastAsia" w:hAnsiTheme="minorHAnsi"/>
                <w:b w:val="0"/>
                <w:color w:val="auto"/>
                <w:sz w:val="22"/>
                <w:lang w:val="en-AU" w:eastAsia="en-AU"/>
              </w:rPr>
              <w:tab/>
            </w:r>
            <w:r w:rsidR="00896136" w:rsidRPr="00220D79">
              <w:rPr>
                <w:rStyle w:val="Hyperlink"/>
              </w:rPr>
              <w:t>Equity and debt averaging periods (Confidential)</w:t>
            </w:r>
            <w:r w:rsidR="00896136">
              <w:rPr>
                <w:webHidden/>
              </w:rPr>
              <w:tab/>
            </w:r>
            <w:r w:rsidR="00896136">
              <w:rPr>
                <w:webHidden/>
              </w:rPr>
              <w:fldChar w:fldCharType="begin"/>
            </w:r>
            <w:r w:rsidR="00896136">
              <w:rPr>
                <w:webHidden/>
              </w:rPr>
              <w:instrText xml:space="preserve"> PAGEREF _Toc451943834 \h </w:instrText>
            </w:r>
            <w:r w:rsidR="00896136">
              <w:rPr>
                <w:webHidden/>
              </w:rPr>
            </w:r>
            <w:r w:rsidR="00896136">
              <w:rPr>
                <w:webHidden/>
              </w:rPr>
              <w:fldChar w:fldCharType="separate"/>
            </w:r>
            <w:r w:rsidR="00896136">
              <w:rPr>
                <w:webHidden/>
              </w:rPr>
              <w:t>3-381</w:t>
            </w:r>
            <w:r w:rsidR="00896136">
              <w:rPr>
                <w:webHidden/>
              </w:rPr>
              <w:fldChar w:fldCharType="end"/>
            </w:r>
          </w:hyperlink>
        </w:p>
        <w:p w:rsidR="00DE563D" w:rsidRDefault="00896136" w:rsidP="00896136">
          <w:pPr>
            <w:pStyle w:val="TOC1"/>
          </w:pPr>
          <w:r>
            <w:rPr>
              <w:color w:val="auto"/>
              <w:sz w:val="22"/>
            </w:rPr>
            <w:fldChar w:fldCharType="end"/>
          </w:r>
        </w:p>
      </w:sdtContent>
    </w:sdt>
    <w:p w:rsidR="00DE563D" w:rsidRDefault="00C84560">
      <w:pPr>
        <w:spacing w:line="240" w:lineRule="auto"/>
      </w:pPr>
      <w:r>
        <w:t xml:space="preserve"> </w:t>
      </w:r>
    </w:p>
    <w:p w:rsidR="00E7494F" w:rsidRDefault="00DE563D" w:rsidP="00DE772C">
      <w:pPr>
        <w:pStyle w:val="UnnumberedHeading"/>
        <w:numPr>
          <w:ilvl w:val="0"/>
          <w:numId w:val="23"/>
        </w:numPr>
      </w:pPr>
      <w:bookmarkStart w:id="8" w:name="_Toc404700925"/>
      <w:bookmarkStart w:id="9" w:name="_Toc451943767"/>
      <w:r>
        <w:t>Shortened forms</w:t>
      </w:r>
      <w:bookmarkEnd w:id="8"/>
      <w:bookmarkEnd w:id="9"/>
    </w:p>
    <w:tbl>
      <w:tblPr>
        <w:tblStyle w:val="AERtable-text0"/>
        <w:tblW w:w="0" w:type="auto"/>
        <w:tblLook w:val="04A0" w:firstRow="1" w:lastRow="0" w:firstColumn="1" w:lastColumn="0" w:noHBand="0" w:noVBand="1"/>
      </w:tblPr>
      <w:tblGrid>
        <w:gridCol w:w="3652"/>
        <w:gridCol w:w="5041"/>
      </w:tblGrid>
      <w:tr w:rsidR="00E7494F" w:rsidTr="00DB4FCE">
        <w:trPr>
          <w:cnfStyle w:val="100000000000" w:firstRow="1" w:lastRow="0" w:firstColumn="0" w:lastColumn="0" w:oddVBand="0" w:evenVBand="0" w:oddHBand="0" w:evenHBand="0" w:firstRowFirstColumn="0" w:firstRowLastColumn="0" w:lastRowFirstColumn="0" w:lastRowLastColumn="0"/>
          <w:tblHeader/>
        </w:trPr>
        <w:tc>
          <w:tcPr>
            <w:tcW w:w="3652" w:type="dxa"/>
          </w:tcPr>
          <w:p w:rsidR="00E7494F" w:rsidRDefault="00E7494F" w:rsidP="00E7494F">
            <w:pPr>
              <w:numPr>
                <w:ilvl w:val="0"/>
                <w:numId w:val="24"/>
              </w:numPr>
            </w:pPr>
            <w:r>
              <w:t>Shortened form</w:t>
            </w:r>
          </w:p>
        </w:tc>
        <w:tc>
          <w:tcPr>
            <w:tcW w:w="5041" w:type="dxa"/>
          </w:tcPr>
          <w:p w:rsidR="00E7494F" w:rsidRDefault="00E7494F" w:rsidP="00E7494F">
            <w:pPr>
              <w:numPr>
                <w:ilvl w:val="0"/>
                <w:numId w:val="24"/>
              </w:numPr>
            </w:pPr>
            <w:r>
              <w:t>Extended form</w:t>
            </w:r>
          </w:p>
        </w:tc>
      </w:tr>
      <w:tr w:rsidR="00E7494F" w:rsidTr="007C0E47">
        <w:tc>
          <w:tcPr>
            <w:tcW w:w="3652" w:type="dxa"/>
          </w:tcPr>
          <w:p w:rsidR="00E7494F" w:rsidRDefault="00E7494F" w:rsidP="00E7494F">
            <w:pPr>
              <w:numPr>
                <w:ilvl w:val="0"/>
                <w:numId w:val="24"/>
              </w:numPr>
            </w:pPr>
            <w:r>
              <w:t>AA</w:t>
            </w:r>
          </w:p>
        </w:tc>
        <w:tc>
          <w:tcPr>
            <w:tcW w:w="5041" w:type="dxa"/>
          </w:tcPr>
          <w:p w:rsidR="00E7494F" w:rsidRPr="00E7494F" w:rsidRDefault="00E7494F" w:rsidP="00E7494F">
            <w:r>
              <w:t>Access Arrangement</w:t>
            </w:r>
          </w:p>
        </w:tc>
      </w:tr>
      <w:tr w:rsidR="00E7494F"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E7494F" w:rsidRDefault="00E7494F" w:rsidP="00E7494F">
            <w:pPr>
              <w:numPr>
                <w:ilvl w:val="0"/>
                <w:numId w:val="24"/>
              </w:numPr>
            </w:pPr>
            <w:r>
              <w:t>AAI</w:t>
            </w:r>
          </w:p>
        </w:tc>
        <w:tc>
          <w:tcPr>
            <w:tcW w:w="5041" w:type="dxa"/>
          </w:tcPr>
          <w:p w:rsidR="00E7494F" w:rsidRPr="00E7494F" w:rsidRDefault="00E7494F" w:rsidP="00E7494F">
            <w:r>
              <w:t>Access Arrangement Information</w:t>
            </w:r>
          </w:p>
        </w:tc>
      </w:tr>
      <w:tr w:rsidR="007C0E47" w:rsidTr="007C0E47">
        <w:tc>
          <w:tcPr>
            <w:tcW w:w="3652" w:type="dxa"/>
          </w:tcPr>
          <w:p w:rsidR="007C0E47" w:rsidRDefault="007C0E47" w:rsidP="007C0E47">
            <w:pPr>
              <w:numPr>
                <w:ilvl w:val="0"/>
                <w:numId w:val="24"/>
              </w:numPr>
            </w:pPr>
            <w:r>
              <w:t>AEMC</w:t>
            </w:r>
          </w:p>
        </w:tc>
        <w:tc>
          <w:tcPr>
            <w:tcW w:w="5041" w:type="dxa"/>
          </w:tcPr>
          <w:p w:rsidR="007C0E47" w:rsidRDefault="007C0E47" w:rsidP="007C0E47">
            <w:pPr>
              <w:numPr>
                <w:ilvl w:val="0"/>
                <w:numId w:val="24"/>
              </w:numPr>
            </w:pPr>
            <w:r>
              <w:t>Australian Energy Market Commission</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AER</w:t>
            </w:r>
          </w:p>
        </w:tc>
        <w:tc>
          <w:tcPr>
            <w:tcW w:w="5041" w:type="dxa"/>
          </w:tcPr>
          <w:p w:rsidR="007C0E47" w:rsidRDefault="007C0E47" w:rsidP="007C0E47">
            <w:pPr>
              <w:numPr>
                <w:ilvl w:val="0"/>
                <w:numId w:val="24"/>
              </w:numPr>
            </w:pPr>
            <w:r>
              <w:t>Australian Energy Regulator</w:t>
            </w:r>
          </w:p>
        </w:tc>
      </w:tr>
      <w:tr w:rsidR="007C0E47" w:rsidTr="007C0E47">
        <w:tc>
          <w:tcPr>
            <w:tcW w:w="3652" w:type="dxa"/>
          </w:tcPr>
          <w:p w:rsidR="007C0E47" w:rsidRDefault="007C0E47" w:rsidP="007C0E47">
            <w:pPr>
              <w:numPr>
                <w:ilvl w:val="0"/>
                <w:numId w:val="24"/>
              </w:numPr>
            </w:pPr>
            <w:r>
              <w:t>AGN</w:t>
            </w:r>
          </w:p>
        </w:tc>
        <w:tc>
          <w:tcPr>
            <w:tcW w:w="5041" w:type="dxa"/>
          </w:tcPr>
          <w:p w:rsidR="007C0E47" w:rsidRDefault="007C0E47" w:rsidP="007C0E47">
            <w:pPr>
              <w:rPr>
                <w:rStyle w:val="AERtextsize8"/>
              </w:rPr>
            </w:pPr>
            <w:r>
              <w:rPr>
                <w:rStyle w:val="AERtextsize8"/>
              </w:rPr>
              <w:t>Australian Gas Networks</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ARORO</w:t>
            </w:r>
          </w:p>
        </w:tc>
        <w:tc>
          <w:tcPr>
            <w:tcW w:w="5041" w:type="dxa"/>
          </w:tcPr>
          <w:p w:rsidR="007C0E47" w:rsidRPr="007C0E47" w:rsidRDefault="007C0E47" w:rsidP="007C0E47">
            <w:r>
              <w:rPr>
                <w:rStyle w:val="AERtextsize8"/>
              </w:rPr>
              <w:t>allowed rate of return objective</w:t>
            </w:r>
          </w:p>
        </w:tc>
      </w:tr>
      <w:tr w:rsidR="007C0E47" w:rsidTr="007C0E47">
        <w:tc>
          <w:tcPr>
            <w:tcW w:w="3652" w:type="dxa"/>
          </w:tcPr>
          <w:p w:rsidR="007C0E47" w:rsidRDefault="007C0E47" w:rsidP="007C0E47">
            <w:pPr>
              <w:numPr>
                <w:ilvl w:val="0"/>
                <w:numId w:val="24"/>
              </w:numPr>
            </w:pPr>
            <w:r>
              <w:t>BVAL</w:t>
            </w:r>
          </w:p>
        </w:tc>
        <w:tc>
          <w:tcPr>
            <w:tcW w:w="5041" w:type="dxa"/>
          </w:tcPr>
          <w:p w:rsidR="007C0E47" w:rsidRPr="007C0E47" w:rsidRDefault="007C0E47" w:rsidP="007C0E47">
            <w:r w:rsidRPr="00075E3F">
              <w:rPr>
                <w:rStyle w:val="AERtextsize8"/>
              </w:rPr>
              <w:t>Bloomberg Valuation Service</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capex</w:t>
            </w:r>
          </w:p>
        </w:tc>
        <w:tc>
          <w:tcPr>
            <w:tcW w:w="5041" w:type="dxa"/>
          </w:tcPr>
          <w:p w:rsidR="007C0E47" w:rsidRDefault="007C0E47" w:rsidP="007C0E47">
            <w:pPr>
              <w:numPr>
                <w:ilvl w:val="0"/>
                <w:numId w:val="24"/>
              </w:numPr>
            </w:pPr>
            <w:r>
              <w:t>capital expenditure</w:t>
            </w:r>
          </w:p>
        </w:tc>
      </w:tr>
      <w:tr w:rsidR="007C0E47" w:rsidTr="007C0E47">
        <w:tc>
          <w:tcPr>
            <w:tcW w:w="3652" w:type="dxa"/>
          </w:tcPr>
          <w:p w:rsidR="007C0E47" w:rsidRDefault="007C0E47" w:rsidP="007C0E47">
            <w:pPr>
              <w:numPr>
                <w:ilvl w:val="0"/>
                <w:numId w:val="24"/>
              </w:numPr>
            </w:pPr>
            <w:r>
              <w:t>CAPM</w:t>
            </w:r>
          </w:p>
        </w:tc>
        <w:tc>
          <w:tcPr>
            <w:tcW w:w="5041" w:type="dxa"/>
          </w:tcPr>
          <w:p w:rsidR="007C0E47" w:rsidRDefault="007C0E47" w:rsidP="007C0E47">
            <w:pPr>
              <w:numPr>
                <w:ilvl w:val="0"/>
                <w:numId w:val="24"/>
              </w:numPr>
            </w:pPr>
            <w:r>
              <w:t>capital asset pricing model</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CCP</w:t>
            </w:r>
          </w:p>
        </w:tc>
        <w:tc>
          <w:tcPr>
            <w:tcW w:w="5041" w:type="dxa"/>
          </w:tcPr>
          <w:p w:rsidR="007C0E47" w:rsidRDefault="007C0E47" w:rsidP="007C0E47">
            <w:pPr>
              <w:numPr>
                <w:ilvl w:val="0"/>
                <w:numId w:val="24"/>
              </w:numPr>
            </w:pPr>
            <w:r w:rsidRPr="00712239">
              <w:rPr>
                <w:rStyle w:val="AERtextsize8"/>
              </w:rPr>
              <w:t xml:space="preserve">Consumer </w:t>
            </w:r>
            <w:r w:rsidRPr="00EA768D">
              <w:rPr>
                <w:rStyle w:val="AERtextsize8"/>
              </w:rPr>
              <w:t>Challenge Panel</w:t>
            </w:r>
          </w:p>
        </w:tc>
      </w:tr>
      <w:tr w:rsidR="007C0E47" w:rsidTr="007C0E47">
        <w:tc>
          <w:tcPr>
            <w:tcW w:w="3652" w:type="dxa"/>
          </w:tcPr>
          <w:p w:rsidR="007C0E47" w:rsidRDefault="007C0E47" w:rsidP="007C0E47">
            <w:pPr>
              <w:numPr>
                <w:ilvl w:val="0"/>
                <w:numId w:val="24"/>
              </w:numPr>
            </w:pPr>
            <w:r>
              <w:t>CGS</w:t>
            </w:r>
          </w:p>
        </w:tc>
        <w:tc>
          <w:tcPr>
            <w:tcW w:w="5041" w:type="dxa"/>
          </w:tcPr>
          <w:p w:rsidR="007C0E47" w:rsidRPr="00712239" w:rsidRDefault="007C0E47" w:rsidP="007C0E47">
            <w:pPr>
              <w:numPr>
                <w:ilvl w:val="0"/>
                <w:numId w:val="24"/>
              </w:numPr>
              <w:rPr>
                <w:rStyle w:val="AERtextsize8"/>
              </w:rPr>
            </w:pPr>
            <w:r>
              <w:t>Commonwealth Government Securities</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CPI</w:t>
            </w:r>
          </w:p>
        </w:tc>
        <w:tc>
          <w:tcPr>
            <w:tcW w:w="5041" w:type="dxa"/>
          </w:tcPr>
          <w:p w:rsidR="007C0E47" w:rsidRDefault="007C0E47" w:rsidP="007C0E47">
            <w:pPr>
              <w:numPr>
                <w:ilvl w:val="0"/>
                <w:numId w:val="24"/>
              </w:numPr>
            </w:pPr>
            <w:r>
              <w:t>consumer price index</w:t>
            </w:r>
          </w:p>
        </w:tc>
      </w:tr>
      <w:tr w:rsidR="007C0E47" w:rsidTr="007C0E47">
        <w:tc>
          <w:tcPr>
            <w:tcW w:w="3652" w:type="dxa"/>
          </w:tcPr>
          <w:p w:rsidR="007C0E47" w:rsidRDefault="007C0E47" w:rsidP="007C0E47">
            <w:pPr>
              <w:numPr>
                <w:ilvl w:val="0"/>
                <w:numId w:val="24"/>
              </w:numPr>
            </w:pPr>
            <w:r>
              <w:t>DGM</w:t>
            </w:r>
          </w:p>
        </w:tc>
        <w:tc>
          <w:tcPr>
            <w:tcW w:w="5041" w:type="dxa"/>
          </w:tcPr>
          <w:p w:rsidR="007C0E47" w:rsidRDefault="007C0E47" w:rsidP="007C0E47">
            <w:pPr>
              <w:numPr>
                <w:ilvl w:val="0"/>
                <w:numId w:val="24"/>
              </w:numPr>
            </w:pPr>
            <w:r>
              <w:rPr>
                <w:rStyle w:val="AERtextsize8"/>
              </w:rPr>
              <w:t>dividend growth model</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DRP</w:t>
            </w:r>
          </w:p>
        </w:tc>
        <w:tc>
          <w:tcPr>
            <w:tcW w:w="5041" w:type="dxa"/>
          </w:tcPr>
          <w:p w:rsidR="007C0E47" w:rsidRDefault="007C0E47" w:rsidP="007C0E47">
            <w:pPr>
              <w:numPr>
                <w:ilvl w:val="0"/>
                <w:numId w:val="24"/>
              </w:numPr>
            </w:pPr>
            <w:r>
              <w:t>debt risk premium</w:t>
            </w:r>
          </w:p>
        </w:tc>
      </w:tr>
      <w:tr w:rsidR="007C0E47" w:rsidTr="007C0E47">
        <w:tc>
          <w:tcPr>
            <w:tcW w:w="3652" w:type="dxa"/>
          </w:tcPr>
          <w:p w:rsidR="007C0E47" w:rsidRDefault="007C0E47" w:rsidP="007C0E47">
            <w:pPr>
              <w:numPr>
                <w:ilvl w:val="0"/>
                <w:numId w:val="24"/>
              </w:numPr>
            </w:pPr>
            <w:r>
              <w:t>distributor</w:t>
            </w:r>
          </w:p>
        </w:tc>
        <w:tc>
          <w:tcPr>
            <w:tcW w:w="5041" w:type="dxa"/>
          </w:tcPr>
          <w:p w:rsidR="007C0E47" w:rsidRPr="007C0E47" w:rsidRDefault="007C0E47" w:rsidP="007C0E47">
            <w:r w:rsidRPr="00712239">
              <w:rPr>
                <w:rStyle w:val="AERtextsize8"/>
              </w:rPr>
              <w:t>distribution network service provider</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ERP</w:t>
            </w:r>
          </w:p>
        </w:tc>
        <w:tc>
          <w:tcPr>
            <w:tcW w:w="5041" w:type="dxa"/>
          </w:tcPr>
          <w:p w:rsidR="007C0E47" w:rsidRDefault="007C0E47" w:rsidP="007C0E47">
            <w:pPr>
              <w:numPr>
                <w:ilvl w:val="0"/>
                <w:numId w:val="24"/>
              </w:numPr>
            </w:pPr>
            <w:r>
              <w:t>equity risk premium</w:t>
            </w:r>
          </w:p>
        </w:tc>
      </w:tr>
      <w:tr w:rsidR="007C0E47" w:rsidTr="007C0E47">
        <w:tc>
          <w:tcPr>
            <w:tcW w:w="3652" w:type="dxa"/>
          </w:tcPr>
          <w:p w:rsidR="007C0E47" w:rsidRDefault="007C0E47" w:rsidP="007C0E47">
            <w:pPr>
              <w:numPr>
                <w:ilvl w:val="0"/>
                <w:numId w:val="24"/>
              </w:numPr>
            </w:pPr>
            <w:r>
              <w:rPr>
                <w:rStyle w:val="AERtextsize8"/>
              </w:rPr>
              <w:t>FFM</w:t>
            </w:r>
          </w:p>
        </w:tc>
        <w:tc>
          <w:tcPr>
            <w:tcW w:w="5041" w:type="dxa"/>
          </w:tcPr>
          <w:p w:rsidR="007C0E47" w:rsidRPr="007C0E47" w:rsidRDefault="007C0E47" w:rsidP="007C0E47">
            <w:r>
              <w:rPr>
                <w:rStyle w:val="AERtextsize8"/>
              </w:rPr>
              <w:t>Fama-French three-factor model</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gamma</w:t>
            </w:r>
          </w:p>
        </w:tc>
        <w:tc>
          <w:tcPr>
            <w:tcW w:w="5041" w:type="dxa"/>
          </w:tcPr>
          <w:p w:rsidR="007C0E47" w:rsidRPr="007C0E47" w:rsidRDefault="007C0E47" w:rsidP="007C0E47">
            <w:r>
              <w:t>Value of Imputation Credits</w:t>
            </w:r>
          </w:p>
        </w:tc>
      </w:tr>
      <w:tr w:rsidR="007C0E47" w:rsidTr="007C0E47">
        <w:tc>
          <w:tcPr>
            <w:tcW w:w="3652" w:type="dxa"/>
          </w:tcPr>
          <w:p w:rsidR="007C0E47" w:rsidRDefault="007C0E47" w:rsidP="007C0E47">
            <w:pPr>
              <w:numPr>
                <w:ilvl w:val="0"/>
                <w:numId w:val="24"/>
              </w:numPr>
            </w:pPr>
            <w:r>
              <w:t>the Guideline</w:t>
            </w:r>
          </w:p>
        </w:tc>
        <w:tc>
          <w:tcPr>
            <w:tcW w:w="5041" w:type="dxa"/>
          </w:tcPr>
          <w:p w:rsidR="007C0E47" w:rsidRPr="007C0E47" w:rsidRDefault="007C0E47" w:rsidP="007C0E47">
            <w:r>
              <w:rPr>
                <w:rStyle w:val="AERtextsize8"/>
              </w:rPr>
              <w:t>t</w:t>
            </w:r>
            <w:r w:rsidRPr="007C0E47">
              <w:rPr>
                <w:rStyle w:val="AERtextsize8"/>
              </w:rPr>
              <w:t>he rate of return guidelines, published December 2013</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MRP</w:t>
            </w:r>
          </w:p>
        </w:tc>
        <w:tc>
          <w:tcPr>
            <w:tcW w:w="5041" w:type="dxa"/>
          </w:tcPr>
          <w:p w:rsidR="007C0E47" w:rsidRDefault="007C0E47" w:rsidP="007C0E47">
            <w:pPr>
              <w:numPr>
                <w:ilvl w:val="0"/>
                <w:numId w:val="24"/>
              </w:numPr>
            </w:pPr>
            <w:r>
              <w:t>market risk premium</w:t>
            </w:r>
          </w:p>
        </w:tc>
      </w:tr>
      <w:tr w:rsidR="007C0E47" w:rsidTr="007C0E47">
        <w:tc>
          <w:tcPr>
            <w:tcW w:w="3652" w:type="dxa"/>
          </w:tcPr>
          <w:p w:rsidR="007C0E47" w:rsidRPr="00F47AAE" w:rsidRDefault="007C0E47" w:rsidP="007C0E47">
            <w:pPr>
              <w:numPr>
                <w:ilvl w:val="0"/>
                <w:numId w:val="24"/>
              </w:numPr>
            </w:pPr>
            <w:r>
              <w:rPr>
                <w:rStyle w:val="AERtextsize8"/>
              </w:rPr>
              <w:t>MSE</w:t>
            </w:r>
          </w:p>
        </w:tc>
        <w:tc>
          <w:tcPr>
            <w:tcW w:w="5041" w:type="dxa"/>
          </w:tcPr>
          <w:p w:rsidR="007C0E47" w:rsidRPr="00F47AAE" w:rsidRDefault="007C0E47" w:rsidP="007C0E47">
            <w:pPr>
              <w:numPr>
                <w:ilvl w:val="0"/>
                <w:numId w:val="24"/>
              </w:numPr>
            </w:pPr>
            <w:r w:rsidRPr="00075E3F">
              <w:rPr>
                <w:rStyle w:val="AERtextsize8"/>
              </w:rPr>
              <w:t>mean squared error</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NEL</w:t>
            </w:r>
          </w:p>
        </w:tc>
        <w:tc>
          <w:tcPr>
            <w:tcW w:w="5041" w:type="dxa"/>
          </w:tcPr>
          <w:p w:rsidR="007C0E47" w:rsidRDefault="007C0E47" w:rsidP="007C0E47">
            <w:pPr>
              <w:numPr>
                <w:ilvl w:val="0"/>
                <w:numId w:val="24"/>
              </w:numPr>
            </w:pPr>
            <w:r>
              <w:t>national electricity law</w:t>
            </w:r>
          </w:p>
        </w:tc>
      </w:tr>
      <w:tr w:rsidR="007C0E47" w:rsidTr="007C0E47">
        <w:tc>
          <w:tcPr>
            <w:tcW w:w="3652" w:type="dxa"/>
          </w:tcPr>
          <w:p w:rsidR="007C0E47" w:rsidRDefault="007C0E47" w:rsidP="007C0E47">
            <w:pPr>
              <w:numPr>
                <w:ilvl w:val="0"/>
                <w:numId w:val="24"/>
              </w:numPr>
            </w:pPr>
            <w:r>
              <w:t>NEO</w:t>
            </w:r>
          </w:p>
        </w:tc>
        <w:tc>
          <w:tcPr>
            <w:tcW w:w="5041" w:type="dxa"/>
          </w:tcPr>
          <w:p w:rsidR="007C0E47" w:rsidRDefault="007C0E47" w:rsidP="007C0E47">
            <w:pPr>
              <w:numPr>
                <w:ilvl w:val="0"/>
                <w:numId w:val="24"/>
              </w:numPr>
            </w:pPr>
            <w:r>
              <w:t>national electricity objective</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NER</w:t>
            </w:r>
          </w:p>
        </w:tc>
        <w:tc>
          <w:tcPr>
            <w:tcW w:w="5041" w:type="dxa"/>
          </w:tcPr>
          <w:p w:rsidR="007C0E47" w:rsidRDefault="007C0E47" w:rsidP="007C0E47">
            <w:pPr>
              <w:numPr>
                <w:ilvl w:val="0"/>
                <w:numId w:val="24"/>
              </w:numPr>
            </w:pPr>
            <w:r w:rsidRPr="00712239">
              <w:rPr>
                <w:rStyle w:val="AERtextsize8"/>
              </w:rPr>
              <w:t>national electricity rules</w:t>
            </w:r>
          </w:p>
        </w:tc>
      </w:tr>
      <w:tr w:rsidR="007C0E47" w:rsidTr="007C0E47">
        <w:tc>
          <w:tcPr>
            <w:tcW w:w="3652" w:type="dxa"/>
          </w:tcPr>
          <w:p w:rsidR="007C0E47" w:rsidRDefault="007C0E47" w:rsidP="007C0E47">
            <w:pPr>
              <w:numPr>
                <w:ilvl w:val="0"/>
                <w:numId w:val="24"/>
              </w:numPr>
            </w:pPr>
            <w:r>
              <w:t>NGL</w:t>
            </w:r>
          </w:p>
        </w:tc>
        <w:tc>
          <w:tcPr>
            <w:tcW w:w="5041" w:type="dxa"/>
          </w:tcPr>
          <w:p w:rsidR="007C0E47" w:rsidRDefault="007C0E47" w:rsidP="007C0E47">
            <w:pPr>
              <w:numPr>
                <w:ilvl w:val="0"/>
                <w:numId w:val="24"/>
              </w:numPr>
            </w:pPr>
            <w:r>
              <w:t>national gas law</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NGO</w:t>
            </w:r>
          </w:p>
        </w:tc>
        <w:tc>
          <w:tcPr>
            <w:tcW w:w="5041" w:type="dxa"/>
          </w:tcPr>
          <w:p w:rsidR="007C0E47" w:rsidRDefault="007C0E47" w:rsidP="007C0E47">
            <w:pPr>
              <w:numPr>
                <w:ilvl w:val="0"/>
                <w:numId w:val="24"/>
              </w:numPr>
            </w:pPr>
            <w:r>
              <w:t>national gas objective</w:t>
            </w:r>
          </w:p>
        </w:tc>
      </w:tr>
      <w:tr w:rsidR="007C0E47" w:rsidTr="007C0E47">
        <w:tc>
          <w:tcPr>
            <w:tcW w:w="3652" w:type="dxa"/>
          </w:tcPr>
          <w:p w:rsidR="007C0E47" w:rsidRDefault="007C0E47" w:rsidP="007C0E47">
            <w:pPr>
              <w:numPr>
                <w:ilvl w:val="0"/>
                <w:numId w:val="24"/>
              </w:numPr>
            </w:pPr>
            <w:r>
              <w:t>NGR</w:t>
            </w:r>
          </w:p>
        </w:tc>
        <w:tc>
          <w:tcPr>
            <w:tcW w:w="5041" w:type="dxa"/>
          </w:tcPr>
          <w:p w:rsidR="007C0E47" w:rsidRDefault="007C0E47" w:rsidP="007C0E47">
            <w:pPr>
              <w:numPr>
                <w:ilvl w:val="0"/>
                <w:numId w:val="24"/>
              </w:numPr>
            </w:pPr>
            <w:r>
              <w:t>national gas rules</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NPV</w:t>
            </w:r>
          </w:p>
        </w:tc>
        <w:tc>
          <w:tcPr>
            <w:tcW w:w="5041" w:type="dxa"/>
          </w:tcPr>
          <w:p w:rsidR="007C0E47" w:rsidRPr="007C0E47" w:rsidRDefault="007C0E47" w:rsidP="007C0E47">
            <w:r>
              <w:t>net present value</w:t>
            </w:r>
          </w:p>
        </w:tc>
      </w:tr>
      <w:tr w:rsidR="007C0E47" w:rsidTr="007C0E47">
        <w:tc>
          <w:tcPr>
            <w:tcW w:w="3652" w:type="dxa"/>
          </w:tcPr>
          <w:p w:rsidR="007C0E47" w:rsidRDefault="007C0E47" w:rsidP="007C0E47">
            <w:pPr>
              <w:numPr>
                <w:ilvl w:val="0"/>
                <w:numId w:val="24"/>
              </w:numPr>
            </w:pPr>
            <w:r w:rsidRPr="00712239">
              <w:rPr>
                <w:rStyle w:val="AERtextsize8"/>
              </w:rPr>
              <w:t>NSP</w:t>
            </w:r>
          </w:p>
        </w:tc>
        <w:tc>
          <w:tcPr>
            <w:tcW w:w="5041" w:type="dxa"/>
          </w:tcPr>
          <w:p w:rsidR="007C0E47" w:rsidRDefault="007C0E47" w:rsidP="007C0E47">
            <w:pPr>
              <w:numPr>
                <w:ilvl w:val="0"/>
                <w:numId w:val="24"/>
              </w:numPr>
            </w:pPr>
            <w:r w:rsidRPr="00712239">
              <w:rPr>
                <w:rStyle w:val="AERtextsize8"/>
              </w:rPr>
              <w:t xml:space="preserve">network service </w:t>
            </w:r>
            <w:r w:rsidRPr="00EA768D">
              <w:rPr>
                <w:rStyle w:val="AERtextsize8"/>
              </w:rPr>
              <w:t>provider</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OLS</w:t>
            </w:r>
          </w:p>
        </w:tc>
        <w:tc>
          <w:tcPr>
            <w:tcW w:w="5041" w:type="dxa"/>
          </w:tcPr>
          <w:p w:rsidR="007C0E47" w:rsidRDefault="007C0E47" w:rsidP="007C0E47">
            <w:pPr>
              <w:numPr>
                <w:ilvl w:val="0"/>
                <w:numId w:val="24"/>
              </w:numPr>
            </w:pPr>
            <w:r>
              <w:rPr>
                <w:rStyle w:val="AERtextsize8"/>
              </w:rPr>
              <w:t>ordinary least s</w:t>
            </w:r>
            <w:r w:rsidRPr="00075E3F">
              <w:rPr>
                <w:rStyle w:val="AERtextsize8"/>
              </w:rPr>
              <w:t>quares</w:t>
            </w:r>
          </w:p>
        </w:tc>
      </w:tr>
      <w:tr w:rsidR="007C0E47" w:rsidTr="007C0E47">
        <w:tc>
          <w:tcPr>
            <w:tcW w:w="3652" w:type="dxa"/>
          </w:tcPr>
          <w:p w:rsidR="007C0E47" w:rsidRDefault="007C0E47" w:rsidP="007C0E47">
            <w:pPr>
              <w:numPr>
                <w:ilvl w:val="0"/>
                <w:numId w:val="24"/>
              </w:numPr>
            </w:pPr>
            <w:r>
              <w:t>PTRM</w:t>
            </w:r>
          </w:p>
        </w:tc>
        <w:tc>
          <w:tcPr>
            <w:tcW w:w="5041" w:type="dxa"/>
          </w:tcPr>
          <w:p w:rsidR="007C0E47" w:rsidRDefault="007C0E47" w:rsidP="007C0E47">
            <w:pPr>
              <w:numPr>
                <w:ilvl w:val="0"/>
                <w:numId w:val="24"/>
              </w:numPr>
            </w:pPr>
            <w:r>
              <w:t>post-tax revenue model</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RAB</w:t>
            </w:r>
          </w:p>
        </w:tc>
        <w:tc>
          <w:tcPr>
            <w:tcW w:w="5041" w:type="dxa"/>
          </w:tcPr>
          <w:p w:rsidR="007C0E47" w:rsidRDefault="007C0E47" w:rsidP="007C0E47">
            <w:pPr>
              <w:numPr>
                <w:ilvl w:val="0"/>
                <w:numId w:val="24"/>
              </w:numPr>
            </w:pPr>
            <w:r>
              <w:t>regulatory asset base</w:t>
            </w:r>
          </w:p>
        </w:tc>
      </w:tr>
      <w:tr w:rsidR="007C0E47" w:rsidTr="007C0E47">
        <w:tc>
          <w:tcPr>
            <w:tcW w:w="3652" w:type="dxa"/>
          </w:tcPr>
          <w:p w:rsidR="007C0E47" w:rsidRDefault="007C0E47" w:rsidP="007C0E47">
            <w:pPr>
              <w:numPr>
                <w:ilvl w:val="0"/>
                <w:numId w:val="24"/>
              </w:numPr>
            </w:pPr>
            <w:r>
              <w:t>RBA</w:t>
            </w:r>
          </w:p>
        </w:tc>
        <w:tc>
          <w:tcPr>
            <w:tcW w:w="5041" w:type="dxa"/>
          </w:tcPr>
          <w:p w:rsidR="007C0E47" w:rsidRDefault="007C0E47" w:rsidP="007C0E47">
            <w:pPr>
              <w:numPr>
                <w:ilvl w:val="0"/>
                <w:numId w:val="24"/>
              </w:numPr>
            </w:pPr>
            <w:r>
              <w:t>Reserve Bank of Australia</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pPr>
            <w:r>
              <w:t>RPPs</w:t>
            </w:r>
          </w:p>
        </w:tc>
        <w:tc>
          <w:tcPr>
            <w:tcW w:w="5041" w:type="dxa"/>
          </w:tcPr>
          <w:p w:rsidR="007C0E47" w:rsidRDefault="007C0E47" w:rsidP="007C0E47">
            <w:pPr>
              <w:numPr>
                <w:ilvl w:val="0"/>
                <w:numId w:val="24"/>
              </w:numPr>
            </w:pPr>
            <w:r>
              <w:t>revenue and pricing principles</w:t>
            </w:r>
          </w:p>
        </w:tc>
      </w:tr>
      <w:tr w:rsidR="007C0E47" w:rsidTr="007C0E47">
        <w:tc>
          <w:tcPr>
            <w:tcW w:w="3652" w:type="dxa"/>
          </w:tcPr>
          <w:p w:rsidR="007C0E47" w:rsidRDefault="007C0E47" w:rsidP="007C0E47">
            <w:pPr>
              <w:numPr>
                <w:ilvl w:val="0"/>
                <w:numId w:val="24"/>
              </w:numPr>
            </w:pPr>
            <w:r>
              <w:rPr>
                <w:rStyle w:val="AERtextsize8"/>
              </w:rPr>
              <w:t>the Tribunal</w:t>
            </w:r>
          </w:p>
        </w:tc>
        <w:tc>
          <w:tcPr>
            <w:tcW w:w="5041" w:type="dxa"/>
          </w:tcPr>
          <w:p w:rsidR="007C0E47" w:rsidRDefault="007C0E47">
            <w:pPr>
              <w:numPr>
                <w:ilvl w:val="0"/>
                <w:numId w:val="24"/>
              </w:numPr>
            </w:pPr>
            <w:r>
              <w:rPr>
                <w:rStyle w:val="AERtextsize8"/>
              </w:rPr>
              <w:t>t</w:t>
            </w:r>
            <w:r w:rsidRPr="000F7B44">
              <w:rPr>
                <w:rStyle w:val="AERtextsize8"/>
              </w:rPr>
              <w:t>he Australian Competition Tribunal</w:t>
            </w:r>
            <w:r w:rsidDel="009E5C34">
              <w:t xml:space="preserve"> </w:t>
            </w:r>
          </w:p>
        </w:tc>
      </w:tr>
      <w:tr w:rsidR="007C0E47" w:rsidTr="007C0E47">
        <w:trPr>
          <w:cnfStyle w:val="000000010000" w:firstRow="0" w:lastRow="0" w:firstColumn="0" w:lastColumn="0" w:oddVBand="0" w:evenVBand="0" w:oddHBand="0" w:evenHBand="1" w:firstRowFirstColumn="0" w:firstRowLastColumn="0" w:lastRowFirstColumn="0" w:lastRowLastColumn="0"/>
        </w:trPr>
        <w:tc>
          <w:tcPr>
            <w:tcW w:w="3652" w:type="dxa"/>
          </w:tcPr>
          <w:p w:rsidR="007C0E47" w:rsidRDefault="007C0E47" w:rsidP="007C0E47">
            <w:pPr>
              <w:numPr>
                <w:ilvl w:val="0"/>
                <w:numId w:val="24"/>
              </w:numPr>
              <w:rPr>
                <w:rStyle w:val="AERtextsize8"/>
              </w:rPr>
            </w:pPr>
            <w:r>
              <w:t>WACC</w:t>
            </w:r>
          </w:p>
        </w:tc>
        <w:tc>
          <w:tcPr>
            <w:tcW w:w="5041" w:type="dxa"/>
          </w:tcPr>
          <w:p w:rsidR="007C0E47" w:rsidRDefault="007C0E47" w:rsidP="007C0E47">
            <w:pPr>
              <w:numPr>
                <w:ilvl w:val="0"/>
                <w:numId w:val="24"/>
              </w:numPr>
              <w:rPr>
                <w:rStyle w:val="AERtextsize8"/>
              </w:rPr>
            </w:pPr>
            <w:r>
              <w:t>weighted average cost of capital</w:t>
            </w:r>
          </w:p>
        </w:tc>
      </w:tr>
    </w:tbl>
    <w:p w:rsidR="00DE563D" w:rsidRDefault="00C54434" w:rsidP="00C54434">
      <w:pPr>
        <w:pStyle w:val="Heading1"/>
      </w:pPr>
      <w:bookmarkStart w:id="10" w:name="_Toc451943768"/>
      <w:r>
        <w:t>Rate of return</w:t>
      </w:r>
      <w:bookmarkEnd w:id="10"/>
    </w:p>
    <w:p w:rsidR="007E6AB8" w:rsidRPr="00874B16" w:rsidRDefault="007E6AB8" w:rsidP="007E6AB8">
      <w:bookmarkStart w:id="11" w:name="_Toc437001925"/>
      <w:bookmarkStart w:id="12" w:name="_Toc437332038"/>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785836" w:rsidRDefault="00785836" w:rsidP="00785836">
      <w:pPr>
        <w:pStyle w:val="Heading2"/>
      </w:pPr>
      <w:bookmarkStart w:id="13" w:name="_Toc451943769"/>
      <w:r>
        <w:t>Final decision</w:t>
      </w:r>
      <w:bookmarkEnd w:id="11"/>
      <w:bookmarkEnd w:id="13"/>
    </w:p>
    <w:p w:rsidR="00785836" w:rsidRDefault="00785836" w:rsidP="00785836">
      <w:pPr>
        <w:numPr>
          <w:ilvl w:val="0"/>
          <w:numId w:val="24"/>
        </w:numPr>
      </w:pPr>
      <w:r>
        <w:t xml:space="preserve">We are satisfied that the allowed rate of return of </w:t>
      </w:r>
      <w:r w:rsidR="007E6AB8">
        <w:t>6.15</w:t>
      </w:r>
      <w:r>
        <w:t xml:space="preserve"> per cent (nominal vanilla) we determined achieves the </w:t>
      </w:r>
      <w:r w:rsidRPr="00E75E61">
        <w:t xml:space="preserve">allowed </w:t>
      </w:r>
      <w:r>
        <w:t>rate of return objective</w:t>
      </w:r>
      <w:r w:rsidR="007E6AB8">
        <w:t xml:space="preserve"> (ARORO)</w:t>
      </w:r>
      <w:r>
        <w:t>.</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Australian Gas Networks (AGN) in providing </w:t>
      </w:r>
      <w:r w:rsidR="007524AA">
        <w:t>reference</w:t>
      </w:r>
      <w:r>
        <w:t xml:space="preserve"> services.</w:t>
      </w:r>
      <w:r>
        <w:rPr>
          <w:rStyle w:val="FootnoteReference"/>
        </w:rPr>
        <w:footnoteReference w:id="3"/>
      </w:r>
    </w:p>
    <w:p w:rsidR="00785836" w:rsidRDefault="00785836" w:rsidP="001463A8">
      <w:pPr>
        <w:numPr>
          <w:ilvl w:val="0"/>
          <w:numId w:val="24"/>
        </w:numPr>
      </w:pPr>
      <w:r>
        <w:t>This allowed rate of return will apply to AGN for the 2016</w:t>
      </w:r>
      <w:r w:rsidR="005506EB">
        <w:rPr>
          <w:rFonts w:cs="Arial"/>
        </w:rPr>
        <w:t>–</w:t>
      </w:r>
      <w:r w:rsidR="005506EB">
        <w:t xml:space="preserve">17 </w:t>
      </w:r>
      <w:r>
        <w:t xml:space="preserve">regulatory year. A different rate of return will apply to AGN for the remaining regulatory years of the </w:t>
      </w:r>
      <w:r w:rsidR="005B3950">
        <w:t>2016–21</w:t>
      </w:r>
      <w:r>
        <w:t xml:space="preserve"> </w:t>
      </w:r>
      <w:r w:rsidR="005B3950">
        <w:t>access arrangement</w:t>
      </w:r>
      <w:r>
        <w:t xml:space="preserve"> period. This is because we will update the return on debt component of the rate of return each year to partially reflect prevailing debt market conditions in each year. We discuss this annual update further below. </w:t>
      </w:r>
      <w:r w:rsidR="001463A8" w:rsidRPr="001463A8">
        <w:t xml:space="preserve">We have revised the access arrangement having regard to our reasons for refusing to approve AGN’s proposal and the further matters identified in the NGR section 64(2).  Our revisions are reflected in the </w:t>
      </w:r>
      <w:r w:rsidR="001463A8" w:rsidRPr="00087C25">
        <w:rPr>
          <w:rStyle w:val="AERtextitalic"/>
        </w:rPr>
        <w:t>Approved Access Arrangement for Australian Gas Networks' South Australian distribution network for 2016–21</w:t>
      </w:r>
      <w:r w:rsidR="001463A8" w:rsidRPr="001463A8">
        <w:t>, which gives effect to this decision.</w:t>
      </w:r>
    </w:p>
    <w:p w:rsidR="00785836" w:rsidRPr="009E54A9" w:rsidRDefault="00785836" w:rsidP="00785836">
      <w:r>
        <w:t>We are not satisfied that AGN's proposed (indicative) 8.</w:t>
      </w:r>
      <w:r w:rsidR="00D61F3D">
        <w:t>66</w:t>
      </w:r>
      <w:r>
        <w:t xml:space="preserve"> per cent rate of return for the 2016</w:t>
      </w:r>
      <w:r w:rsidR="005B3950">
        <w:rPr>
          <w:rFonts w:cs="Arial"/>
        </w:rPr>
        <w:t>–</w:t>
      </w:r>
      <w:r w:rsidR="005B3950">
        <w:t>17</w:t>
      </w:r>
      <w:r>
        <w:t xml:space="preserve"> regulatory year has been determined such that it achieves the </w:t>
      </w:r>
      <w:r w:rsidR="007E6AB8">
        <w:t>ARORO</w:t>
      </w:r>
      <w:r>
        <w:t>.</w:t>
      </w:r>
      <w:r>
        <w:rPr>
          <w:rStyle w:val="FootnoteReference"/>
        </w:rPr>
        <w:footnoteReference w:id="4"/>
      </w:r>
      <w:r>
        <w:t xml:space="preserve"> </w:t>
      </w:r>
    </w:p>
    <w:p w:rsidR="00785836" w:rsidRDefault="00785836" w:rsidP="00785836">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t>
      </w:r>
      <w:r w:rsidR="007E6AB8">
        <w:t xml:space="preserve">We are to determine the allowed rate of return such that it </w:t>
      </w:r>
      <w:r w:rsidR="007E6AB8" w:rsidRPr="003248EB">
        <w:t xml:space="preserve">achieves the </w:t>
      </w:r>
      <w:r w:rsidR="007E6AB8">
        <w:t>ARORO.</w:t>
      </w:r>
      <w:r w:rsidR="007E6AB8">
        <w:rPr>
          <w:rStyle w:val="FootnoteReference"/>
        </w:rPr>
        <w:footnoteReference w:id="6"/>
      </w:r>
      <w:r w:rsidR="007E6AB8">
        <w:t xml:space="preserve"> </w:t>
      </w:r>
      <w:r>
        <w:t>Also, in arriving at our decision we have taken into account the revenue and pricing principles (RPP</w:t>
      </w:r>
      <w:r w:rsidR="009A39AD">
        <w:t>s</w:t>
      </w:r>
      <w:r>
        <w:t xml:space="preserve">) and are also satisfied that our decision will or is likely to contribute to the achievement of the National </w:t>
      </w:r>
      <w:r w:rsidR="00D61F3D">
        <w:t xml:space="preserve">Gas </w:t>
      </w:r>
      <w:r>
        <w:t>Objective (N</w:t>
      </w:r>
      <w:r w:rsidR="00D61F3D">
        <w:t>G</w:t>
      </w:r>
      <w:r>
        <w:t>O).</w:t>
      </w:r>
      <w:r>
        <w:rPr>
          <w:rStyle w:val="FootnoteReference"/>
        </w:rPr>
        <w:footnoteReference w:id="7"/>
      </w:r>
      <w:r>
        <w:t xml:space="preserve"> Our rate of return and AGN's proposed rate of return is set out in the following </w:t>
      </w:r>
      <w:r w:rsidR="007E6AB8">
        <w:fldChar w:fldCharType="begin"/>
      </w:r>
      <w:r w:rsidR="007E6AB8">
        <w:instrText xml:space="preserve"> REF  _Ref420688085 \* Lower \h </w:instrText>
      </w:r>
      <w:r w:rsidR="007E6AB8">
        <w:fldChar w:fldCharType="separate"/>
      </w:r>
      <w:r w:rsidR="000230CB">
        <w:t xml:space="preserve">table </w:t>
      </w:r>
      <w:r w:rsidR="000230CB">
        <w:rPr>
          <w:noProof/>
        </w:rPr>
        <w:t>3</w:t>
      </w:r>
      <w:r w:rsidR="000230CB">
        <w:noBreakHyphen/>
      </w:r>
      <w:r w:rsidR="000230CB">
        <w:rPr>
          <w:noProof/>
        </w:rPr>
        <w:t>1</w:t>
      </w:r>
      <w:r w:rsidR="007E6AB8">
        <w:fldChar w:fldCharType="end"/>
      </w:r>
      <w:r>
        <w:t>.</w:t>
      </w:r>
    </w:p>
    <w:p w:rsidR="00785836" w:rsidRDefault="00785836" w:rsidP="00785836">
      <w:pPr>
        <w:pStyle w:val="Caption"/>
        <w:numPr>
          <w:ilvl w:val="0"/>
          <w:numId w:val="24"/>
        </w:numPr>
      </w:pPr>
      <w:bookmarkStart w:id="14" w:name="_Ref420688085"/>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w:t>
      </w:r>
      <w:r w:rsidR="00527450">
        <w:rPr>
          <w:noProof/>
        </w:rPr>
        <w:fldChar w:fldCharType="end"/>
      </w:r>
      <w:bookmarkEnd w:id="14"/>
      <w:r>
        <w:tab/>
        <w:t>Final decision on AGN's rate of return (</w:t>
      </w:r>
      <w:r w:rsidR="007E6AB8">
        <w:t xml:space="preserve">% </w:t>
      </w:r>
      <w:r>
        <w:t>nominal)</w:t>
      </w:r>
    </w:p>
    <w:tbl>
      <w:tblPr>
        <w:tblStyle w:val="AERtable-text0"/>
        <w:tblW w:w="5000" w:type="pct"/>
        <w:tblLook w:val="04A0" w:firstRow="1" w:lastRow="0" w:firstColumn="1" w:lastColumn="0" w:noHBand="0" w:noVBand="1"/>
      </w:tblPr>
      <w:tblGrid>
        <w:gridCol w:w="1738"/>
        <w:gridCol w:w="1738"/>
        <w:gridCol w:w="1739"/>
        <w:gridCol w:w="1739"/>
        <w:gridCol w:w="1739"/>
      </w:tblGrid>
      <w:tr w:rsidR="007E6AB8" w:rsidRPr="00DF102A" w:rsidTr="009A39AD">
        <w:trPr>
          <w:cnfStyle w:val="100000000000" w:firstRow="1" w:lastRow="0" w:firstColumn="0" w:lastColumn="0" w:oddVBand="0" w:evenVBand="0" w:oddHBand="0" w:evenHBand="0" w:firstRowFirstColumn="0" w:firstRowLastColumn="0" w:lastRowFirstColumn="0" w:lastRowLastColumn="0"/>
        </w:trPr>
        <w:tc>
          <w:tcPr>
            <w:tcW w:w="1000" w:type="pct"/>
          </w:tcPr>
          <w:p w:rsidR="007E6AB8" w:rsidRPr="007E6AB8" w:rsidRDefault="007E6AB8" w:rsidP="009A39AD"/>
        </w:tc>
        <w:tc>
          <w:tcPr>
            <w:tcW w:w="1000" w:type="pct"/>
          </w:tcPr>
          <w:p w:rsidR="007E6AB8" w:rsidRPr="007E6AB8" w:rsidRDefault="009A39AD" w:rsidP="009A39AD">
            <w:r w:rsidRPr="009A39AD">
              <w:t>2011–16</w:t>
            </w:r>
            <w:r>
              <w:t xml:space="preserve"> </w:t>
            </w:r>
            <w:r w:rsidR="007E6AB8" w:rsidRPr="007E6AB8">
              <w:t xml:space="preserve">access arrangement </w:t>
            </w:r>
          </w:p>
        </w:tc>
        <w:tc>
          <w:tcPr>
            <w:tcW w:w="1000" w:type="pct"/>
          </w:tcPr>
          <w:p w:rsidR="007E6AB8" w:rsidRPr="007E6AB8" w:rsidRDefault="007E6AB8" w:rsidP="009A39AD">
            <w:r w:rsidRPr="007E6AB8">
              <w:t>AGN revised proposal (2016–17)</w:t>
            </w:r>
          </w:p>
        </w:tc>
        <w:tc>
          <w:tcPr>
            <w:tcW w:w="1000" w:type="pct"/>
          </w:tcPr>
          <w:p w:rsidR="007E6AB8" w:rsidRPr="007E6AB8" w:rsidRDefault="007E6AB8" w:rsidP="009A39AD">
            <w:r w:rsidRPr="007E6AB8">
              <w:t>AER final decision (2016–17)</w:t>
            </w:r>
          </w:p>
        </w:tc>
        <w:tc>
          <w:tcPr>
            <w:tcW w:w="1000" w:type="pct"/>
          </w:tcPr>
          <w:p w:rsidR="007E6AB8" w:rsidRPr="007E6AB8" w:rsidRDefault="007E6AB8" w:rsidP="009A39AD">
            <w:r w:rsidRPr="007E6AB8">
              <w:t>Allowed return over 2016–21</w:t>
            </w:r>
          </w:p>
        </w:tc>
      </w:tr>
      <w:tr w:rsidR="007E6AB8" w:rsidRPr="00DF102A" w:rsidTr="009A39AD">
        <w:tc>
          <w:tcPr>
            <w:tcW w:w="1000" w:type="pct"/>
          </w:tcPr>
          <w:p w:rsidR="007E6AB8" w:rsidRPr="007E6AB8" w:rsidRDefault="007E6AB8" w:rsidP="009A39AD">
            <w:r w:rsidRPr="007E6AB8">
              <w:t xml:space="preserve">Return on equity    (nominal post–tax) </w:t>
            </w:r>
          </w:p>
        </w:tc>
        <w:tc>
          <w:tcPr>
            <w:tcW w:w="1000" w:type="pct"/>
          </w:tcPr>
          <w:p w:rsidR="007E6AB8" w:rsidRPr="007E6AB8" w:rsidRDefault="007E6AB8" w:rsidP="009A39AD">
            <w:r w:rsidRPr="007E6AB8">
              <w:t>10.36</w:t>
            </w:r>
          </w:p>
        </w:tc>
        <w:tc>
          <w:tcPr>
            <w:tcW w:w="1000" w:type="pct"/>
          </w:tcPr>
          <w:p w:rsidR="007E6AB8" w:rsidRPr="007E6AB8" w:rsidRDefault="007E6AB8" w:rsidP="009A39AD">
            <w:r w:rsidRPr="007E6AB8">
              <w:t>9.76</w:t>
            </w:r>
          </w:p>
        </w:tc>
        <w:tc>
          <w:tcPr>
            <w:tcW w:w="1000" w:type="pct"/>
          </w:tcPr>
          <w:p w:rsidR="007E6AB8" w:rsidRPr="007E6AB8" w:rsidRDefault="007E6AB8" w:rsidP="009A39AD">
            <w:r w:rsidRPr="007E6AB8">
              <w:t>7.1</w:t>
            </w:r>
          </w:p>
        </w:tc>
        <w:tc>
          <w:tcPr>
            <w:tcW w:w="1000" w:type="pct"/>
          </w:tcPr>
          <w:p w:rsidR="007E6AB8" w:rsidRPr="007E6AB8" w:rsidRDefault="007E6AB8" w:rsidP="009A39AD">
            <w:r w:rsidRPr="007E6AB8">
              <w:t xml:space="preserve">Constant </w:t>
            </w:r>
            <w:r w:rsidR="00BC70E6">
              <w:t xml:space="preserve">  </w:t>
            </w:r>
            <w:r w:rsidRPr="007E6AB8">
              <w:t>(7.1%)</w:t>
            </w:r>
          </w:p>
        </w:tc>
      </w:tr>
      <w:tr w:rsidR="007E6AB8" w:rsidRPr="00DF102A" w:rsidTr="009A39AD">
        <w:trPr>
          <w:cnfStyle w:val="000000010000" w:firstRow="0" w:lastRow="0" w:firstColumn="0" w:lastColumn="0" w:oddVBand="0" w:evenVBand="0" w:oddHBand="0" w:evenHBand="1" w:firstRowFirstColumn="0" w:firstRowLastColumn="0" w:lastRowFirstColumn="0" w:lastRowLastColumn="0"/>
        </w:trPr>
        <w:tc>
          <w:tcPr>
            <w:tcW w:w="1000" w:type="pct"/>
          </w:tcPr>
          <w:p w:rsidR="007E6AB8" w:rsidRPr="007E6AB8" w:rsidRDefault="007E6AB8" w:rsidP="009A39AD">
            <w:r w:rsidRPr="007E6AB8">
              <w:t>Return on debt      (nominal pre–tax)</w:t>
            </w:r>
          </w:p>
        </w:tc>
        <w:tc>
          <w:tcPr>
            <w:tcW w:w="1000" w:type="pct"/>
          </w:tcPr>
          <w:p w:rsidR="007E6AB8" w:rsidRPr="007E6AB8" w:rsidRDefault="007E6AB8" w:rsidP="009A39AD">
            <w:r w:rsidRPr="007E6AB8">
              <w:t>10.23</w:t>
            </w:r>
          </w:p>
        </w:tc>
        <w:tc>
          <w:tcPr>
            <w:tcW w:w="1000" w:type="pct"/>
          </w:tcPr>
          <w:p w:rsidR="007E6AB8" w:rsidRPr="007E6AB8" w:rsidRDefault="007E6AB8" w:rsidP="009A39AD">
            <w:r w:rsidRPr="007E6AB8">
              <w:t>7.93</w:t>
            </w:r>
          </w:p>
        </w:tc>
        <w:tc>
          <w:tcPr>
            <w:tcW w:w="1000" w:type="pct"/>
          </w:tcPr>
          <w:p w:rsidR="007E6AB8" w:rsidRPr="007E6AB8" w:rsidRDefault="007E6AB8" w:rsidP="009A39AD">
            <w:r w:rsidRPr="007E6AB8">
              <w:t>5.51</w:t>
            </w:r>
          </w:p>
        </w:tc>
        <w:tc>
          <w:tcPr>
            <w:tcW w:w="1000" w:type="pct"/>
          </w:tcPr>
          <w:p w:rsidR="007E6AB8" w:rsidRPr="007E6AB8" w:rsidRDefault="007E6AB8" w:rsidP="009A39AD">
            <w:r w:rsidRPr="007E6AB8">
              <w:t>Updated annually</w:t>
            </w:r>
          </w:p>
        </w:tc>
      </w:tr>
      <w:tr w:rsidR="007E6AB8" w:rsidRPr="00DF102A" w:rsidTr="009A39AD">
        <w:tc>
          <w:tcPr>
            <w:tcW w:w="1000" w:type="pct"/>
          </w:tcPr>
          <w:p w:rsidR="007E6AB8" w:rsidRPr="007E6AB8" w:rsidRDefault="007E6AB8" w:rsidP="009A39AD">
            <w:r w:rsidRPr="007E6AB8">
              <w:t>Gearing</w:t>
            </w:r>
          </w:p>
        </w:tc>
        <w:tc>
          <w:tcPr>
            <w:tcW w:w="1000" w:type="pct"/>
          </w:tcPr>
          <w:p w:rsidR="007E6AB8" w:rsidRPr="007E6AB8" w:rsidRDefault="007E6AB8" w:rsidP="009A39AD">
            <w:r w:rsidRPr="007E6AB8">
              <w:t>60</w:t>
            </w:r>
          </w:p>
        </w:tc>
        <w:tc>
          <w:tcPr>
            <w:tcW w:w="1000" w:type="pct"/>
          </w:tcPr>
          <w:p w:rsidR="007E6AB8" w:rsidRPr="007E6AB8" w:rsidRDefault="007E6AB8" w:rsidP="009A39AD">
            <w:r w:rsidRPr="007E6AB8">
              <w:t>60</w:t>
            </w:r>
          </w:p>
        </w:tc>
        <w:tc>
          <w:tcPr>
            <w:tcW w:w="1000" w:type="pct"/>
          </w:tcPr>
          <w:p w:rsidR="007E6AB8" w:rsidRPr="007E6AB8" w:rsidRDefault="007E6AB8" w:rsidP="009A39AD">
            <w:r w:rsidRPr="007E6AB8">
              <w:t>60</w:t>
            </w:r>
          </w:p>
        </w:tc>
        <w:tc>
          <w:tcPr>
            <w:tcW w:w="1000" w:type="pct"/>
          </w:tcPr>
          <w:p w:rsidR="007E6AB8" w:rsidRPr="007E6AB8" w:rsidRDefault="007E6AB8" w:rsidP="009A39AD">
            <w:r w:rsidRPr="007E6AB8">
              <w:t>Constant   (60%)</w:t>
            </w:r>
          </w:p>
        </w:tc>
      </w:tr>
      <w:tr w:rsidR="007E6AB8" w:rsidRPr="00DF102A" w:rsidTr="009A39AD">
        <w:trPr>
          <w:cnfStyle w:val="000000010000" w:firstRow="0" w:lastRow="0" w:firstColumn="0" w:lastColumn="0" w:oddVBand="0" w:evenVBand="0" w:oddHBand="0" w:evenHBand="1" w:firstRowFirstColumn="0" w:firstRowLastColumn="0" w:lastRowFirstColumn="0" w:lastRowLastColumn="0"/>
        </w:trPr>
        <w:tc>
          <w:tcPr>
            <w:tcW w:w="1000" w:type="pct"/>
          </w:tcPr>
          <w:p w:rsidR="007E6AB8" w:rsidRPr="007E6AB8" w:rsidRDefault="007E6AB8" w:rsidP="009A39AD">
            <w:r w:rsidRPr="007E6AB8">
              <w:t>Nominal vanilla WACC</w:t>
            </w:r>
          </w:p>
        </w:tc>
        <w:tc>
          <w:tcPr>
            <w:tcW w:w="1000" w:type="pct"/>
          </w:tcPr>
          <w:p w:rsidR="007E6AB8" w:rsidRPr="007E6AB8" w:rsidRDefault="007E6AB8" w:rsidP="009A39AD">
            <w:r w:rsidRPr="007E6AB8">
              <w:t>10.28</w:t>
            </w:r>
          </w:p>
        </w:tc>
        <w:tc>
          <w:tcPr>
            <w:tcW w:w="1000" w:type="pct"/>
          </w:tcPr>
          <w:p w:rsidR="007E6AB8" w:rsidRPr="007E6AB8" w:rsidRDefault="007E6AB8" w:rsidP="009A39AD">
            <w:r w:rsidRPr="007E6AB8">
              <w:t>8.66</w:t>
            </w:r>
          </w:p>
        </w:tc>
        <w:tc>
          <w:tcPr>
            <w:tcW w:w="1000" w:type="pct"/>
          </w:tcPr>
          <w:p w:rsidR="007E6AB8" w:rsidRPr="007E6AB8" w:rsidRDefault="007E6AB8" w:rsidP="009A39AD">
            <w:r w:rsidRPr="007E6AB8">
              <w:t>6.15</w:t>
            </w:r>
          </w:p>
        </w:tc>
        <w:tc>
          <w:tcPr>
            <w:tcW w:w="1000" w:type="pct"/>
          </w:tcPr>
          <w:p w:rsidR="007E6AB8" w:rsidRPr="007E6AB8" w:rsidRDefault="007E6AB8" w:rsidP="009A39AD">
            <w:r w:rsidRPr="007E6AB8">
              <w:t>Updated annually for return on debt</w:t>
            </w:r>
          </w:p>
        </w:tc>
      </w:tr>
      <w:tr w:rsidR="007E6AB8" w:rsidRPr="00DF102A" w:rsidTr="009A39AD">
        <w:tc>
          <w:tcPr>
            <w:tcW w:w="1000" w:type="pct"/>
          </w:tcPr>
          <w:p w:rsidR="007E6AB8" w:rsidRPr="007E6AB8" w:rsidRDefault="007E6AB8" w:rsidP="009A39AD">
            <w:r w:rsidRPr="007E6AB8">
              <w:t>Forecast inflation</w:t>
            </w:r>
          </w:p>
        </w:tc>
        <w:tc>
          <w:tcPr>
            <w:tcW w:w="1000" w:type="pct"/>
          </w:tcPr>
          <w:p w:rsidR="007E6AB8" w:rsidRPr="007E6AB8" w:rsidRDefault="007E6AB8" w:rsidP="009A39AD">
            <w:r w:rsidRPr="007E6AB8">
              <w:t>2.55</w:t>
            </w:r>
          </w:p>
        </w:tc>
        <w:tc>
          <w:tcPr>
            <w:tcW w:w="1000" w:type="pct"/>
          </w:tcPr>
          <w:p w:rsidR="007E6AB8" w:rsidRPr="007E6AB8" w:rsidRDefault="007E6AB8" w:rsidP="009A39AD">
            <w:r w:rsidRPr="007E6AB8">
              <w:t>2.01</w:t>
            </w:r>
          </w:p>
        </w:tc>
        <w:tc>
          <w:tcPr>
            <w:tcW w:w="1000" w:type="pct"/>
          </w:tcPr>
          <w:p w:rsidR="007E6AB8" w:rsidRPr="007E6AB8" w:rsidRDefault="007E6AB8" w:rsidP="009A39AD">
            <w:r w:rsidRPr="007E6AB8">
              <w:t>2.</w:t>
            </w:r>
            <w:r>
              <w:t>39</w:t>
            </w:r>
          </w:p>
        </w:tc>
        <w:tc>
          <w:tcPr>
            <w:tcW w:w="1000" w:type="pct"/>
          </w:tcPr>
          <w:p w:rsidR="007E6AB8" w:rsidRPr="007E6AB8" w:rsidRDefault="007E6AB8" w:rsidP="009A39AD">
            <w:r>
              <w:t xml:space="preserve">Constant </w:t>
            </w:r>
            <w:r w:rsidR="00BC70E6">
              <w:t xml:space="preserve">  </w:t>
            </w:r>
            <w:r>
              <w:t>(2.39</w:t>
            </w:r>
            <w:r w:rsidRPr="007E6AB8">
              <w:t>%)</w:t>
            </w:r>
          </w:p>
        </w:tc>
      </w:tr>
    </w:tbl>
    <w:p w:rsidR="007E6AB8" w:rsidRPr="00DF102A" w:rsidRDefault="007E6AB8" w:rsidP="007E6AB8">
      <w:pPr>
        <w:pStyle w:val="AERtablesource"/>
      </w:pPr>
      <w:r w:rsidRPr="00DF102A">
        <w:t>Source:</w:t>
      </w:r>
      <w:r w:rsidRPr="00DF102A">
        <w:tab/>
        <w:t xml:space="preserve">AER analysis; AGN, </w:t>
      </w:r>
      <w:r w:rsidRPr="00C74DE0">
        <w:rPr>
          <w:rStyle w:val="AERtextitalic"/>
        </w:rPr>
        <w:t>Attachment 10.26, Response to draft decision: Rate of return, 6 January 2016; AGN, Attachment 9.3, Response to draft decision: Inflation</w:t>
      </w:r>
      <w:r w:rsidRPr="00DF102A">
        <w:t xml:space="preserve">, 6 January 2016; Envestra, </w:t>
      </w:r>
      <w:r w:rsidRPr="00C74DE0">
        <w:rPr>
          <w:rStyle w:val="AERtextitalic"/>
        </w:rPr>
        <w:t xml:space="preserve">Access Arrangement for Envestra's SA gas distribution system: Amended by </w:t>
      </w:r>
      <w:r w:rsidRPr="00DF102A">
        <w:rPr>
          <w:rStyle w:val="AERtextitalic"/>
        </w:rPr>
        <w:t>order of the Australian Competition Tribunal 10 February 2012</w:t>
      </w:r>
      <w:r w:rsidRPr="00DF102A">
        <w:t>, July 2011.</w:t>
      </w:r>
    </w:p>
    <w:p w:rsidR="00785836" w:rsidRDefault="00785836" w:rsidP="00785836">
      <w:r>
        <w:t>Our return on equity estimate is 7</w:t>
      </w:r>
      <w:r w:rsidR="007E6AB8">
        <w:t>.1</w:t>
      </w:r>
      <w:r>
        <w:t xml:space="preserve"> per cent. This rate will apply to AGN in each regulatory year. Our return on debt estimate for the </w:t>
      </w:r>
      <w:r w:rsidR="005506EB">
        <w:t>2016–17 regulatory year</w:t>
      </w:r>
      <w:r>
        <w:t xml:space="preserve"> is 5</w:t>
      </w:r>
      <w:r w:rsidR="007E6AB8">
        <w:t>.51</w:t>
      </w:r>
      <w:r>
        <w:t xml:space="preserve"> per cent. This estimate will change each year as we partially update the return on debt to reflect prevailing interest rates over AGN's debt averaging period in each year. Our return on debt estimate for future regulatory years will be determined in accordance with the methodology and formulae we have specified in this decision. </w:t>
      </w:r>
      <w:r w:rsidR="007E6AB8">
        <w:t>Due to</w:t>
      </w:r>
      <w:r>
        <w:t xml:space="preserve"> updating the return on debt each year, the overall rate of return and AGN'</w:t>
      </w:r>
      <w:r w:rsidR="00992431">
        <w:t>s</w:t>
      </w:r>
      <w:r>
        <w:t xml:space="preserve"> revenue will also be updated.</w:t>
      </w:r>
    </w:p>
    <w:p w:rsidR="00785836" w:rsidRDefault="00785836" w:rsidP="00785836">
      <w:pPr>
        <w:numPr>
          <w:ilvl w:val="0"/>
          <w:numId w:val="24"/>
        </w:numPr>
      </w:pPr>
      <w:r>
        <w:t>We agree with the following aspects of AGN'</w:t>
      </w:r>
      <w:r w:rsidR="00992431">
        <w:t>s</w:t>
      </w:r>
      <w:r>
        <w:t xml:space="preserve"> revised rate of return proposal:</w:t>
      </w:r>
      <w:r w:rsidR="009A39AD">
        <w:rPr>
          <w:rStyle w:val="FootnoteReference"/>
        </w:rPr>
        <w:footnoteReference w:id="8"/>
      </w:r>
    </w:p>
    <w:p w:rsidR="00785836" w:rsidRPr="00785836" w:rsidRDefault="00785836" w:rsidP="00785836">
      <w:pPr>
        <w:pStyle w:val="AERbulletlistfirststyle"/>
      </w:pPr>
      <w:r>
        <w:t>adopting a weighted average of the return on equity and return on debt (WACC)</w:t>
      </w:r>
      <w:r w:rsidRPr="00785836">
        <w:t xml:space="preserve"> determined on a nominal vanilla basis (as required by the rules)</w:t>
      </w:r>
    </w:p>
    <w:p w:rsidR="00785836" w:rsidRPr="00785836" w:rsidRDefault="00785836" w:rsidP="00785836">
      <w:pPr>
        <w:pStyle w:val="AERbulletlistfirststyle"/>
      </w:pPr>
      <w:r>
        <w:t>adopting a 60</w:t>
      </w:r>
      <w:r w:rsidRPr="00785836">
        <w:t xml:space="preserve"> per cent gearing ratio</w:t>
      </w:r>
    </w:p>
    <w:p w:rsidR="00785836" w:rsidRPr="00785836" w:rsidRDefault="00785836" w:rsidP="00785836">
      <w:pPr>
        <w:pStyle w:val="AERbulletlistfirststyle"/>
      </w:pPr>
      <w:r>
        <w:t>adopting a 10 year term for the return on debt</w:t>
      </w:r>
    </w:p>
    <w:p w:rsidR="00785836" w:rsidRDefault="00785836" w:rsidP="00785836">
      <w:pPr>
        <w:pStyle w:val="AERbulletlistfirststyle"/>
      </w:pPr>
      <w:r>
        <w:t>estimating the return on debt by referen</w:t>
      </w:r>
      <w:r w:rsidR="009A39AD">
        <w:t>ce to a third party data series</w:t>
      </w:r>
    </w:p>
    <w:p w:rsidR="009A39AD" w:rsidRDefault="009A39AD" w:rsidP="00785836">
      <w:pPr>
        <w:pStyle w:val="AERbulletlistfirststyle"/>
      </w:pPr>
      <w:r>
        <w:t>proposing a benchmark credit rating of BBB+, and</w:t>
      </w:r>
    </w:p>
    <w:p w:rsidR="009A39AD" w:rsidRPr="00785836" w:rsidRDefault="009A39AD" w:rsidP="009A39AD">
      <w:pPr>
        <w:pStyle w:val="AERbulletlistfirststyle"/>
      </w:pPr>
      <w:r w:rsidRPr="009A39AD">
        <w:t xml:space="preserve">Estimating the risk free rate </w:t>
      </w:r>
      <w:r>
        <w:t xml:space="preserve">used in the return on equity with </w:t>
      </w:r>
      <w:r w:rsidRPr="009A39AD">
        <w:t xml:space="preserve">nominal Commonwealth government securities (CGS) averaged over 20 business days as close as practical to the commencement of the </w:t>
      </w:r>
      <w:r w:rsidR="00A56F1B">
        <w:t>access arrangement</w:t>
      </w:r>
      <w:r w:rsidRPr="009A39AD">
        <w:t xml:space="preserve"> period.</w:t>
      </w:r>
    </w:p>
    <w:p w:rsidR="007E6AB8" w:rsidRDefault="00785836" w:rsidP="00785836">
      <w:pPr>
        <w:numPr>
          <w:ilvl w:val="0"/>
          <w:numId w:val="24"/>
        </w:numPr>
      </w:pPr>
      <w:r>
        <w:t xml:space="preserve">Consistent with our </w:t>
      </w:r>
      <w:r w:rsidR="00DE3B6E">
        <w:t>draft decision</w:t>
      </w:r>
      <w:r>
        <w:t>, we agree there should be a transition from the on-the-day approach to the trailing averaging approach</w:t>
      </w:r>
      <w:r w:rsidR="007E6AB8" w:rsidRPr="007E6AB8">
        <w:t xml:space="preserve"> </w:t>
      </w:r>
      <w:r w:rsidR="007E6AB8">
        <w:t>to estimating the return on debt</w:t>
      </w:r>
      <w:r>
        <w:t xml:space="preserve">. However, we disagree with the hybrid form of transition proposed in AGN's </w:t>
      </w:r>
      <w:r w:rsidR="00995279">
        <w:t>(initial) access arrangement proposal</w:t>
      </w:r>
      <w:r>
        <w:t xml:space="preserve">. </w:t>
      </w:r>
    </w:p>
    <w:p w:rsidR="007E6AB8" w:rsidRDefault="007E6AB8" w:rsidP="007E6AB8">
      <w:pPr>
        <w:numPr>
          <w:ilvl w:val="0"/>
          <w:numId w:val="24"/>
        </w:numPr>
      </w:pPr>
      <w:r>
        <w:t>In its revised access arrangement proposal, AGN departed from its initial position to apply a transition to the trailing averaging approach. It now proposes to not apply a transition (that is, to immediately move to a trailing average approach). We disagree with AGN on this and a number of other components of the rate of return.</w:t>
      </w:r>
    </w:p>
    <w:p w:rsidR="007E6AB8" w:rsidRDefault="007E6AB8" w:rsidP="007E6AB8">
      <w:pPr>
        <w:numPr>
          <w:ilvl w:val="0"/>
          <w:numId w:val="24"/>
        </w:numPr>
      </w:pPr>
      <w:r>
        <w:t xml:space="preserve">Our </w:t>
      </w:r>
      <w:r w:rsidRPr="00B174EF">
        <w:t>return on equity estimate</w:t>
      </w:r>
      <w:r>
        <w:t xml:space="preserve"> for this final decision</w:t>
      </w:r>
      <w:r w:rsidRPr="00B174EF">
        <w:t xml:space="preserve"> </w:t>
      </w:r>
      <w:r>
        <w:t xml:space="preserve">is 7.1 </w:t>
      </w:r>
      <w:r w:rsidRPr="00B174EF">
        <w:t>per cent</w:t>
      </w:r>
      <w:r>
        <w:t>.</w:t>
      </w:r>
      <w:r w:rsidRPr="0083677A">
        <w:t xml:space="preserve"> </w:t>
      </w:r>
      <w:r w:rsidR="00785836">
        <w:t>We derived this estimate by applying the same approach we applied to determine the allowed return on equity in our most recent final decisions.</w:t>
      </w:r>
      <w:r>
        <w:rPr>
          <w:rStyle w:val="FootnoteReference"/>
        </w:rPr>
        <w:footnoteReference w:id="9"/>
      </w:r>
      <w:r>
        <w:t xml:space="preserve"> </w:t>
      </w:r>
      <w:r w:rsidR="00785836">
        <w:t xml:space="preserve"> </w:t>
      </w:r>
      <w:r w:rsidR="00A15DA6">
        <w:t>The Australian Competition Tribunal (Tribunal) recently upheld this approach.</w:t>
      </w:r>
      <w:r w:rsidR="00A15DA6">
        <w:rPr>
          <w:rStyle w:val="FootnoteReference"/>
        </w:rPr>
        <w:footnoteReference w:id="10"/>
      </w:r>
      <w:r w:rsidR="00A15DA6" w:rsidRPr="007E6AB8">
        <w:t xml:space="preserve"> </w:t>
      </w:r>
      <w:r w:rsidR="00A15DA6">
        <w:t>This approach entails applying the rate of return guideline (Guideline) approach referred to as the foundation model approach.</w:t>
      </w:r>
      <w:r w:rsidR="00A15DA6">
        <w:rPr>
          <w:rStyle w:val="FootnoteReference"/>
        </w:rPr>
        <w:footnoteReference w:id="11"/>
      </w:r>
      <w:r w:rsidR="00A15DA6">
        <w:t xml:space="preserve"> </w:t>
      </w:r>
      <w:r w:rsidR="00590989">
        <w:t>W</w:t>
      </w:r>
      <w:r>
        <w:t xml:space="preserve">e applied this same approach in </w:t>
      </w:r>
      <w:r w:rsidR="00785836">
        <w:t xml:space="preserve">the </w:t>
      </w:r>
      <w:r w:rsidR="00DE3B6E">
        <w:t>draft decision</w:t>
      </w:r>
      <w:r w:rsidR="00785836">
        <w:t>.</w:t>
      </w:r>
      <w:r w:rsidR="00785836">
        <w:rPr>
          <w:rStyle w:val="FootnoteReference"/>
        </w:rPr>
        <w:footnoteReference w:id="12"/>
      </w:r>
      <w:r w:rsidR="00785836">
        <w:t xml:space="preserve"> </w:t>
      </w:r>
      <w:r>
        <w:t>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785836" w:rsidRDefault="00785836" w:rsidP="00785836">
      <w:pPr>
        <w:numPr>
          <w:ilvl w:val="0"/>
          <w:numId w:val="24"/>
        </w:numPr>
      </w:pPr>
      <w:r>
        <w:t xml:space="preserve">Our return on equity point estimate and the parameter inputs are set out in the </w:t>
      </w:r>
      <w:r w:rsidR="007E6AB8">
        <w:fldChar w:fldCharType="begin"/>
      </w:r>
      <w:r w:rsidR="007E6AB8">
        <w:instrText xml:space="preserve"> REF  _Ref433137430 \* Lower \h </w:instrText>
      </w:r>
      <w:r w:rsidR="007E6AB8">
        <w:fldChar w:fldCharType="separate"/>
      </w:r>
      <w:r w:rsidR="000230CB">
        <w:t xml:space="preserve">table </w:t>
      </w:r>
      <w:r w:rsidR="000230CB">
        <w:rPr>
          <w:noProof/>
        </w:rPr>
        <w:t>3</w:t>
      </w:r>
      <w:r w:rsidR="000230CB">
        <w:noBreakHyphen/>
      </w:r>
      <w:r w:rsidR="000230CB">
        <w:rPr>
          <w:noProof/>
        </w:rPr>
        <w:t>2</w:t>
      </w:r>
      <w:r w:rsidR="007E6AB8">
        <w:fldChar w:fldCharType="end"/>
      </w:r>
      <w:r>
        <w:t xml:space="preserve">. AGN proposed departing from the approach in the Guideline. </w:t>
      </w:r>
      <w:r w:rsidR="00FE1CFF" w:rsidRPr="00185E39">
        <w:t xml:space="preserve">We are not satisfied </w:t>
      </w:r>
      <w:r w:rsidR="00FE1CFF">
        <w:t xml:space="preserve">that doing so </w:t>
      </w:r>
      <w:r w:rsidR="00FE1CFF" w:rsidRPr="00185E39">
        <w:t xml:space="preserve">would result in an outcome that better achieves the </w:t>
      </w:r>
      <w:r w:rsidR="00FE1CFF">
        <w:t>ARORO</w:t>
      </w:r>
      <w:r w:rsidR="00FE1CFF" w:rsidRPr="00185E39">
        <w:t>.</w:t>
      </w:r>
      <w:r w:rsidR="00FE1CFF" w:rsidRPr="00185E39">
        <w:rPr>
          <w:rStyle w:val="FootnoteReference"/>
        </w:rPr>
        <w:footnoteReference w:id="13"/>
      </w:r>
      <w:r w:rsidR="00FE1CFF">
        <w:t xml:space="preserve"> </w:t>
      </w:r>
      <w:r w:rsidRPr="00185E39">
        <w:t xml:space="preserve">We do not agree with </w:t>
      </w:r>
      <w:r>
        <w:t xml:space="preserve">AGN that our method applied in the </w:t>
      </w:r>
      <w:r w:rsidR="00DE3B6E">
        <w:t>draft decision</w:t>
      </w:r>
      <w:r>
        <w:t xml:space="preserve"> will result in a return on equity which is inconsistent with the </w:t>
      </w:r>
      <w:r w:rsidR="007E6AB8">
        <w:t>ARORO</w:t>
      </w:r>
      <w:r>
        <w:t>.</w:t>
      </w:r>
      <w:r>
        <w:rPr>
          <w:rStyle w:val="FootnoteReference"/>
        </w:rPr>
        <w:footnoteReference w:id="14"/>
      </w:r>
      <w:r>
        <w:t xml:space="preserve"> </w:t>
      </w:r>
      <w:r w:rsidRPr="00185E39">
        <w:t xml:space="preserve">Our </w:t>
      </w:r>
      <w:r>
        <w:t xml:space="preserve">return on equity </w:t>
      </w:r>
      <w:r w:rsidR="00DE3B6E">
        <w:t>draft decision</w:t>
      </w:r>
      <w:r>
        <w:t xml:space="preserve"> and this final decision </w:t>
      </w:r>
      <w:r w:rsidRPr="00185E39">
        <w:t xml:space="preserve">is largely consistent with the </w:t>
      </w:r>
      <w:r>
        <w:t xml:space="preserve">views in the </w:t>
      </w:r>
      <w:r w:rsidRPr="00185E39">
        <w:t>Guideline</w:t>
      </w:r>
      <w:r>
        <w:t>.</w:t>
      </w:r>
      <w:r w:rsidRPr="00796C00">
        <w:t xml:space="preserve"> </w:t>
      </w:r>
    </w:p>
    <w:p w:rsidR="00785836" w:rsidRDefault="00785836" w:rsidP="000230CB">
      <w:pPr>
        <w:pStyle w:val="Caption"/>
      </w:pPr>
      <w:bookmarkStart w:id="15" w:name="_Ref433137430"/>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2</w:t>
      </w:r>
      <w:r w:rsidR="00527450">
        <w:rPr>
          <w:noProof/>
        </w:rPr>
        <w:fldChar w:fldCharType="end"/>
      </w:r>
      <w:bookmarkEnd w:id="15"/>
      <w:r>
        <w:tab/>
        <w:t>Final decision on AGN's return on equity (nominal)</w:t>
      </w:r>
    </w:p>
    <w:tbl>
      <w:tblPr>
        <w:tblStyle w:val="AERtable-numbers"/>
        <w:tblW w:w="5000" w:type="pct"/>
        <w:tblLook w:val="04A0" w:firstRow="1" w:lastRow="0" w:firstColumn="1" w:lastColumn="0" w:noHBand="0" w:noVBand="1"/>
      </w:tblPr>
      <w:tblGrid>
        <w:gridCol w:w="2173"/>
        <w:gridCol w:w="2472"/>
        <w:gridCol w:w="1984"/>
        <w:gridCol w:w="2064"/>
      </w:tblGrid>
      <w:tr w:rsidR="007E6AB8" w:rsidRPr="00DF102A" w:rsidTr="007E6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E6AB8" w:rsidRPr="002206EF" w:rsidRDefault="007E6AB8" w:rsidP="00DB4FCE">
            <w:pPr>
              <w:keepNext/>
            </w:pPr>
          </w:p>
        </w:tc>
        <w:tc>
          <w:tcPr>
            <w:tcW w:w="1422" w:type="pct"/>
          </w:tcPr>
          <w:p w:rsidR="007E6AB8" w:rsidRPr="007E6AB8" w:rsidRDefault="007E6AB8" w:rsidP="00DB4FCE">
            <w:pPr>
              <w:keepNext/>
              <w:cnfStyle w:val="100000000000" w:firstRow="1" w:lastRow="0" w:firstColumn="0" w:lastColumn="0" w:oddVBand="0" w:evenVBand="0" w:oddHBand="0" w:evenHBand="0" w:firstRowFirstColumn="0" w:firstRowLastColumn="0" w:lastRowFirstColumn="0" w:lastRowLastColumn="0"/>
            </w:pPr>
            <w:r w:rsidRPr="002206EF">
              <w:t>Previous  access arrangement (2011–16)</w:t>
            </w:r>
          </w:p>
        </w:tc>
        <w:tc>
          <w:tcPr>
            <w:tcW w:w="1141" w:type="pct"/>
          </w:tcPr>
          <w:p w:rsidR="007E6AB8" w:rsidRPr="007E6AB8" w:rsidRDefault="007E6AB8" w:rsidP="00DB4FCE">
            <w:pPr>
              <w:keepNext/>
              <w:cnfStyle w:val="100000000000" w:firstRow="1" w:lastRow="0" w:firstColumn="0" w:lastColumn="0" w:oddVBand="0" w:evenVBand="0" w:oddHBand="0" w:evenHBand="0" w:firstRowFirstColumn="0" w:firstRowLastColumn="0" w:lastRowFirstColumn="0" w:lastRowLastColumn="0"/>
            </w:pPr>
            <w:r w:rsidRPr="002206EF">
              <w:t>AGN revised proposal (2016-21)</w:t>
            </w:r>
          </w:p>
        </w:tc>
        <w:tc>
          <w:tcPr>
            <w:tcW w:w="1187" w:type="pct"/>
          </w:tcPr>
          <w:p w:rsidR="007E6AB8" w:rsidRPr="007E6AB8" w:rsidRDefault="007E6AB8" w:rsidP="00DB4FCE">
            <w:pPr>
              <w:keepNext/>
              <w:cnfStyle w:val="100000000000" w:firstRow="1" w:lastRow="0" w:firstColumn="0" w:lastColumn="0" w:oddVBand="0" w:evenVBand="0" w:oddHBand="0" w:evenHBand="0" w:firstRowFirstColumn="0" w:firstRowLastColumn="0" w:lastRowFirstColumn="0" w:lastRowLastColumn="0"/>
            </w:pPr>
            <w:r w:rsidRPr="002206EF">
              <w:t>AER final decision (2016–21)</w:t>
            </w:r>
          </w:p>
        </w:tc>
      </w:tr>
      <w:tr w:rsidR="007E6AB8" w:rsidRPr="00DF102A" w:rsidTr="007E6AB8">
        <w:tc>
          <w:tcPr>
            <w:cnfStyle w:val="001000000000" w:firstRow="0" w:lastRow="0" w:firstColumn="1" w:lastColumn="0" w:oddVBand="0" w:evenVBand="0" w:oddHBand="0" w:evenHBand="0" w:firstRowFirstColumn="0" w:firstRowLastColumn="0" w:lastRowFirstColumn="0" w:lastRowLastColumn="0"/>
            <w:tcW w:w="1250" w:type="pct"/>
          </w:tcPr>
          <w:p w:rsidR="007E6AB8" w:rsidRPr="007E6AB8" w:rsidRDefault="007E6AB8" w:rsidP="00DB4FCE">
            <w:pPr>
              <w:keepNext/>
            </w:pPr>
            <w:r w:rsidRPr="002206EF">
              <w:t>Nominal risk free rate (return on equity only)</w:t>
            </w:r>
          </w:p>
        </w:tc>
        <w:tc>
          <w:tcPr>
            <w:tcW w:w="1422"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5.56%</w:t>
            </w:r>
          </w:p>
        </w:tc>
        <w:tc>
          <w:tcPr>
            <w:tcW w:w="1141"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rsidRPr="002206EF">
              <w:t>2.68%</w:t>
            </w:r>
            <w:r w:rsidRPr="007E6AB8">
              <w:t>*</w:t>
            </w:r>
          </w:p>
        </w:tc>
        <w:tc>
          <w:tcPr>
            <w:tcW w:w="1187"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rsidRPr="002206EF">
              <w:t>2.57%</w:t>
            </w:r>
            <w:r w:rsidRPr="007E6AB8">
              <w:t>**</w:t>
            </w:r>
          </w:p>
        </w:tc>
      </w:tr>
      <w:tr w:rsidR="007E6AB8" w:rsidRPr="00DF102A" w:rsidTr="007E6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E6AB8" w:rsidRPr="007E6AB8" w:rsidRDefault="007E6AB8" w:rsidP="00DB4FCE">
            <w:pPr>
              <w:keepNext/>
            </w:pPr>
            <w:r w:rsidRPr="002206EF">
              <w:t xml:space="preserve">Equity risk premium </w:t>
            </w:r>
          </w:p>
        </w:tc>
        <w:tc>
          <w:tcPr>
            <w:tcW w:w="1422"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4.8%</w:t>
            </w:r>
          </w:p>
        </w:tc>
        <w:tc>
          <w:tcPr>
            <w:tcW w:w="1141"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7.16%</w:t>
            </w:r>
          </w:p>
        </w:tc>
        <w:tc>
          <w:tcPr>
            <w:tcW w:w="1187"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4.55%</w:t>
            </w:r>
          </w:p>
        </w:tc>
      </w:tr>
      <w:tr w:rsidR="007E6AB8" w:rsidRPr="00DF102A" w:rsidTr="007E6AB8">
        <w:tc>
          <w:tcPr>
            <w:cnfStyle w:val="001000000000" w:firstRow="0" w:lastRow="0" w:firstColumn="1" w:lastColumn="0" w:oddVBand="0" w:evenVBand="0" w:oddHBand="0" w:evenHBand="0" w:firstRowFirstColumn="0" w:firstRowLastColumn="0" w:lastRowFirstColumn="0" w:lastRowLastColumn="0"/>
            <w:tcW w:w="1250" w:type="pct"/>
          </w:tcPr>
          <w:p w:rsidR="007E6AB8" w:rsidRPr="007E6AB8" w:rsidRDefault="007E6AB8" w:rsidP="00DB4FCE">
            <w:pPr>
              <w:keepNext/>
            </w:pPr>
            <w:r w:rsidRPr="002206EF">
              <w:t>MRP</w:t>
            </w:r>
          </w:p>
        </w:tc>
        <w:tc>
          <w:tcPr>
            <w:tcW w:w="1422"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6.00%</w:t>
            </w:r>
          </w:p>
        </w:tc>
        <w:tc>
          <w:tcPr>
            <w:tcW w:w="1141"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7.89%</w:t>
            </w:r>
          </w:p>
        </w:tc>
        <w:tc>
          <w:tcPr>
            <w:tcW w:w="1187"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6.50%</w:t>
            </w:r>
          </w:p>
        </w:tc>
      </w:tr>
      <w:tr w:rsidR="007E6AB8" w:rsidRPr="00DF102A" w:rsidTr="007E6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7E6AB8" w:rsidRPr="007E6AB8" w:rsidRDefault="007E6AB8" w:rsidP="00DB4FCE">
            <w:pPr>
              <w:keepNext/>
            </w:pPr>
            <w:r w:rsidRPr="002206EF">
              <w:t>Equity beta</w:t>
            </w:r>
          </w:p>
        </w:tc>
        <w:tc>
          <w:tcPr>
            <w:tcW w:w="1422"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0.8</w:t>
            </w:r>
          </w:p>
        </w:tc>
        <w:tc>
          <w:tcPr>
            <w:tcW w:w="1141"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0.91</w:t>
            </w:r>
          </w:p>
        </w:tc>
        <w:tc>
          <w:tcPr>
            <w:tcW w:w="1187" w:type="pct"/>
          </w:tcPr>
          <w:p w:rsidR="007E6AB8" w:rsidRPr="007E6AB8" w:rsidRDefault="007E6AB8" w:rsidP="00DB4FCE">
            <w:pPr>
              <w:keepNext/>
              <w:cnfStyle w:val="000000010000" w:firstRow="0" w:lastRow="0" w:firstColumn="0" w:lastColumn="0" w:oddVBand="0" w:evenVBand="0" w:oddHBand="0" w:evenHBand="1" w:firstRowFirstColumn="0" w:firstRowLastColumn="0" w:lastRowFirstColumn="0" w:lastRowLastColumn="0"/>
            </w:pPr>
            <w:r w:rsidRPr="002206EF">
              <w:t>0.7</w:t>
            </w:r>
          </w:p>
        </w:tc>
      </w:tr>
      <w:tr w:rsidR="007E6AB8" w:rsidRPr="00DF102A" w:rsidTr="007E6AB8">
        <w:tc>
          <w:tcPr>
            <w:cnfStyle w:val="001000000000" w:firstRow="0" w:lastRow="0" w:firstColumn="1" w:lastColumn="0" w:oddVBand="0" w:evenVBand="0" w:oddHBand="0" w:evenHBand="0" w:firstRowFirstColumn="0" w:firstRowLastColumn="0" w:lastRowFirstColumn="0" w:lastRowLastColumn="0"/>
            <w:tcW w:w="1250" w:type="pct"/>
          </w:tcPr>
          <w:p w:rsidR="007E6AB8" w:rsidRPr="007E6AB8" w:rsidRDefault="007E6AB8" w:rsidP="00DB4FCE">
            <w:pPr>
              <w:keepNext/>
            </w:pPr>
            <w:r w:rsidRPr="002206EF">
              <w:t xml:space="preserve">Nominal post–tax return on equity </w:t>
            </w:r>
          </w:p>
        </w:tc>
        <w:tc>
          <w:tcPr>
            <w:tcW w:w="1422"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10.36%</w:t>
            </w:r>
          </w:p>
        </w:tc>
        <w:tc>
          <w:tcPr>
            <w:tcW w:w="1141"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9.84%</w:t>
            </w:r>
            <w:r w:rsidRPr="007E6AB8">
              <w:rPr>
                <w:rStyle w:val="AERsuperscript"/>
              </w:rPr>
              <w:t>(a)</w:t>
            </w:r>
          </w:p>
        </w:tc>
        <w:tc>
          <w:tcPr>
            <w:tcW w:w="1187" w:type="pct"/>
          </w:tcPr>
          <w:p w:rsidR="007E6AB8" w:rsidRPr="007E6AB8" w:rsidRDefault="007E6AB8" w:rsidP="00DB4FCE">
            <w:pPr>
              <w:keepNext/>
              <w:cnfStyle w:val="000000000000" w:firstRow="0" w:lastRow="0" w:firstColumn="0" w:lastColumn="0" w:oddVBand="0" w:evenVBand="0" w:oddHBand="0" w:evenHBand="0" w:firstRowFirstColumn="0" w:firstRowLastColumn="0" w:lastRowFirstColumn="0" w:lastRowLastColumn="0"/>
            </w:pPr>
            <w:r w:rsidRPr="002206EF">
              <w:t>7.1%</w:t>
            </w:r>
          </w:p>
        </w:tc>
      </w:tr>
    </w:tbl>
    <w:p w:rsidR="007E6AB8" w:rsidRPr="002206EF" w:rsidRDefault="007E6AB8" w:rsidP="00DB4FCE">
      <w:pPr>
        <w:pStyle w:val="AERtablesource"/>
        <w:keepNext/>
      </w:pPr>
      <w:r>
        <w:t>Source:</w:t>
      </w:r>
      <w:r>
        <w:tab/>
        <w:t xml:space="preserve">AER analysis; AGN, </w:t>
      </w:r>
      <w:r w:rsidRPr="002206EF">
        <w:rPr>
          <w:rStyle w:val="AERtextitalic"/>
        </w:rPr>
        <w:t>Attachment 10.26, Response to draft decision: Rate of return</w:t>
      </w:r>
      <w:r w:rsidRPr="002206EF">
        <w:t xml:space="preserve">, 6 January 2016; Envestra, </w:t>
      </w:r>
      <w:r w:rsidRPr="002206EF">
        <w:rPr>
          <w:rStyle w:val="AERtextitalic"/>
        </w:rPr>
        <w:t>Access Arrangement for Envestra's SA gas distribution system: Amended by order of the Australian Competition Tribunal 10 February 2012</w:t>
      </w:r>
      <w:r w:rsidRPr="002206EF">
        <w:t xml:space="preserve">, July 2011.  </w:t>
      </w:r>
    </w:p>
    <w:p w:rsidR="007E6AB8" w:rsidRDefault="007E6AB8" w:rsidP="00DB4FCE">
      <w:pPr>
        <w:pStyle w:val="AERtablesource"/>
        <w:keepNext/>
      </w:pPr>
      <w:r>
        <w:t xml:space="preserve">* </w:t>
      </w:r>
      <w:r>
        <w:tab/>
        <w:t xml:space="preserve">Calculated with a placeholder </w:t>
      </w:r>
      <w:r w:rsidR="0040168D">
        <w:t>averaging</w:t>
      </w:r>
      <w:r>
        <w:t xml:space="preserve"> period of 20 business days to 31 October 2015.</w:t>
      </w:r>
    </w:p>
    <w:p w:rsidR="007E6AB8" w:rsidRPr="002206EF" w:rsidRDefault="007E6AB8" w:rsidP="00DB4FCE">
      <w:pPr>
        <w:pStyle w:val="AERtablesource"/>
        <w:keepNext/>
      </w:pPr>
      <w:r>
        <w:t>**</w:t>
      </w:r>
      <w:r>
        <w:tab/>
        <w:t>Calculated with an averaging period of 20 business days to 24 March agreed upon in advance of its commencement.</w:t>
      </w:r>
    </w:p>
    <w:p w:rsidR="00785836" w:rsidRPr="00785836" w:rsidRDefault="00785836" w:rsidP="00B80604">
      <w:r>
        <w:t>Our final decision on the return on debt approach is to:</w:t>
      </w:r>
    </w:p>
    <w:p w:rsidR="004F2761" w:rsidRPr="004F2761" w:rsidRDefault="004F2761" w:rsidP="004F2761">
      <w:pPr>
        <w:pStyle w:val="AERbulletlistfirststyle"/>
      </w:pPr>
      <w:r>
        <w:t>estimate</w:t>
      </w:r>
      <w:r w:rsidRPr="004F2761">
        <w:t xml:space="preserve"> the return on debt using an on-the-day approach (that is, based on prevailing market conditions near the commencement of the </w:t>
      </w:r>
      <w:r w:rsidR="009A39AD">
        <w:t>access arrangement</w:t>
      </w:r>
      <w:r w:rsidRPr="004F2761">
        <w:t xml:space="preserve"> period) in the first regulatory year (2016–</w:t>
      </w:r>
      <w:r>
        <w:t>17</w:t>
      </w:r>
      <w:r w:rsidRPr="004F2761">
        <w:t>) of the 2016–2</w:t>
      </w:r>
      <w:r>
        <w:t xml:space="preserve">1 access arrangement </w:t>
      </w:r>
      <w:r w:rsidRPr="004F2761">
        <w:t>period, and</w:t>
      </w:r>
    </w:p>
    <w:p w:rsidR="00785836" w:rsidRPr="00785836" w:rsidRDefault="00785836" w:rsidP="00785836">
      <w:pPr>
        <w:pStyle w:val="AERbulletlistfirststyle"/>
      </w:pPr>
      <w:r>
        <w:t>gradually transition</w:t>
      </w:r>
      <w:r w:rsidRPr="00785836">
        <w:t xml:space="preserve"> this </w:t>
      </w:r>
      <w:r w:rsidR="005F0630">
        <w:t>approach</w:t>
      </w:r>
      <w:r w:rsidRPr="00785836">
        <w:t xml:space="preserve"> into a trailing average approach (that is, a moving historical average) over 10 years.</w:t>
      </w:r>
      <w:r w:rsidRPr="00785836">
        <w:rPr>
          <w:rStyle w:val="FootnoteReference"/>
        </w:rPr>
        <w:footnoteReference w:id="15"/>
      </w:r>
    </w:p>
    <w:p w:rsidR="00785836" w:rsidRPr="00235F75" w:rsidRDefault="00785836" w:rsidP="00785836">
      <w:r w:rsidRPr="00F17A9D">
        <w:t>This gradual transition will occur through updating 10 per cent of the</w:t>
      </w:r>
      <w:r w:rsidR="004F2761">
        <w:t xml:space="preserve"> entire</w:t>
      </w:r>
      <w:r w:rsidRPr="00F17A9D">
        <w:t xml:space="preserve"> return on debt each year to reflect prevailing market conditions in that year</w:t>
      </w:r>
      <w:r w:rsidR="004F2761">
        <w:t xml:space="preserve"> (a full transition)</w:t>
      </w:r>
      <w:r w:rsidR="004F2761" w:rsidRPr="00F17A9D">
        <w:t>.</w:t>
      </w:r>
      <w:r w:rsidR="004F2761">
        <w:rPr>
          <w:rStyle w:val="FootnoteReference"/>
        </w:rPr>
        <w:footnoteReference w:id="16"/>
      </w:r>
      <w:r>
        <w:t xml:space="preserve"> This approach is consistent with the approached we proposed in the Guideline and adopted in the </w:t>
      </w:r>
      <w:r w:rsidR="00DE3B6E">
        <w:t>draft decision</w:t>
      </w:r>
      <w:r>
        <w:t xml:space="preserve">. </w:t>
      </w:r>
      <w:r w:rsidRPr="00235F75">
        <w:t xml:space="preserve">Our </w:t>
      </w:r>
      <w:r>
        <w:t>final decision is to estimate the return on debt in each regulatory year by reference to</w:t>
      </w:r>
      <w:r w:rsidRPr="00235F75">
        <w:t>:</w:t>
      </w:r>
    </w:p>
    <w:p w:rsidR="00785836" w:rsidRPr="00785836" w:rsidRDefault="00785836" w:rsidP="00785836">
      <w:pPr>
        <w:pStyle w:val="AERbulletlistfirststyle"/>
      </w:pPr>
      <w:r w:rsidRPr="00235F75">
        <w:t>a benchmark credit rating of BBB+</w:t>
      </w:r>
    </w:p>
    <w:p w:rsidR="00785836" w:rsidRPr="00785836" w:rsidRDefault="00785836" w:rsidP="00785836">
      <w:pPr>
        <w:pStyle w:val="AERbulletlistfirststyle"/>
      </w:pPr>
      <w:r w:rsidRPr="00235F75">
        <w:t>a benchmark term of debt of 10 years</w:t>
      </w:r>
    </w:p>
    <w:p w:rsidR="00785836" w:rsidRPr="00785836" w:rsidRDefault="00785836" w:rsidP="00785836">
      <w:pPr>
        <w:pStyle w:val="AERbulletlistfirststyle"/>
      </w:pPr>
      <w:r w:rsidRPr="00235F75">
        <w:t>indepen</w:t>
      </w:r>
      <w:r w:rsidRPr="00785836">
        <w:t xml:space="preserve">dent third party data series—specifically, a simple average of the broad BBB rated debt data series published by the </w:t>
      </w:r>
      <w:r w:rsidR="004F2761">
        <w:t xml:space="preserve">Reserve Bank of Australia (RBA) </w:t>
      </w:r>
      <w:r w:rsidRPr="00785836">
        <w:t xml:space="preserve"> and Bloomberg, adjusted to reflect a 10 year estimate and other adjustments</w:t>
      </w:r>
      <w:r w:rsidR="004F2761">
        <w:t>.</w:t>
      </w:r>
      <w:r w:rsidRPr="00785836">
        <w:rPr>
          <w:rStyle w:val="FootnoteReference"/>
        </w:rPr>
        <w:footnoteReference w:id="17"/>
      </w:r>
    </w:p>
    <w:p w:rsidR="00785836" w:rsidRPr="00785836" w:rsidRDefault="00785836" w:rsidP="00785836">
      <w:pPr>
        <w:pStyle w:val="AERbulletlistfirststyle"/>
      </w:pPr>
      <w:r w:rsidRPr="00235F75">
        <w:t>an</w:t>
      </w:r>
      <w:r w:rsidRPr="00785836">
        <w:t xml:space="preserve"> averaging period for each regulatory year of between 10 business days and 12 months (nominated by the service provider), with that period being consistent with certain conditions that we proposed in the Guideline.</w:t>
      </w:r>
      <w:r w:rsidRPr="00785836">
        <w:rPr>
          <w:rStyle w:val="FootnoteReference"/>
        </w:rPr>
        <w:footnoteReference w:id="18"/>
      </w:r>
    </w:p>
    <w:p w:rsidR="004F2761" w:rsidRDefault="004F2761" w:rsidP="004F2761">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4F2761" w:rsidRPr="004F2761" w:rsidRDefault="004F2761" w:rsidP="004F2761">
      <w:pPr>
        <w:pStyle w:val="AERbulletlistfirststyle"/>
      </w:pPr>
      <w:r>
        <w:t>Whether a</w:t>
      </w:r>
      <w:r w:rsidRPr="004F2761">
        <w:t xml:space="preserve"> benchmark efficient entity would have a credit rating of BBB rather than BBB+. It upheld our decision to define a benchmark credit rating as a BBB+ credit rating.</w:t>
      </w:r>
      <w:r w:rsidRPr="004F2761">
        <w:rPr>
          <w:rStyle w:val="FootnoteReference"/>
        </w:rPr>
        <w:footnoteReference w:id="19"/>
      </w:r>
    </w:p>
    <w:p w:rsidR="004F2761" w:rsidRPr="004F2761" w:rsidRDefault="004F2761" w:rsidP="004F2761">
      <w:pPr>
        <w:pStyle w:val="AERbulletlistfirststyle"/>
      </w:pPr>
      <w:r>
        <w:t xml:space="preserve">Whether we should estimate </w:t>
      </w:r>
      <w:r w:rsidRPr="004F2761">
        <w:t>the allowed return on debt using the RBA data series alone or a simple average of the RBA and Bloomberg data series. It upheld our decision and found that, 'averaging of the two curves was an acceptable measure of the DRP'.</w:t>
      </w:r>
      <w:r w:rsidRPr="004F2761">
        <w:rPr>
          <w:rStyle w:val="FootnoteReference"/>
        </w:rPr>
        <w:t xml:space="preserve"> </w:t>
      </w:r>
      <w:r w:rsidRPr="004F2761">
        <w:rPr>
          <w:rStyle w:val="FootnoteReference"/>
        </w:rPr>
        <w:footnoteReference w:id="20"/>
      </w:r>
    </w:p>
    <w:p w:rsidR="004F2761" w:rsidRPr="004F2761" w:rsidRDefault="004F2761" w:rsidP="004F2761">
      <w:pPr>
        <w:pStyle w:val="AERbulletlistfirststyle"/>
      </w:pPr>
      <w:r>
        <w:t>Whether we should transition all of the return on debt</w:t>
      </w:r>
      <w:r w:rsidRPr="004F2761">
        <w:rPr>
          <w:rStyle w:val="FootnoteReference"/>
        </w:rPr>
        <w:footnoteReference w:id="21"/>
      </w:r>
      <w:r w:rsidRPr="004F2761">
        <w:t xml:space="preserve"> from an on-the-day approach in the first regulatory year to a trailing average by updating 10 per cent of the debt portfolio over 10 years (a full transition). It remitted the determination back to us to make a constituent decision on introducing the trailing average approach in accordance with several reasons outlined in its decision.</w:t>
      </w:r>
      <w:r w:rsidRPr="004F2761">
        <w:rPr>
          <w:rStyle w:val="FootnoteReference"/>
        </w:rPr>
        <w:footnoteReference w:id="22"/>
      </w:r>
      <w:r w:rsidRPr="004F2761">
        <w:t xml:space="preserve"> We note the Tribunal's decision in section </w:t>
      </w:r>
      <w:r w:rsidR="00067443">
        <w:fldChar w:fldCharType="begin"/>
      </w:r>
      <w:r w:rsidR="00067443">
        <w:instrText xml:space="preserve"> REF _Ref451328558 \r \h </w:instrText>
      </w:r>
      <w:r w:rsidR="00067443">
        <w:fldChar w:fldCharType="separate"/>
      </w:r>
      <w:r w:rsidR="000230CB">
        <w:t>3.4.2</w:t>
      </w:r>
      <w:r w:rsidR="00067443">
        <w:fldChar w:fldCharType="end"/>
      </w:r>
      <w:r w:rsidR="00067443">
        <w:t xml:space="preserve"> </w:t>
      </w:r>
      <w:r w:rsidRPr="004F2761">
        <w:t>and Appendix</w:t>
      </w:r>
      <w:r w:rsidR="00067443">
        <w:t xml:space="preserve"> </w:t>
      </w:r>
      <w:r w:rsidR="00067443">
        <w:fldChar w:fldCharType="begin"/>
      </w:r>
      <w:r w:rsidR="00067443">
        <w:instrText xml:space="preserve"> REF _Ref451328574 \r \h </w:instrText>
      </w:r>
      <w:r w:rsidR="00067443">
        <w:fldChar w:fldCharType="separate"/>
      </w:r>
      <w:r w:rsidR="000230CB">
        <w:t>H</w:t>
      </w:r>
      <w:r w:rsidR="00067443">
        <w:fldChar w:fldCharType="end"/>
      </w:r>
      <w:r w:rsidRPr="004F2761">
        <w:t>.</w:t>
      </w:r>
    </w:p>
    <w:p w:rsidR="004F2761" w:rsidRDefault="004F2761" w:rsidP="004F2761">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3"/>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4"/>
      </w:r>
      <w:r w:rsidRPr="00235F75">
        <w:t xml:space="preserve"> </w:t>
      </w:r>
      <w:r>
        <w:t xml:space="preserve">In the </w:t>
      </w:r>
      <w:r w:rsidR="009A39AD">
        <w:t>draft</w:t>
      </w:r>
      <w:r>
        <w:t xml:space="preserve"> decision, w</w:t>
      </w:r>
      <w:r w:rsidRPr="00235F75">
        <w:t xml:space="preserve">e </w:t>
      </w:r>
      <w:r>
        <w:t xml:space="preserve">formed a view on this issue and adopted a simple average of the RBA and Bloomberg data series. Since then, </w:t>
      </w:r>
      <w:r w:rsidRPr="002E41F8">
        <w:t xml:space="preserve">several service providers </w:t>
      </w:r>
      <w:r>
        <w:t>have proposed</w:t>
      </w:r>
      <w:r w:rsidRPr="002E41F8">
        <w:t xml:space="preserve"> to adopt a Thomson Reuters 10 year yield curve in addition to or in place of </w:t>
      </w:r>
      <w:r>
        <w:t xml:space="preserve">the </w:t>
      </w:r>
      <w:r w:rsidRPr="002E41F8">
        <w:t xml:space="preserve">Bloomberg </w:t>
      </w:r>
      <w:r>
        <w:t>data series</w:t>
      </w:r>
      <w:r w:rsidRPr="002E41F8">
        <w:t xml:space="preserve">. </w:t>
      </w:r>
      <w:r>
        <w:t xml:space="preserve">We have considered these proposals but maintain our </w:t>
      </w:r>
      <w:r w:rsidR="009A39AD">
        <w:t>draft</w:t>
      </w:r>
      <w:r>
        <w:t xml:space="preserve"> </w:t>
      </w:r>
      <w:r w:rsidR="003C00F6">
        <w:t xml:space="preserve">decision </w:t>
      </w:r>
      <w:r>
        <w:t xml:space="preserve">position for reasons discussed in section </w:t>
      </w:r>
      <w:r w:rsidR="00067443" w:rsidRPr="00067443">
        <w:fldChar w:fldCharType="begin"/>
      </w:r>
      <w:r w:rsidR="00067443" w:rsidRPr="00067443">
        <w:instrText xml:space="preserve"> REF _Ref451328558 \r \h </w:instrText>
      </w:r>
      <w:r w:rsidR="00067443" w:rsidRPr="00067443">
        <w:fldChar w:fldCharType="separate"/>
      </w:r>
      <w:r w:rsidR="000230CB">
        <w:t>3.4.2</w:t>
      </w:r>
      <w:r w:rsidR="00067443" w:rsidRPr="00067443">
        <w:fldChar w:fldCharType="end"/>
      </w:r>
      <w:r>
        <w:t xml:space="preserve">. </w:t>
      </w:r>
    </w:p>
    <w:p w:rsidR="004F2761" w:rsidRDefault="004F2761" w:rsidP="009A39AD">
      <w:r>
        <w:t xml:space="preserve">Our formula for automatically updating </w:t>
      </w:r>
      <w:r w:rsidRPr="00C6581F">
        <w:t>the return on debt</w:t>
      </w:r>
      <w:r w:rsidRPr="006C2A62">
        <w:t xml:space="preserve"> </w:t>
      </w:r>
      <w:r>
        <w:t xml:space="preserve">annually is set out in </w:t>
      </w:r>
      <w:r w:rsidRPr="009114E9">
        <w:rPr>
          <w:rStyle w:val="AERbody"/>
        </w:rPr>
        <w:t xml:space="preserve">Appendix </w:t>
      </w:r>
      <w:r w:rsidR="00067443">
        <w:rPr>
          <w:rStyle w:val="AERbody"/>
        </w:rPr>
        <w:fldChar w:fldCharType="begin"/>
      </w:r>
      <w:r w:rsidR="00067443">
        <w:rPr>
          <w:rStyle w:val="AERbody"/>
        </w:rPr>
        <w:instrText xml:space="preserve"> REF _Ref451328596 \r \h </w:instrText>
      </w:r>
      <w:r w:rsidR="00067443">
        <w:rPr>
          <w:rStyle w:val="AERbody"/>
        </w:rPr>
      </w:r>
      <w:r w:rsidR="00067443">
        <w:rPr>
          <w:rStyle w:val="AERbody"/>
        </w:rPr>
        <w:fldChar w:fldCharType="separate"/>
      </w:r>
      <w:r w:rsidR="000230CB">
        <w:rPr>
          <w:rStyle w:val="AERbody"/>
        </w:rPr>
        <w:t>J</w:t>
      </w:r>
      <w:r w:rsidR="00067443">
        <w:rPr>
          <w:rStyle w:val="AERbody"/>
        </w:rPr>
        <w:fldChar w:fldCharType="end"/>
      </w:r>
      <w:r w:rsidRPr="009114E9">
        <w:rPr>
          <w:rStyle w:val="AERbody"/>
        </w:rPr>
        <w:t xml:space="preserve"> of</w:t>
      </w:r>
      <w:r>
        <w:t xml:space="preserve"> this decision.</w:t>
      </w:r>
    </w:p>
    <w:p w:rsidR="00785836" w:rsidRDefault="00785836" w:rsidP="00785836">
      <w:pPr>
        <w:pStyle w:val="Heading2"/>
      </w:pPr>
      <w:bookmarkStart w:id="16" w:name="_Toc437001926"/>
      <w:bookmarkStart w:id="17" w:name="_Toc451943770"/>
      <w:r>
        <w:t>AGN's revised proposal</w:t>
      </w:r>
      <w:bookmarkEnd w:id="16"/>
      <w:bookmarkEnd w:id="17"/>
    </w:p>
    <w:p w:rsidR="00785836" w:rsidRDefault="00785836" w:rsidP="00785836">
      <w:pPr>
        <w:pStyle w:val="HeadingBoldBlue"/>
        <w:numPr>
          <w:ilvl w:val="0"/>
          <w:numId w:val="24"/>
        </w:numPr>
      </w:pPr>
      <w:bookmarkStart w:id="18" w:name="_Toc430178091"/>
      <w:bookmarkStart w:id="19" w:name="_Toc430178372"/>
      <w:r>
        <w:t>Return on equity</w:t>
      </w:r>
      <w:bookmarkEnd w:id="18"/>
      <w:bookmarkEnd w:id="19"/>
    </w:p>
    <w:p w:rsidR="00785836" w:rsidRDefault="00785836" w:rsidP="00785836">
      <w:pPr>
        <w:numPr>
          <w:ilvl w:val="0"/>
          <w:numId w:val="24"/>
        </w:numPr>
      </w:pPr>
      <w:r>
        <w:t>AGN</w:t>
      </w:r>
      <w:r w:rsidRPr="00F1535D">
        <w:t xml:space="preserve"> proposed a</w:t>
      </w:r>
      <w:r>
        <w:t xml:space="preserve"> return on equity estimate of </w:t>
      </w:r>
      <w:r w:rsidR="00B80604">
        <w:t>9.84</w:t>
      </w:r>
      <w:r>
        <w:t xml:space="preserve"> </w:t>
      </w:r>
      <w:r w:rsidRPr="00F1535D">
        <w:t>per cent</w:t>
      </w:r>
      <w:r>
        <w:t>.</w:t>
      </w:r>
      <w:r>
        <w:rPr>
          <w:rStyle w:val="FootnoteReference"/>
        </w:rPr>
        <w:footnoteReference w:id="25"/>
      </w:r>
      <w:r>
        <w:t xml:space="preserve"> This is based on a foundation model approach with parameter uplifts that incorporate information from a multiple model approach.</w:t>
      </w:r>
      <w:r>
        <w:rPr>
          <w:rStyle w:val="FootnoteReference"/>
        </w:rPr>
        <w:footnoteReference w:id="26"/>
      </w:r>
      <w:r>
        <w:t xml:space="preserve"> While presented differently, this is practically similar to AGN's initial proposed return on equity estimate, which was based on a multi-model approach</w:t>
      </w:r>
      <w:r w:rsidRPr="00F1535D">
        <w:t>.</w:t>
      </w:r>
      <w:r>
        <w:rPr>
          <w:rStyle w:val="FootnoteReference"/>
        </w:rPr>
        <w:footnoteReference w:id="27"/>
      </w:r>
    </w:p>
    <w:p w:rsidR="00785836" w:rsidRDefault="00785836" w:rsidP="00785836">
      <w:pPr>
        <w:pStyle w:val="HeadingBoldBlue"/>
        <w:numPr>
          <w:ilvl w:val="0"/>
          <w:numId w:val="24"/>
        </w:numPr>
      </w:pPr>
      <w:bookmarkStart w:id="20" w:name="_Toc430178092"/>
      <w:bookmarkStart w:id="21" w:name="_Toc430178373"/>
      <w:r>
        <w:t xml:space="preserve">Return on debt </w:t>
      </w:r>
      <w:bookmarkEnd w:id="20"/>
      <w:bookmarkEnd w:id="21"/>
    </w:p>
    <w:p w:rsidR="00785836" w:rsidRDefault="00785836" w:rsidP="00785836">
      <w:r>
        <w:t xml:space="preserve">In its revised </w:t>
      </w:r>
      <w:r w:rsidR="005F0630">
        <w:t xml:space="preserve">access arrangement </w:t>
      </w:r>
      <w:r>
        <w:t>proposal, AGN</w:t>
      </w:r>
      <w:r w:rsidRPr="00F1535D">
        <w:t xml:space="preserve"> </w:t>
      </w:r>
      <w:r>
        <w:t xml:space="preserve">proposed to depart from the position in its </w:t>
      </w:r>
      <w:r w:rsidR="00995279">
        <w:t>(initial) access arrangement proposal</w:t>
      </w:r>
      <w:r>
        <w:t xml:space="preserve"> on how to transition from the on-the-day approach to trailing average approach. AGN</w:t>
      </w:r>
      <w:r w:rsidRPr="00F1535D">
        <w:t xml:space="preserve"> </w:t>
      </w:r>
      <w:r w:rsidR="005F0630">
        <w:t xml:space="preserve">previously proposed to calculate its </w:t>
      </w:r>
      <w:r w:rsidR="005F0630" w:rsidRPr="00D77A5F">
        <w:t xml:space="preserve">return on debt using a </w:t>
      </w:r>
      <w:r w:rsidR="005F0630">
        <w:t xml:space="preserve">hybrid transition which combines a gradual transition of the base rate with a </w:t>
      </w:r>
      <w:r w:rsidR="005F0630" w:rsidRPr="00D77A5F">
        <w:t>backwards looking</w:t>
      </w:r>
      <w:r w:rsidR="005F0630">
        <w:t xml:space="preserve"> trailing average debt risk premium (DRP)</w:t>
      </w:r>
      <w:r w:rsidRPr="00D77A5F">
        <w:t xml:space="preserve">. </w:t>
      </w:r>
      <w:r>
        <w:t xml:space="preserve">However, it now proposes an immediate transition to a trailing average, using both a backwards looking base rate and </w:t>
      </w:r>
      <w:r w:rsidR="00E214F6">
        <w:t>DRP</w:t>
      </w:r>
      <w:r>
        <w:t>. As such, AGN</w:t>
      </w:r>
      <w:r w:rsidRPr="00F1535D">
        <w:t xml:space="preserve"> </w:t>
      </w:r>
      <w:r>
        <w:t>proposed a return on debt estimate of 7.</w:t>
      </w:r>
      <w:r w:rsidR="004C2FA9">
        <w:t>93</w:t>
      </w:r>
      <w:r>
        <w:t xml:space="preserve"> per cent for regulatory year 2016</w:t>
      </w:r>
      <w:r w:rsidR="004C2FA9">
        <w:rPr>
          <w:rFonts w:cs="Arial"/>
        </w:rPr>
        <w:t>–</w:t>
      </w:r>
      <w:r w:rsidR="004C2FA9">
        <w:t>17</w:t>
      </w:r>
      <w:r>
        <w:t>.</w:t>
      </w:r>
      <w:r>
        <w:rPr>
          <w:rStyle w:val="FootnoteReference"/>
        </w:rPr>
        <w:footnoteReference w:id="28"/>
      </w:r>
    </w:p>
    <w:p w:rsidR="00785836" w:rsidRDefault="00785836" w:rsidP="00785836">
      <w:pPr>
        <w:numPr>
          <w:ilvl w:val="0"/>
          <w:numId w:val="24"/>
        </w:numPr>
      </w:pPr>
      <w:r>
        <w:t>In implementing the return on debt, AGN</w:t>
      </w:r>
      <w:r w:rsidRPr="00F1535D">
        <w:t xml:space="preserve"> </w:t>
      </w:r>
      <w:r>
        <w:t>proposed:</w:t>
      </w:r>
      <w:r w:rsidR="004C2FA9" w:rsidRPr="00785836">
        <w:rPr>
          <w:rStyle w:val="FootnoteReference"/>
        </w:rPr>
        <w:footnoteReference w:id="29"/>
      </w:r>
    </w:p>
    <w:p w:rsidR="00785836" w:rsidRPr="00785836" w:rsidRDefault="00785836" w:rsidP="00785836">
      <w:pPr>
        <w:pStyle w:val="AERbulletlistfirststyle"/>
      </w:pPr>
      <w:r w:rsidRPr="00487B86">
        <w:t xml:space="preserve">a </w:t>
      </w:r>
      <w:r w:rsidRPr="00785836">
        <w:t>10 year term and BBB</w:t>
      </w:r>
      <w:r w:rsidR="004C2FA9">
        <w:t>+</w:t>
      </w:r>
      <w:r w:rsidRPr="00785836">
        <w:t xml:space="preserve"> credit rating</w:t>
      </w:r>
      <w:r w:rsidR="004C2FA9">
        <w:t>, consistent with the</w:t>
      </w:r>
      <w:r w:rsidRPr="00785836">
        <w:t>n the Guideline,</w:t>
      </w:r>
      <w:r w:rsidRPr="00785836">
        <w:rPr>
          <w:rStyle w:val="FootnoteReference"/>
        </w:rPr>
        <w:t xml:space="preserve"> </w:t>
      </w:r>
    </w:p>
    <w:p w:rsidR="004C2FA9" w:rsidRDefault="00785836" w:rsidP="00785836">
      <w:pPr>
        <w:pStyle w:val="AERbulletlistfirststyle"/>
      </w:pPr>
      <w:r w:rsidRPr="00A14E4E">
        <w:t xml:space="preserve">using </w:t>
      </w:r>
      <w:r w:rsidR="004C2FA9">
        <w:t>a defined process</w:t>
      </w:r>
      <w:r w:rsidRPr="00A14E4E">
        <w:t xml:space="preserve"> for selecting the third-party data source and extrapolation method</w:t>
      </w:r>
      <w:r w:rsidRPr="00785836">
        <w:t xml:space="preserve"> to use in each year of the </w:t>
      </w:r>
      <w:r w:rsidR="005B3950">
        <w:t>access arrangement</w:t>
      </w:r>
      <w:r w:rsidRPr="00785836">
        <w:t xml:space="preserve"> period</w:t>
      </w:r>
      <w:r w:rsidR="004C2FA9">
        <w:t>,</w:t>
      </w:r>
    </w:p>
    <w:p w:rsidR="004C2FA9" w:rsidRDefault="004C2FA9" w:rsidP="00785836">
      <w:pPr>
        <w:pStyle w:val="AERbulletlistfirststyle"/>
      </w:pPr>
      <w:r>
        <w:t xml:space="preserve">using separate averaging periods to estimate the base rate and </w:t>
      </w:r>
      <w:r w:rsidR="00E214F6">
        <w:t>DRP</w:t>
      </w:r>
      <w:r>
        <w:t xml:space="preserve"> components of the return on debt, and</w:t>
      </w:r>
    </w:p>
    <w:p w:rsidR="00785836" w:rsidRPr="00785836" w:rsidRDefault="004C2FA9" w:rsidP="00785836">
      <w:pPr>
        <w:pStyle w:val="AERbulletlistfirststyle"/>
      </w:pPr>
      <w:r>
        <w:t>Uplifting the return on debt by 27 basis points to include a 'new issue premium'.</w:t>
      </w:r>
    </w:p>
    <w:p w:rsidR="00785836" w:rsidRDefault="00785836" w:rsidP="00785836">
      <w:pPr>
        <w:pStyle w:val="Heading2"/>
      </w:pPr>
      <w:bookmarkStart w:id="22" w:name="_Toc437001927"/>
      <w:bookmarkStart w:id="23" w:name="_Toc451943771"/>
      <w:r>
        <w:t>Assessment approach</w:t>
      </w:r>
      <w:bookmarkEnd w:id="22"/>
      <w:bookmarkEnd w:id="23"/>
    </w:p>
    <w:p w:rsidR="004F2761" w:rsidRDefault="004F2761" w:rsidP="004F2761">
      <w:pPr>
        <w:numPr>
          <w:ilvl w:val="0"/>
          <w:numId w:val="24"/>
        </w:numPr>
      </w:pPr>
      <w:bookmarkStart w:id="24" w:name="_Toc403144139"/>
      <w:r>
        <w:t>The National Electricity Law/National Gas Law (NEL/NGL) and rules (NER/NGR) form our framework for determining the rate of return. The key components of this framework include:</w:t>
      </w:r>
    </w:p>
    <w:p w:rsidR="004F2761" w:rsidRPr="004F2761" w:rsidRDefault="004F2761" w:rsidP="004F2761">
      <w:pPr>
        <w:pStyle w:val="AERbulletlistfirststyle"/>
      </w:pPr>
      <w:r>
        <w:t>national electricity/gas objective (NEO/NGO) and the RPPs in the</w:t>
      </w:r>
      <w:r w:rsidRPr="004F2761">
        <w:t xml:space="preserve"> NEL/NGL.</w:t>
      </w:r>
    </w:p>
    <w:p w:rsidR="004F2761" w:rsidRPr="004F2761" w:rsidRDefault="004F2761" w:rsidP="004F2761">
      <w:pPr>
        <w:pStyle w:val="AERbulletlistfirststyle"/>
      </w:pPr>
      <w:r>
        <w:t>the overall rate of return</w:t>
      </w:r>
      <w:r w:rsidRPr="004F2761">
        <w:t>―consisting of the allowed return on equity and debt</w:t>
      </w:r>
    </w:p>
    <w:p w:rsidR="004F2761" w:rsidRDefault="004F2761" w:rsidP="004F2761">
      <w:pPr>
        <w:pStyle w:val="AERbulletlistfirststyle"/>
      </w:pPr>
      <w:r>
        <w:t>the ARORO and its elements</w:t>
      </w:r>
    </w:p>
    <w:p w:rsidR="004F2761" w:rsidRDefault="004F2761" w:rsidP="004F2761">
      <w:pPr>
        <w:pStyle w:val="AERbulletlistfirststyle"/>
      </w:pPr>
      <w:r>
        <w:t>return on debt factors</w:t>
      </w:r>
    </w:p>
    <w:p w:rsidR="004F2761" w:rsidRPr="004F2761" w:rsidRDefault="004F2761" w:rsidP="004F2761">
      <w:pPr>
        <w:pStyle w:val="AERbulletlistfirststyle"/>
      </w:pPr>
      <w:r>
        <w:t>considering i</w:t>
      </w:r>
      <w:r w:rsidRPr="004F2761">
        <w:t>nterrelationships within the rate of return</w:t>
      </w:r>
    </w:p>
    <w:p w:rsidR="004F2761" w:rsidRPr="004F2761" w:rsidRDefault="004F2761" w:rsidP="004F2761">
      <w:pPr>
        <w:pStyle w:val="AERbulletlistfirststyle"/>
      </w:pPr>
      <w:r>
        <w:t xml:space="preserve">use of the </w:t>
      </w:r>
      <w:r w:rsidRPr="004F2761">
        <w:t xml:space="preserve">Guideline </w:t>
      </w:r>
    </w:p>
    <w:p w:rsidR="004F2761" w:rsidRDefault="004F2761" w:rsidP="004F2761">
      <w:pPr>
        <w:pStyle w:val="AERbulletlistfirststyle"/>
      </w:pPr>
      <w:r>
        <w:t>consideration of information before us.</w:t>
      </w:r>
    </w:p>
    <w:p w:rsidR="004F2761" w:rsidRPr="003337B3" w:rsidRDefault="004F2761" w:rsidP="004F2761">
      <w:pPr>
        <w:pStyle w:val="Heading3"/>
      </w:pPr>
      <w:bookmarkStart w:id="25" w:name="_Toc450922661"/>
      <w:bookmarkStart w:id="26" w:name="_Toc451943772"/>
      <w:r>
        <w:t>National gas law</w:t>
      </w:r>
      <w:bookmarkEnd w:id="25"/>
      <w:bookmarkEnd w:id="26"/>
    </w:p>
    <w:p w:rsidR="004F2761" w:rsidRPr="00762AAF" w:rsidRDefault="004F2761" w:rsidP="004F2761">
      <w:pPr>
        <w:numPr>
          <w:ilvl w:val="0"/>
          <w:numId w:val="24"/>
        </w:numPr>
      </w:pPr>
      <w:bookmarkStart w:id="27" w:name="_Toc450922662"/>
      <w:r w:rsidRPr="00762AAF">
        <w:t xml:space="preserve">In performing or exercising an economic regulatory function or power, we must do so in a manner that will or is likely to contribute to the </w:t>
      </w:r>
      <w:r>
        <w:t>NGO</w:t>
      </w:r>
      <w:r w:rsidRPr="00762AAF">
        <w:t>.</w:t>
      </w:r>
      <w:r w:rsidRPr="00762AAF">
        <w:rPr>
          <w:rStyle w:val="FootnoteReference"/>
        </w:rPr>
        <w:footnoteReference w:id="30"/>
      </w:r>
      <w:r w:rsidRPr="00762AAF">
        <w:t xml:space="preserve"> The </w:t>
      </w:r>
      <w:r>
        <w:t>NGO</w:t>
      </w:r>
      <w:r w:rsidRPr="00762AAF">
        <w:t xml:space="preserve"> states:</w:t>
      </w:r>
      <w:r>
        <w:rPr>
          <w:rStyle w:val="FootnoteReference"/>
        </w:rPr>
        <w:footnoteReference w:id="31"/>
      </w:r>
    </w:p>
    <w:p w:rsidR="004F2761" w:rsidRPr="00762AAF" w:rsidRDefault="004F2761" w:rsidP="004F2761">
      <w:pPr>
        <w:pStyle w:val="AERquote"/>
      </w:pPr>
      <w:r w:rsidRPr="00762AAF">
        <w:t xml:space="preserve">The objective of this Law is to promote efficient investment in, and efficient operation and use of, </w:t>
      </w:r>
      <w:r>
        <w:t>natural gas</w:t>
      </w:r>
      <w:r w:rsidRPr="00762AAF">
        <w:t xml:space="preserve"> services for the long term interests of consumers of </w:t>
      </w:r>
      <w:r>
        <w:t xml:space="preserve">natural gas </w:t>
      </w:r>
      <w:r w:rsidRPr="00762AAF">
        <w:t>with respect to</w:t>
      </w:r>
      <w:r>
        <w:t xml:space="preserve"> </w:t>
      </w:r>
      <w:r w:rsidRPr="00762AAF">
        <w:t xml:space="preserve">price, quality, safety, reliability and security of supply of </w:t>
      </w:r>
      <w:r>
        <w:t>natural gas</w:t>
      </w:r>
      <w:r w:rsidRPr="00762AAF">
        <w:t xml:space="preserve">. </w:t>
      </w:r>
    </w:p>
    <w:p w:rsidR="004F2761" w:rsidRDefault="004F2761" w:rsidP="004F2761">
      <w:pPr>
        <w:numPr>
          <w:ilvl w:val="0"/>
          <w:numId w:val="24"/>
        </w:numPr>
      </w:pPr>
      <w:r>
        <w:t>When we make an access arrangement decision</w:t>
      </w:r>
      <w:r w:rsidRPr="00762AAF">
        <w:t xml:space="preserve">,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4F2761" w:rsidRDefault="004F2761" w:rsidP="004F2761">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2"/>
      </w:r>
      <w:r w:rsidRPr="00762AAF">
        <w:t xml:space="preserve"> In the context of the rate of return decision, we take particular account of the following </w:t>
      </w:r>
      <w:r>
        <w:t>RPPs:</w:t>
      </w:r>
    </w:p>
    <w:p w:rsidR="004F2761" w:rsidRPr="007A24FB" w:rsidRDefault="004F2761" w:rsidP="004F2761">
      <w:pPr>
        <w:pStyle w:val="AERbulletlistfirststyle"/>
      </w:pPr>
      <w:r w:rsidRPr="00762AAF">
        <w:t xml:space="preserve">A service provider should have a reasonable opportunity to recover at least the efficient costs that the operator (benchmark efficient entity) incurs in providing </w:t>
      </w:r>
      <w:r>
        <w:t>reference</w:t>
      </w:r>
      <w:r w:rsidRPr="00762AAF">
        <w:t xml:space="preserve"> services.</w:t>
      </w:r>
      <w:r w:rsidRPr="007A24FB">
        <w:rPr>
          <w:rStyle w:val="FootnoteReference"/>
        </w:rPr>
        <w:footnoteReference w:id="33"/>
      </w:r>
    </w:p>
    <w:p w:rsidR="004F2761" w:rsidRPr="007A24FB" w:rsidRDefault="004F2761" w:rsidP="004F2761">
      <w:pPr>
        <w:pStyle w:val="AERbulletlistfirststyle"/>
      </w:pPr>
      <w:r w:rsidRPr="00762AAF">
        <w:t xml:space="preserve">A service provider should have effective incentives to promote economic efficiency in the </w:t>
      </w:r>
      <w:r>
        <w:t>reference</w:t>
      </w:r>
      <w:r w:rsidRPr="00762AAF">
        <w:t xml:space="preserve"> services that it provides. That economic efficiency should include efficient investment in</w:t>
      </w:r>
      <w:r>
        <w:t xml:space="preserve"> (or in connection with) a pipeline with which it provides reference services</w:t>
      </w:r>
      <w:r w:rsidRPr="00762AAF">
        <w:t xml:space="preserve">, efficient provision of </w:t>
      </w:r>
      <w:r>
        <w:t>pipeline</w:t>
      </w:r>
      <w:r w:rsidRPr="00762AAF">
        <w:t xml:space="preserve"> services, and the efficient use of the </w:t>
      </w:r>
      <w:r>
        <w:t>pipeline</w:t>
      </w:r>
      <w:r w:rsidRPr="00762AAF">
        <w:t>.</w:t>
      </w:r>
      <w:r w:rsidRPr="007A24FB">
        <w:rPr>
          <w:rStyle w:val="FootnoteReference"/>
        </w:rPr>
        <w:footnoteReference w:id="34"/>
      </w:r>
      <w:r w:rsidRPr="007A24FB">
        <w:rPr>
          <w:rStyle w:val="FootnoteReference"/>
        </w:rPr>
        <w:t xml:space="preserve"> </w:t>
      </w:r>
    </w:p>
    <w:p w:rsidR="004F2761" w:rsidRPr="007A24FB" w:rsidRDefault="004F2761" w:rsidP="004F2761">
      <w:pPr>
        <w:pStyle w:val="AERbulletlistfirststyle"/>
      </w:pPr>
      <w:r w:rsidRPr="00762AAF">
        <w:t xml:space="preserve">A </w:t>
      </w:r>
      <w:r>
        <w:t>reference tariff</w:t>
      </w:r>
      <w:r w:rsidRPr="00762AAF">
        <w:t xml:space="preserve"> should allow for a return </w:t>
      </w:r>
      <w:r>
        <w:t>commensurate with the</w:t>
      </w:r>
      <w:r w:rsidRPr="00762AAF">
        <w:t xml:space="preserve"> regulatory and commercial risks </w:t>
      </w:r>
      <w:r>
        <w:t xml:space="preserve">involved in </w:t>
      </w:r>
      <w:r w:rsidRPr="00762AAF">
        <w:t xml:space="preserve">providing the </w:t>
      </w:r>
      <w:r>
        <w:t>reference</w:t>
      </w:r>
      <w:r w:rsidRPr="00762AAF">
        <w:t xml:space="preserve"> service </w:t>
      </w:r>
      <w:r>
        <w:t xml:space="preserve">to which </w:t>
      </w:r>
      <w:r w:rsidRPr="00762AAF">
        <w:t xml:space="preserve">that </w:t>
      </w:r>
      <w:r>
        <w:t>tariff</w:t>
      </w:r>
      <w:r w:rsidRPr="00762AAF">
        <w:t xml:space="preserve"> relates.</w:t>
      </w:r>
      <w:r w:rsidRPr="007A24FB">
        <w:rPr>
          <w:rStyle w:val="FootnoteReference"/>
        </w:rPr>
        <w:footnoteReference w:id="35"/>
      </w:r>
    </w:p>
    <w:p w:rsidR="004F2761" w:rsidRPr="007A24FB" w:rsidRDefault="004F2761" w:rsidP="004F2761">
      <w:pPr>
        <w:pStyle w:val="AERbulletlistfirststyle"/>
      </w:pPr>
      <w:r>
        <w:t>Regard should be had to t</w:t>
      </w:r>
      <w:r w:rsidRPr="00762AAF">
        <w:t xml:space="preserve">he economic costs and risks of the potential for under or over investment by a service provider in a </w:t>
      </w:r>
      <w:r>
        <w:t>pipeline with which the</w:t>
      </w:r>
      <w:r w:rsidRPr="00762AAF">
        <w:t xml:space="preserve"> service provider </w:t>
      </w:r>
      <w:r>
        <w:t>provides pipeline</w:t>
      </w:r>
      <w:r w:rsidRPr="00762AAF">
        <w:t xml:space="preserve"> services.</w:t>
      </w:r>
      <w:r w:rsidRPr="007A24FB">
        <w:rPr>
          <w:rStyle w:val="FootnoteReference"/>
        </w:rPr>
        <w:footnoteReference w:id="36"/>
      </w:r>
      <w:r w:rsidRPr="007A24FB">
        <w:t xml:space="preserve"> </w:t>
      </w:r>
    </w:p>
    <w:p w:rsidR="004F2761" w:rsidRPr="005C1DB5" w:rsidRDefault="004F2761" w:rsidP="004F2761">
      <w:pPr>
        <w:pStyle w:val="AERbulletlistfirststyle"/>
      </w:pPr>
      <w:r>
        <w:t>Regard should be had to t</w:t>
      </w:r>
      <w:r w:rsidRPr="00762AAF">
        <w:t xml:space="preserve">he economic costs and risks of the potential for under or over utilisation of a </w:t>
      </w:r>
      <w:r>
        <w:t>pipeline with which</w:t>
      </w:r>
      <w:r w:rsidRPr="00762AAF">
        <w:t xml:space="preserve"> </w:t>
      </w:r>
      <w:r>
        <w:t xml:space="preserve">the </w:t>
      </w:r>
      <w:r w:rsidRPr="00762AAF">
        <w:t>service provider provide</w:t>
      </w:r>
      <w:r>
        <w:t xml:space="preserve">s pipeline </w:t>
      </w:r>
      <w:r w:rsidRPr="00762AAF">
        <w:t>services.</w:t>
      </w:r>
      <w:r w:rsidRPr="007A24FB">
        <w:rPr>
          <w:rStyle w:val="FootnoteReference"/>
        </w:rPr>
        <w:footnoteReference w:id="37"/>
      </w:r>
      <w:r>
        <w:t xml:space="preserve"> </w:t>
      </w:r>
    </w:p>
    <w:p w:rsidR="004F2761" w:rsidRPr="003337B3" w:rsidRDefault="004F2761" w:rsidP="004F2761">
      <w:pPr>
        <w:pStyle w:val="Heading3"/>
      </w:pPr>
      <w:bookmarkStart w:id="28" w:name="_Toc451943773"/>
      <w:r>
        <w:t>The overall rate of return</w:t>
      </w:r>
      <w:bookmarkEnd w:id="27"/>
      <w:bookmarkEnd w:id="28"/>
    </w:p>
    <w:p w:rsidR="004F2761" w:rsidRDefault="004F2761" w:rsidP="004F2761">
      <w:pPr>
        <w:numPr>
          <w:ilvl w:val="0"/>
          <w:numId w:val="24"/>
        </w:numPr>
      </w:pPr>
      <w:r w:rsidRPr="003248EB">
        <w:t>The</w:t>
      </w:r>
      <w:r>
        <w:t xml:space="preserve"> rules </w:t>
      </w:r>
      <w:r w:rsidR="00866141">
        <w:t xml:space="preserve">(that is, both the </w:t>
      </w:r>
      <w:r w:rsidR="007F0400">
        <w:t>NGR and NER</w:t>
      </w:r>
      <w:r w:rsidR="00866141">
        <w:t xml:space="preserve">) </w:t>
      </w:r>
      <w:r>
        <w:t>require we determine the</w:t>
      </w:r>
      <w:r w:rsidRPr="003248EB">
        <w:t xml:space="preserve"> allowed rate of return for a regulatory year </w:t>
      </w:r>
      <w:r>
        <w:t xml:space="preserve">as </w:t>
      </w:r>
      <w:r w:rsidRPr="003248EB">
        <w:t xml:space="preserve">a weighted average of the return on equity for the </w:t>
      </w:r>
      <w:r>
        <w:t>access arrangement period</w:t>
      </w:r>
      <w:r w:rsidR="00866141">
        <w:t xml:space="preserve"> or regulatory control period</w:t>
      </w:r>
      <w:r>
        <w:t xml:space="preserve">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8"/>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9"/>
      </w:r>
    </w:p>
    <w:p w:rsidR="004F2761" w:rsidRDefault="004F2761" w:rsidP="004F2761">
      <w:pPr>
        <w:numPr>
          <w:ilvl w:val="0"/>
          <w:numId w:val="24"/>
        </w:numPr>
      </w:pPr>
      <w:r>
        <w:t>The rules require that we estimate the return on equity</w:t>
      </w:r>
      <w:r w:rsidRPr="00D14E31">
        <w:t xml:space="preserve"> for </w:t>
      </w:r>
      <w:r>
        <w:t>an access arrangement</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0"/>
      </w:r>
    </w:p>
    <w:p w:rsidR="004F2761" w:rsidRPr="00762AAF" w:rsidRDefault="004F2761" w:rsidP="004F2761">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1"/>
      </w:r>
      <w:r>
        <w:t xml:space="preserve"> </w:t>
      </w:r>
      <w:r w:rsidRPr="00762AAF">
        <w:t xml:space="preserve">We </w:t>
      </w:r>
      <w:r>
        <w:t xml:space="preserve">may </w:t>
      </w:r>
      <w:r w:rsidRPr="00762AAF">
        <w:t xml:space="preserve">estimate the return on debt using a methodology which results in the return on debt (and consequently the allowed rate of return) being or potentially being, different for different regulatory years in the </w:t>
      </w:r>
      <w:r>
        <w:t>access arrangement</w:t>
      </w:r>
      <w:r w:rsidRPr="00762AAF">
        <w:t xml:space="preserve"> period.</w:t>
      </w:r>
      <w:r w:rsidRPr="00762AAF">
        <w:rPr>
          <w:rStyle w:val="FootnoteReference"/>
        </w:rPr>
        <w:footnoteReference w:id="42"/>
      </w:r>
      <w:r>
        <w:t xml:space="preserve"> </w:t>
      </w:r>
      <w:r w:rsidRPr="00762AAF">
        <w:t>In estimating the return on debt we have regard to the following factors:</w:t>
      </w:r>
    </w:p>
    <w:p w:rsidR="004F2761" w:rsidRPr="004F2761" w:rsidRDefault="004F2761" w:rsidP="004F2761">
      <w:pPr>
        <w:pStyle w:val="AERbulletlistfirststyle"/>
      </w:pPr>
      <w:r>
        <w:t>t</w:t>
      </w:r>
      <w:r w:rsidRPr="004F2761">
        <w:t>he desirability of minimising any difference between the return on debt and the return on debt of a benchmark efficient entity referred to in the ARORO.</w:t>
      </w:r>
    </w:p>
    <w:p w:rsidR="004F2761" w:rsidRPr="004F2761" w:rsidRDefault="004F2761" w:rsidP="004F2761">
      <w:pPr>
        <w:pStyle w:val="AERbulletlistfirststyle"/>
      </w:pPr>
      <w:r>
        <w:t>t</w:t>
      </w:r>
      <w:r w:rsidRPr="004F2761">
        <w:t>he interrelationship between the return on equity and the return on debt.</w:t>
      </w:r>
    </w:p>
    <w:p w:rsidR="004F2761" w:rsidRPr="004F2761" w:rsidRDefault="004F2761" w:rsidP="004F2761">
      <w:pPr>
        <w:pStyle w:val="AERbulletlistfirststyle"/>
      </w:pPr>
      <w:r>
        <w:t>t</w:t>
      </w:r>
      <w:r w:rsidRPr="004F2761">
        <w:t xml:space="preserve">he incentive that the return on debt may provide in relation to capital expenditure over the </w:t>
      </w:r>
      <w:r w:rsidR="00191978">
        <w:t>access arrangement</w:t>
      </w:r>
      <w:r w:rsidRPr="004F2761">
        <w:t xml:space="preserve"> period, including as to the timing of capital expenditure.</w:t>
      </w:r>
    </w:p>
    <w:p w:rsidR="004F2761" w:rsidRPr="004F2761" w:rsidRDefault="004F2761" w:rsidP="004F2761">
      <w:pPr>
        <w:pStyle w:val="AERbulletlistfirststyle"/>
      </w:pPr>
      <w:r>
        <w:t>a</w:t>
      </w:r>
      <w:r w:rsidRPr="004F2761">
        <w:t xml:space="preserve">ny impacts (including in relation to the costs of servicing debt across </w:t>
      </w:r>
      <w:r w:rsidR="00A56F1B">
        <w:t xml:space="preserve">access arrangement </w:t>
      </w:r>
      <w:r w:rsidRPr="004F2761">
        <w:t xml:space="preserve">periods) on a benchmark efficient entity referred to in the </w:t>
      </w:r>
      <w:r w:rsidR="00191978">
        <w:t>ARORO</w:t>
      </w:r>
      <w:r w:rsidRPr="004F2761">
        <w:t xml:space="preserve"> that could arise as a result of changing the methodology that is used to estimate the return on debt from one </w:t>
      </w:r>
      <w:r>
        <w:t>access arrangement</w:t>
      </w:r>
      <w:r w:rsidRPr="004F2761">
        <w:t xml:space="preserve"> period to the next.</w:t>
      </w:r>
      <w:r w:rsidRPr="004F2761">
        <w:rPr>
          <w:rStyle w:val="FootnoteReference"/>
        </w:rPr>
        <w:footnoteReference w:id="43"/>
      </w:r>
      <w:r w:rsidRPr="004F2761">
        <w:t xml:space="preserve"> </w:t>
      </w:r>
    </w:p>
    <w:p w:rsidR="004F2761" w:rsidRPr="003337B3" w:rsidRDefault="004F2761" w:rsidP="004F2761">
      <w:pPr>
        <w:pStyle w:val="Heading3"/>
      </w:pPr>
      <w:bookmarkStart w:id="29" w:name="_Toc450922663"/>
      <w:bookmarkStart w:id="30" w:name="_Ref451331909"/>
      <w:bookmarkStart w:id="31" w:name="_Ref451544101"/>
      <w:bookmarkStart w:id="32" w:name="_Ref451544121"/>
      <w:bookmarkStart w:id="33" w:name="_Ref451730124"/>
      <w:bookmarkStart w:id="34" w:name="_Toc451943774"/>
      <w:r w:rsidRPr="00BB2CB7">
        <w:t>Allowed rate of return objective</w:t>
      </w:r>
      <w:bookmarkEnd w:id="29"/>
      <w:bookmarkEnd w:id="30"/>
      <w:bookmarkEnd w:id="31"/>
      <w:bookmarkEnd w:id="32"/>
      <w:bookmarkEnd w:id="33"/>
      <w:bookmarkEnd w:id="34"/>
    </w:p>
    <w:p w:rsidR="004F2761" w:rsidRPr="005100A9" w:rsidRDefault="004F2761" w:rsidP="004F2761">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4"/>
      </w:r>
    </w:p>
    <w:p w:rsidR="004F2761" w:rsidRDefault="004F2761" w:rsidP="004F2761">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4F2761" w:rsidRDefault="004F2761" w:rsidP="004F2761">
      <w:r w:rsidRPr="00F21B32">
        <w:t>The regulat</w:t>
      </w:r>
      <w:r>
        <w:t>ory regime is an ex-ante (forward looking) regime.</w:t>
      </w:r>
      <w:r>
        <w:rPr>
          <w:rStyle w:val="FootnoteReference"/>
        </w:rPr>
        <w:footnoteReference w:id="45"/>
      </w:r>
      <w:r>
        <w:t xml:space="preserve"> As such, we consider a </w:t>
      </w:r>
      <w:r w:rsidRPr="00723710">
        <w:t>rate of return that meets the ARORO must provide ex-ante compensation for efficient financing costs.</w:t>
      </w:r>
      <w:r>
        <w:rPr>
          <w:rStyle w:val="FootnoteReference"/>
        </w:rPr>
        <w:footnoteReference w:id="46"/>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7"/>
      </w:r>
      <w:r>
        <w:t xml:space="preserve"> </w:t>
      </w:r>
    </w:p>
    <w:p w:rsidR="004F2761" w:rsidRDefault="004F2761" w:rsidP="004F2761">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4F2761" w:rsidRDefault="004F2761" w:rsidP="004F2761">
      <w:r>
        <w:t xml:space="preserve">Under our regulatory framework, a benchmark efficient entity's assets are captured in its </w:t>
      </w:r>
      <w:r w:rsidR="007F0400">
        <w:t>RAB</w:t>
      </w:r>
      <w:r>
        <w:t>. The return on capital building block allows a benchmark efficient entity to finance (through debt and equity) investment in its network.</w:t>
      </w:r>
      <w:r>
        <w:rPr>
          <w:rStyle w:val="FootnoteReference"/>
        </w:rPr>
        <w:footnoteReference w:id="48"/>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9"/>
      </w:r>
      <w:r>
        <w:t xml:space="preserve"> </w:t>
      </w:r>
    </w:p>
    <w:p w:rsidR="004F2761" w:rsidRDefault="004F2761" w:rsidP="004F2761">
      <w:pPr>
        <w:pStyle w:val="HeadingBoldBlue"/>
      </w:pPr>
      <w:bookmarkStart w:id="35" w:name="_Toc450922664"/>
      <w:r>
        <w:t>Elements of the ARORO—efficient financing costs</w:t>
      </w:r>
      <w:bookmarkEnd w:id="35"/>
    </w:p>
    <w:p w:rsidR="004F2761" w:rsidRDefault="004F2761" w:rsidP="004F2761">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0"/>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1"/>
      </w:r>
    </w:p>
    <w:p w:rsidR="004F2761" w:rsidRDefault="004F2761" w:rsidP="004F2761">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2"/>
      </w:r>
      <w:r>
        <w:t xml:space="preserve"> Similarly, Partington and Satchell interpret efficient financing costs as the opportunity cost of capital, which is a market rate of return for assets with a given level of risk.</w:t>
      </w:r>
      <w:r>
        <w:rPr>
          <w:rStyle w:val="FootnoteReference"/>
        </w:rPr>
        <w:footnoteReference w:id="53"/>
      </w:r>
      <w:r>
        <w:t xml:space="preserve"> </w:t>
      </w:r>
    </w:p>
    <w:p w:rsidR="004F2761" w:rsidRDefault="004F2761" w:rsidP="004F2761">
      <w:pPr>
        <w:pStyle w:val="HeadingBoldBlue"/>
      </w:pPr>
      <w:bookmarkStart w:id="36" w:name="_Toc450922665"/>
      <w:r>
        <w:t>Elements of the ARORO—benchmark efficient entity</w:t>
      </w:r>
      <w:bookmarkEnd w:id="36"/>
    </w:p>
    <w:p w:rsidR="004F2761" w:rsidRDefault="004F2761" w:rsidP="004F2761">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866141">
        <w:rPr>
          <w:rStyle w:val="AERtextitalic"/>
        </w:rPr>
        <w:t>reference services</w:t>
      </w:r>
      <w:r>
        <w:t>.  Given this, three important concepts to consider are: 'risk', 'similar' and '</w:t>
      </w:r>
      <w:r w:rsidR="00866141">
        <w:t xml:space="preserve">reference </w:t>
      </w:r>
      <w:r>
        <w:t>services'. Having understood these concepts, we can better understand a benchmark efficient entity to give effect to the ARORO.</w:t>
      </w:r>
    </w:p>
    <w:p w:rsidR="004F2761" w:rsidRPr="00E76063" w:rsidRDefault="004F2761" w:rsidP="00DB4FCE">
      <w:pPr>
        <w:pStyle w:val="HeadingBoldItalic"/>
        <w:keepNext/>
      </w:pPr>
      <w:r>
        <w:t>'</w:t>
      </w:r>
      <w:r w:rsidRPr="00E76063">
        <w:t>Risk</w:t>
      </w:r>
      <w:r>
        <w:t>'</w:t>
      </w:r>
    </w:p>
    <w:p w:rsidR="004F2761" w:rsidRDefault="004F2761" w:rsidP="00DB4FCE">
      <w:pPr>
        <w:keepNext/>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4"/>
      </w:r>
      <w:r>
        <w:t xml:space="preserve"> It is strictly a </w:t>
      </w:r>
      <w:r w:rsidRPr="00855447">
        <w:t>forward looking concept</w:t>
      </w:r>
      <w:r>
        <w:t xml:space="preserve"> as no event is uncertain after it has occurred. </w:t>
      </w:r>
    </w:p>
    <w:p w:rsidR="004F2761" w:rsidRDefault="004F2761" w:rsidP="004F2761">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5"/>
      </w:r>
    </w:p>
    <w:p w:rsidR="004F2761" w:rsidRDefault="004F2761" w:rsidP="004F2761">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4F2761" w:rsidRDefault="004F2761" w:rsidP="004F2761">
      <w:r>
        <w:t>Similarly, McKenzie and Partington advise:</w:t>
      </w:r>
      <w:r>
        <w:rPr>
          <w:rStyle w:val="FootnoteReference"/>
        </w:rPr>
        <w:footnoteReference w:id="56"/>
      </w:r>
    </w:p>
    <w:p w:rsidR="004F2761" w:rsidRPr="0039604A" w:rsidRDefault="004F2761" w:rsidP="004F2761">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4F2761" w:rsidRDefault="004F2761" w:rsidP="004F2761">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In setting the allowed return on equity, we provide compensation for the systematic risk that a benchmark efficient entity would face through the equity beta (see section</w:t>
      </w:r>
      <w:r w:rsidR="00866141">
        <w:t xml:space="preserve"> </w:t>
      </w:r>
      <w:r w:rsidR="00866141">
        <w:fldChar w:fldCharType="begin"/>
      </w:r>
      <w:r w:rsidR="00866141">
        <w:instrText xml:space="preserve"> REF _Ref451329918 \r \h </w:instrText>
      </w:r>
      <w:r w:rsidR="00866141">
        <w:fldChar w:fldCharType="separate"/>
      </w:r>
      <w:r w:rsidR="000230CB">
        <w:t>3.4.1</w:t>
      </w:r>
      <w:r w:rsidR="00866141">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7"/>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8"/>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9"/>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0"/>
      </w:r>
    </w:p>
    <w:p w:rsidR="004F2761" w:rsidRDefault="004F2761" w:rsidP="004F2761">
      <w:r>
        <w:t xml:space="preserve">As such, </w:t>
      </w:r>
      <w:r w:rsidRPr="00CF5809">
        <w:t xml:space="preserve">when looking at the risks of supplying </w:t>
      </w:r>
      <w:r w:rsidR="003C00F6">
        <w:t>reference</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1"/>
      </w:r>
      <w:r>
        <w:t xml:space="preserve">    </w:t>
      </w:r>
    </w:p>
    <w:p w:rsidR="004F2761" w:rsidRPr="00CF5809" w:rsidRDefault="004F2761" w:rsidP="004F2761">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4F2761" w:rsidRPr="004F02FD" w:rsidRDefault="004F2761" w:rsidP="004F2761">
      <w:pPr>
        <w:pStyle w:val="HeadingBoldItalic"/>
      </w:pPr>
      <w:r w:rsidRPr="00E76063">
        <w:t>'</w:t>
      </w:r>
      <w:r w:rsidRPr="004F02FD">
        <w:t>Similar'</w:t>
      </w:r>
    </w:p>
    <w:p w:rsidR="004F2761" w:rsidRDefault="004F2761" w:rsidP="004F2761">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2"/>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3"/>
      </w:r>
      <w:r>
        <w:t xml:space="preserve"> We concluded the compensable risks facing the different service providers</w:t>
      </w:r>
      <w:r>
        <w:rPr>
          <w:rStyle w:val="FootnoteReference"/>
        </w:rPr>
        <w:footnoteReference w:id="64"/>
      </w:r>
      <w:r>
        <w:t xml:space="preserve"> were 'similar' for the purposes of characterising a benchmark efficient entity.</w:t>
      </w:r>
      <w:r>
        <w:rPr>
          <w:rStyle w:val="FootnoteReference"/>
        </w:rPr>
        <w:footnoteReference w:id="65"/>
      </w:r>
      <w:r>
        <w:t xml:space="preserve"> For this analysis, see chapter three of the Guideline's explanatory statement.</w:t>
      </w:r>
      <w:r>
        <w:rPr>
          <w:rStyle w:val="FootnoteReference"/>
        </w:rPr>
        <w:footnoteReference w:id="66"/>
      </w:r>
    </w:p>
    <w:p w:rsidR="004F2761" w:rsidRPr="00087C25" w:rsidRDefault="004F2761" w:rsidP="00020C31">
      <w:pPr>
        <w:pStyle w:val="HeadingBoldItalic"/>
        <w:rPr>
          <w:rStyle w:val="AERbody"/>
          <w:color w:val="51626F"/>
          <w:sz w:val="24"/>
        </w:rPr>
      </w:pPr>
      <w:r w:rsidRPr="0059650E">
        <w:rPr>
          <w:rStyle w:val="AERbody"/>
          <w:color w:val="51626F"/>
          <w:sz w:val="24"/>
        </w:rPr>
        <w:t>'</w:t>
      </w:r>
      <w:r w:rsidR="00866141" w:rsidRPr="0059650E">
        <w:rPr>
          <w:rStyle w:val="AERbody"/>
          <w:color w:val="51626F"/>
          <w:sz w:val="24"/>
        </w:rPr>
        <w:t xml:space="preserve">Reference </w:t>
      </w:r>
      <w:r w:rsidRPr="0059650E">
        <w:rPr>
          <w:rStyle w:val="AERbody"/>
          <w:color w:val="51626F"/>
          <w:sz w:val="24"/>
        </w:rPr>
        <w:t>services'</w:t>
      </w:r>
    </w:p>
    <w:p w:rsidR="004F2761" w:rsidRDefault="004F2761" w:rsidP="007E5A4F">
      <w:r>
        <w:t>T</w:t>
      </w:r>
      <w:r w:rsidRPr="004F2761">
        <w:t xml:space="preserve">he allowed rate of return is to be commensurate with the efficient financing costs of a benchmark efficient entity with a similar degree of risk as that which applies to the service provider in respect to the provision of </w:t>
      </w:r>
      <w:r w:rsidR="00866141">
        <w:t>reference</w:t>
      </w:r>
      <w:r w:rsidRPr="004F2761">
        <w:t xml:space="preserve"> services.</w:t>
      </w:r>
      <w:r w:rsidRPr="004F2761">
        <w:rPr>
          <w:rStyle w:val="FootnoteReference"/>
        </w:rPr>
        <w:footnoteReference w:id="67"/>
      </w:r>
      <w:r w:rsidRPr="004F2761">
        <w:t xml:space="preserve"> </w:t>
      </w:r>
      <w:r>
        <w:t>The N</w:t>
      </w:r>
      <w:r w:rsidR="006B7371">
        <w:t>G</w:t>
      </w:r>
      <w:r>
        <w:t xml:space="preserve">L </w:t>
      </w:r>
      <w:r w:rsidR="006B7371">
        <w:t>defines a reference service as, '</w:t>
      </w:r>
      <w:r w:rsidR="006B7371" w:rsidRPr="006B7371">
        <w:t>a pipeline service specified by, or determined or approved by the AER under, t</w:t>
      </w:r>
      <w:r w:rsidR="006B7371">
        <w:t>he Rules'.</w:t>
      </w:r>
      <w:r>
        <w:rPr>
          <w:rStyle w:val="FootnoteReference"/>
        </w:rPr>
        <w:footnoteReference w:id="68"/>
      </w:r>
    </w:p>
    <w:p w:rsidR="004F2761" w:rsidRPr="00785554" w:rsidRDefault="004F2761" w:rsidP="004F2761">
      <w:pPr>
        <w:pStyle w:val="HeadingBoldItalic"/>
        <w:rPr>
          <w:rStyle w:val="AERbody"/>
        </w:rPr>
      </w:pPr>
      <w:r w:rsidRPr="00785554">
        <w:rPr>
          <w:rStyle w:val="AERbody"/>
        </w:rPr>
        <w:t>Risk, regulation and a benchmark efficient entity</w:t>
      </w:r>
    </w:p>
    <w:p w:rsidR="004F2761" w:rsidRDefault="004F2761" w:rsidP="004F2761">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9"/>
      </w:r>
    </w:p>
    <w:p w:rsidR="004F2761" w:rsidRPr="004F2761" w:rsidRDefault="004F2761" w:rsidP="004F2761">
      <w:pPr>
        <w:pStyle w:val="AERbulletlistfirststyle"/>
      </w:pPr>
      <w:r w:rsidRPr="005F4630">
        <w:t xml:space="preserve"> to the </w:t>
      </w:r>
      <w:r w:rsidRPr="004F2761">
        <w:t xml:space="preserve">service provider in which the decision relates (which will always be a business that is regulated under the rules and NEL/NGL) </w:t>
      </w:r>
    </w:p>
    <w:p w:rsidR="004F2761" w:rsidRPr="004F2761" w:rsidRDefault="004F2761" w:rsidP="004F2761">
      <w:pPr>
        <w:pStyle w:val="AERbulletlistfirststyle"/>
      </w:pPr>
      <w:r w:rsidRPr="005F4630">
        <w:t xml:space="preserve">in respect to the provision of </w:t>
      </w:r>
      <w:r w:rsidR="00020C31">
        <w:t>reference</w:t>
      </w:r>
      <w:r w:rsidRPr="005F4630">
        <w:t xml:space="preserve"> services</w:t>
      </w:r>
      <w:r w:rsidRPr="004F2761">
        <w:t xml:space="preserve"> (which are regulated services by definition),</w:t>
      </w:r>
      <w:r w:rsidRPr="004F2761">
        <w:rPr>
          <w:rStyle w:val="FootnoteReference"/>
        </w:rPr>
        <w:footnoteReference w:id="70"/>
      </w:r>
      <w:r w:rsidRPr="004F2761">
        <w:t xml:space="preserve"> which can only be provided by businesses regulated under the rules.</w:t>
      </w:r>
    </w:p>
    <w:p w:rsidR="004F2761" w:rsidRPr="004F2761" w:rsidRDefault="004F2761" w:rsidP="00191978">
      <w:r>
        <w:t>As discussed under 'Risk' above, risk is the degree of uncertainty about an event</w:t>
      </w:r>
      <w:r w:rsidRPr="004F2761">
        <w:t>.</w:t>
      </w:r>
      <w:r w:rsidRPr="004F2761">
        <w:rPr>
          <w:rStyle w:val="FootnoteReference"/>
        </w:rPr>
        <w:t xml:space="preserve"> </w:t>
      </w:r>
      <w:r w:rsidRPr="004F2761">
        <w:rPr>
          <w:rStyle w:val="FootnoteReference"/>
        </w:rPr>
        <w:footnoteReference w:id="71"/>
      </w:r>
      <w:r w:rsidRPr="004F2761">
        <w:t xml:space="preserve"> For instance, investing in the share market is risky because there is a spread of possible outcomes. The usual measure of this spread is the standard deviation or variance.</w:t>
      </w:r>
      <w:r w:rsidRPr="004F2761">
        <w:rPr>
          <w:rStyle w:val="FootnoteReference"/>
        </w:rPr>
        <w:footnoteReference w:id="72"/>
      </w:r>
      <w:r w:rsidRPr="004F2761">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4F2761">
        <w:rPr>
          <w:rStyle w:val="FootnoteReference"/>
        </w:rPr>
        <w:footnoteReference w:id="73"/>
      </w:r>
      <w:r w:rsidRPr="004F2761">
        <w:t xml:space="preserve"> </w:t>
      </w:r>
    </w:p>
    <w:p w:rsidR="004F2761" w:rsidRPr="004F2761" w:rsidRDefault="004F2761" w:rsidP="00191978">
      <w:r>
        <w:t xml:space="preserve">Brealey et.al. use the figure </w:t>
      </w:r>
      <w:r w:rsidRPr="004F2761">
        <w:t xml:space="preserve">we have presented as </w:t>
      </w:r>
      <w:r w:rsidR="00020C31">
        <w:fldChar w:fldCharType="begin"/>
      </w:r>
      <w:r w:rsidR="00020C31">
        <w:instrText xml:space="preserve"> REF  _Ref451330925 \* Lower \h </w:instrText>
      </w:r>
      <w:r w:rsidR="00020C31">
        <w:fldChar w:fldCharType="separate"/>
      </w:r>
      <w:r w:rsidR="000230CB">
        <w:t xml:space="preserve">figure </w:t>
      </w:r>
      <w:r w:rsidR="000230CB">
        <w:rPr>
          <w:noProof/>
        </w:rPr>
        <w:t>3</w:t>
      </w:r>
      <w:r w:rsidR="000230CB">
        <w:noBreakHyphen/>
      </w:r>
      <w:r w:rsidR="000230CB">
        <w:rPr>
          <w:noProof/>
        </w:rPr>
        <w:t>1</w:t>
      </w:r>
      <w:r w:rsidR="00020C31">
        <w:fldChar w:fldCharType="end"/>
      </w:r>
      <w:r w:rsidR="00020C31">
        <w:t xml:space="preserve"> </w:t>
      </w:r>
      <w:r w:rsidRPr="004F2761">
        <w:t>to illustrate the following.</w:t>
      </w:r>
      <w:r w:rsidRPr="004F2761">
        <w:rPr>
          <w:rStyle w:val="FootnoteReference"/>
        </w:rPr>
        <w:footnoteReference w:id="74"/>
      </w:r>
    </w:p>
    <w:p w:rsidR="004F2761" w:rsidRDefault="004F2761" w:rsidP="004F2761">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4F2761" w:rsidRPr="00C75038" w:rsidRDefault="004F2761" w:rsidP="004F2761">
      <w:pPr>
        <w:pStyle w:val="Caption"/>
      </w:pPr>
      <w:bookmarkStart w:id="37" w:name="_Ref451330925"/>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w:t>
      </w:r>
      <w:r w:rsidR="00527450">
        <w:rPr>
          <w:noProof/>
        </w:rPr>
        <w:fldChar w:fldCharType="end"/>
      </w:r>
      <w:bookmarkEnd w:id="37"/>
      <w:r>
        <w:tab/>
        <w:t>Risk versus expected return</w:t>
      </w:r>
    </w:p>
    <w:p w:rsidR="004F2761" w:rsidRPr="004F2761" w:rsidRDefault="004F2761" w:rsidP="00191978">
      <w:r w:rsidRPr="00785554">
        <w:rPr>
          <w:noProof/>
          <w:lang w:eastAsia="en-AU"/>
        </w:rPr>
        <w:drawing>
          <wp:inline distT="0" distB="0" distL="0" distR="0" wp14:anchorId="18787FA8" wp14:editId="61C60694">
            <wp:extent cx="5382895" cy="7706511"/>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706511"/>
                    </a:xfrm>
                    <a:prstGeom prst="rect">
                      <a:avLst/>
                    </a:prstGeom>
                  </pic:spPr>
                </pic:pic>
              </a:graphicData>
            </a:graphic>
          </wp:inline>
        </w:drawing>
      </w:r>
    </w:p>
    <w:p w:rsidR="004F2761" w:rsidRDefault="004F2761" w:rsidP="004F2761">
      <w:pPr>
        <w:pStyle w:val="AERtablesource"/>
      </w:pPr>
      <w:r>
        <w:t>Source: Brealey</w:t>
      </w:r>
      <w:r w:rsidRPr="001326E8">
        <w:t>, Myers, Allen</w:t>
      </w:r>
      <w:r>
        <w:t xml:space="preserve"> (2011), </w:t>
      </w:r>
      <w:r w:rsidRPr="001326E8">
        <w:t>Figure 8.2</w:t>
      </w:r>
      <w:r>
        <w:t>.</w:t>
      </w:r>
    </w:p>
    <w:p w:rsidR="004F2761" w:rsidRDefault="004F2761" w:rsidP="004F2761">
      <w:r>
        <w:t>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w:t>
      </w:r>
      <w:r w:rsidR="00D55F59">
        <w:t>versified 'efficient'</w:t>
      </w:r>
      <w:r>
        <w:t xml:space="preserve"> market portfolios, it is an investment's non-diversifiable (or systematic) risk that is relevant. In the case of equity investments, as discussed above, this is measured by the equity beta of the investment. </w:t>
      </w:r>
    </w:p>
    <w:p w:rsidR="004F2761" w:rsidRPr="004F2761" w:rsidRDefault="004F2761" w:rsidP="00191978">
      <w:r>
        <w:t xml:space="preserve">We consider </w:t>
      </w:r>
      <w:r w:rsidRPr="004F2761">
        <w:t xml:space="preserve">a benchmark efficient entity </w:t>
      </w:r>
      <w:r w:rsidRPr="004F2761">
        <w:rPr>
          <w:rStyle w:val="AERtextitalic"/>
        </w:rPr>
        <w:t>with a similar degree of risk as that which applies to the service provider in the provision of its regulated services</w:t>
      </w:r>
      <w:r w:rsidRPr="004F2761">
        <w:t xml:space="preserve"> would be 'a pure play, regulated energy network business operating within Australia' acting efficiently.</w:t>
      </w:r>
      <w:r w:rsidRPr="004F2761">
        <w:rPr>
          <w:rStyle w:val="FootnoteReference"/>
        </w:rPr>
        <w:footnoteReference w:id="75"/>
      </w:r>
      <w:r w:rsidRPr="004F2761">
        <w:t xml:space="preserve"> </w:t>
      </w:r>
      <w:r w:rsidRPr="004F2761">
        <w:rPr>
          <w:rStyle w:val="AERbody"/>
        </w:rPr>
        <w:t xml:space="preserve"> To understand this position, </w:t>
      </w:r>
      <w:r w:rsidRPr="004F2761">
        <w:t>it is essential to understand the relationship and distinction between risk and expected returns. All else being equal, we consider an unregulated monopoly will have higher risk and higher expected returns than a regulated monopoly. This is because regulation:</w:t>
      </w:r>
    </w:p>
    <w:p w:rsidR="004F2761" w:rsidRDefault="004F2761" w:rsidP="004F2761">
      <w:pPr>
        <w:pStyle w:val="AERbulletlistfirststyle"/>
      </w:pPr>
      <w:r>
        <w:t xml:space="preserve"> mitigates monopolies from being able to extract monopoly rents, thereby constraining potential profits</w:t>
      </w:r>
    </w:p>
    <w:p w:rsidR="004F2761" w:rsidRDefault="004F2761" w:rsidP="004F2761">
      <w:pPr>
        <w:pStyle w:val="AERbulletlistfirststyle"/>
      </w:pPr>
      <w:r>
        <w:t>increases the certainty of the revenue stream, thereby reducing risk.</w:t>
      </w:r>
    </w:p>
    <w:p w:rsidR="004F2761" w:rsidRPr="004F2761" w:rsidRDefault="004F2761" w:rsidP="00191978">
      <w:r>
        <w:t xml:space="preserve">For clarity, </w:t>
      </w:r>
      <w:r w:rsidRPr="004F2761">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4F2761" w:rsidRPr="004F2761" w:rsidRDefault="004F2761" w:rsidP="00191978">
      <w:r>
        <w:t xml:space="preserve">Incentive regulation affects </w:t>
      </w:r>
      <w:r w:rsidRPr="004F2761">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4F2761">
        <w:rPr>
          <w:rStyle w:val="FootnoteReference"/>
        </w:rPr>
        <w:footnoteReference w:id="76"/>
      </w:r>
      <w:r w:rsidRPr="004F2761">
        <w:t xml:space="preserve"> Frontier has also recognised the role of regulation in affecting risk in advising:</w:t>
      </w:r>
      <w:r w:rsidRPr="004F2761">
        <w:rPr>
          <w:rStyle w:val="FootnoteReference"/>
        </w:rPr>
        <w:footnoteReference w:id="77"/>
      </w:r>
    </w:p>
    <w:p w:rsidR="004F2761" w:rsidRPr="00F23C1C" w:rsidRDefault="004F2761" w:rsidP="004F2761">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4F2761" w:rsidRDefault="004F2761" w:rsidP="004F2761">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78"/>
      </w:r>
    </w:p>
    <w:p w:rsidR="004F2761" w:rsidRPr="004F2761" w:rsidRDefault="004F2761" w:rsidP="004F2761">
      <w:pPr>
        <w:pStyle w:val="AERbulletlistfirststyle"/>
      </w:pPr>
      <w:r w:rsidRPr="003E0036">
        <w:t>a revenue cap</w:t>
      </w:r>
      <w:r w:rsidRPr="004F2761">
        <w:t>, which removes volume risk</w:t>
      </w:r>
    </w:p>
    <w:p w:rsidR="004F2761" w:rsidRPr="004F2761" w:rsidRDefault="004F2761" w:rsidP="004F2761">
      <w:pPr>
        <w:pStyle w:val="AERbulletlistfirststyle"/>
      </w:pPr>
      <w:r w:rsidRPr="003E0036">
        <w:t>the indexation of the RAB</w:t>
      </w:r>
      <w:r w:rsidRPr="004F2761">
        <w:t>, which protects the value of the underlying assets even when they might otherwise be written down in a commercial environment</w:t>
      </w:r>
    </w:p>
    <w:p w:rsidR="004F2761" w:rsidRPr="004F2761" w:rsidRDefault="004F2761" w:rsidP="004F2761">
      <w:pPr>
        <w:pStyle w:val="AERbulletlistfirststyle"/>
      </w:pPr>
      <w:r w:rsidRPr="003E0036">
        <w:t>the progressive transition to a 10</w:t>
      </w:r>
      <w:r w:rsidRPr="004F2761">
        <w:rPr>
          <w:rFonts w:ascii="Cambria Math" w:hAnsi="Cambria Math" w:cs="Cambria Math"/>
        </w:rPr>
        <w:t>‐</w:t>
      </w:r>
      <w:r w:rsidRPr="004F2761">
        <w:t>year trailing average, including annual updating of the return on debt.</w:t>
      </w:r>
    </w:p>
    <w:p w:rsidR="004F2761" w:rsidRPr="004F2761" w:rsidRDefault="004F2761" w:rsidP="00191978">
      <w:pPr>
        <w:rPr>
          <w:rStyle w:val="AERbody"/>
        </w:rPr>
      </w:pPr>
      <w:r>
        <w:t>M</w:t>
      </w:r>
      <w:r w:rsidRPr="004F2761">
        <w:t xml:space="preserve">any of the risks that the regulatory regime affects are systematic and therefore affect the cost of capital (or rate of return). From being inherently less exposed to systematic risk, regulated service providers have lower </w:t>
      </w:r>
      <w:r w:rsidRPr="004F2761">
        <w:rPr>
          <w:rStyle w:val="AERbody"/>
        </w:rPr>
        <w:t>equity betas than if they were unregulated and therefore lower costs of equity. Also</w:t>
      </w:r>
      <w:r w:rsidRPr="004F2761">
        <w:t>, given their lower risk cash flows</w:t>
      </w:r>
      <w:r w:rsidRPr="004F2761">
        <w:rPr>
          <w:rStyle w:val="AERbody"/>
        </w:rPr>
        <w:t xml:space="preserve">, regulated service providers might issue a </w:t>
      </w:r>
      <w:r w:rsidRPr="004F2761">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4F2761" w:rsidRPr="004F2761" w:rsidRDefault="004F2761" w:rsidP="00191978">
      <w:r>
        <w:rPr>
          <w:rStyle w:val="AERbody"/>
        </w:rPr>
        <w:t xml:space="preserve">Some systematic risks that regulation </w:t>
      </w:r>
      <w:r w:rsidRPr="004F2761">
        <w:rPr>
          <w:rStyle w:val="AERbody"/>
        </w:rPr>
        <w:t>reduces include:</w:t>
      </w:r>
    </w:p>
    <w:p w:rsidR="004F2761" w:rsidRPr="004F2761" w:rsidRDefault="004F2761" w:rsidP="004F2761">
      <w:pPr>
        <w:pStyle w:val="AERbulletlistfirststyle"/>
      </w:pPr>
      <w:r>
        <w:t xml:space="preserve">Demand risk: the </w:t>
      </w:r>
      <w:r w:rsidRPr="004F2761">
        <w:t>revenue or price setting mechanism mitigates demand risk. Under a price cap, service providers may mitigate the risk of forecast error by restructuring tariffs, such that higher fixed charges are set to offset falls in demand. Under a revenue cap, where forecast quantity demanded differs from actual quantity demanded, service providers are made whole for any variation through price adjustments in subsequent years. Further, in most cases, a transmission service provider will determine prices based on historical demand which reduces intra year revenue variations. This effectively mitigates the risk associated with demand volatility.</w:t>
      </w:r>
    </w:p>
    <w:p w:rsidR="004F2761" w:rsidRDefault="004F2761" w:rsidP="004F2761">
      <w:pPr>
        <w:pStyle w:val="AERbulletlistfirststyle"/>
      </w:pPr>
      <w:r>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4F2761" w:rsidRDefault="004F2761" w:rsidP="004F2761">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4F2761" w:rsidRDefault="00191978" w:rsidP="004F2761">
      <w:r>
        <w:fldChar w:fldCharType="begin"/>
      </w:r>
      <w:r>
        <w:instrText xml:space="preserve"> REF _Ref450924050 \h </w:instrText>
      </w:r>
      <w:r>
        <w:fldChar w:fldCharType="separate"/>
      </w:r>
      <w:r w:rsidR="000230CB">
        <w:t xml:space="preserve">Table </w:t>
      </w:r>
      <w:r w:rsidR="000230CB">
        <w:rPr>
          <w:noProof/>
        </w:rPr>
        <w:t>3</w:t>
      </w:r>
      <w:r w:rsidR="000230CB">
        <w:noBreakHyphen/>
      </w:r>
      <w:r w:rsidR="000230CB">
        <w:rPr>
          <w:noProof/>
        </w:rPr>
        <w:t>3</w:t>
      </w:r>
      <w:r>
        <w:fldChar w:fldCharType="end"/>
      </w:r>
      <w:r>
        <w:t xml:space="preserve"> </w:t>
      </w:r>
      <w:r w:rsidR="004F2761">
        <w:t xml:space="preserve">summarises a selection of provisions in the </w:t>
      </w:r>
      <w:r w:rsidR="00B259BE">
        <w:t>NGR</w:t>
      </w:r>
      <w:r w:rsidR="004F2761">
        <w:t xml:space="preserve"> that have the effect of mitigating various systematic and non-systematic risks.</w:t>
      </w:r>
    </w:p>
    <w:p w:rsidR="004F2761" w:rsidRDefault="004F2761" w:rsidP="004F2761">
      <w:pPr>
        <w:pStyle w:val="Caption"/>
      </w:pPr>
      <w:bookmarkStart w:id="38" w:name="_Ref450924050"/>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3</w:t>
      </w:r>
      <w:r w:rsidR="00527450">
        <w:rPr>
          <w:noProof/>
        </w:rPr>
        <w:fldChar w:fldCharType="end"/>
      </w:r>
      <w:bookmarkEnd w:id="38"/>
      <w:r>
        <w:t xml:space="preserve">: Key clauses in the </w:t>
      </w:r>
      <w:r w:rsidR="00B259BE">
        <w:t>NGR</w:t>
      </w:r>
      <w:r>
        <w:t xml:space="preserve"> that mitigate systematic risk</w:t>
      </w:r>
    </w:p>
    <w:tbl>
      <w:tblPr>
        <w:tblStyle w:val="AERtable-text0"/>
        <w:tblW w:w="0" w:type="auto"/>
        <w:tblLook w:val="04A0" w:firstRow="1" w:lastRow="0" w:firstColumn="1" w:lastColumn="0" w:noHBand="0" w:noVBand="1"/>
      </w:tblPr>
      <w:tblGrid>
        <w:gridCol w:w="1242"/>
        <w:gridCol w:w="7451"/>
      </w:tblGrid>
      <w:tr w:rsidR="00B259BE" w:rsidTr="00DB4FCE">
        <w:trPr>
          <w:cnfStyle w:val="100000000000" w:firstRow="1" w:lastRow="0" w:firstColumn="0" w:lastColumn="0" w:oddVBand="0" w:evenVBand="0" w:oddHBand="0" w:evenHBand="0" w:firstRowFirstColumn="0" w:firstRowLastColumn="0" w:lastRowFirstColumn="0" w:lastRowLastColumn="0"/>
          <w:tblHeader/>
        </w:trPr>
        <w:tc>
          <w:tcPr>
            <w:tcW w:w="1242" w:type="dxa"/>
          </w:tcPr>
          <w:p w:rsidR="00B259BE" w:rsidRPr="00B259BE" w:rsidRDefault="00B259BE" w:rsidP="00B259BE">
            <w:r w:rsidRPr="00B259BE">
              <w:t>Rule</w:t>
            </w:r>
          </w:p>
        </w:tc>
        <w:tc>
          <w:tcPr>
            <w:tcW w:w="7451" w:type="dxa"/>
          </w:tcPr>
          <w:p w:rsidR="00B259BE" w:rsidRPr="00B259BE" w:rsidRDefault="00B259BE" w:rsidP="00B259BE">
            <w:r w:rsidRPr="00B259BE">
              <w:t>Effect on risk</w:t>
            </w:r>
          </w:p>
        </w:tc>
      </w:tr>
      <w:tr w:rsidR="00B259BE" w:rsidTr="00987A05">
        <w:tc>
          <w:tcPr>
            <w:tcW w:w="1242" w:type="dxa"/>
            <w:hideMark/>
          </w:tcPr>
          <w:p w:rsidR="00B259BE" w:rsidRPr="00B259BE" w:rsidRDefault="00B259BE" w:rsidP="00B259BE">
            <w:r w:rsidRPr="00B259BE">
              <w:t>50</w:t>
            </w:r>
          </w:p>
        </w:tc>
        <w:tc>
          <w:tcPr>
            <w:tcW w:w="7451" w:type="dxa"/>
            <w:hideMark/>
          </w:tcPr>
          <w:p w:rsidR="00B259BE" w:rsidRPr="00B259BE" w:rsidRDefault="00B259BE" w:rsidP="00B259BE">
            <w:r w:rsidRPr="00B259BE">
              <w:t>The term of each access arrangement period is a fixed duration, and generally five years, in which a service provider is provided with a regulated return on its assets, certainty about reference tariffs and fixed terms of access for its services, supported by arbitration.</w:t>
            </w:r>
          </w:p>
        </w:tc>
      </w:tr>
      <w:tr w:rsidR="00B259BE" w:rsidTr="00987A05">
        <w:trPr>
          <w:cnfStyle w:val="000000010000" w:firstRow="0" w:lastRow="0" w:firstColumn="0" w:lastColumn="0" w:oddVBand="0" w:evenVBand="0" w:oddHBand="0" w:evenHBand="1" w:firstRowFirstColumn="0" w:firstRowLastColumn="0" w:lastRowFirstColumn="0" w:lastRowLastColumn="0"/>
        </w:trPr>
        <w:tc>
          <w:tcPr>
            <w:tcW w:w="1242" w:type="dxa"/>
            <w:hideMark/>
          </w:tcPr>
          <w:p w:rsidR="00B259BE" w:rsidRPr="00B259BE" w:rsidRDefault="00B259BE" w:rsidP="00B259BE">
            <w:r w:rsidRPr="00B259BE">
              <w:t>92</w:t>
            </w:r>
          </w:p>
        </w:tc>
        <w:tc>
          <w:tcPr>
            <w:tcW w:w="7451" w:type="dxa"/>
            <w:hideMark/>
          </w:tcPr>
          <w:p w:rsidR="00B259BE" w:rsidRPr="00B259BE" w:rsidRDefault="00B259BE" w:rsidP="00B259BE">
            <w:r w:rsidRPr="00B259BE">
              <w:t>A reference tariff variation mechanism accounts for indexation and annual increases in efficient input costs.  The reference tariff variation can be used to smooth the reference tariff from year to year to provide service providers with a stable level of revenue over each access arrangement period, reducing risks of short term revenue and pricing volatility.</w:t>
            </w:r>
          </w:p>
        </w:tc>
      </w:tr>
      <w:tr w:rsidR="00B259BE" w:rsidTr="00987A05">
        <w:tc>
          <w:tcPr>
            <w:tcW w:w="1242" w:type="dxa"/>
            <w:hideMark/>
          </w:tcPr>
          <w:p w:rsidR="00B259BE" w:rsidRPr="00B259BE" w:rsidRDefault="00B259BE" w:rsidP="00B259BE">
            <w:r w:rsidRPr="00B259BE">
              <w:t>97(5)</w:t>
            </w:r>
          </w:p>
        </w:tc>
        <w:tc>
          <w:tcPr>
            <w:tcW w:w="7451" w:type="dxa"/>
            <w:hideMark/>
          </w:tcPr>
          <w:p w:rsidR="00B259BE" w:rsidRPr="00B259BE" w:rsidRDefault="00B259BE" w:rsidP="00B259BE">
            <w:r w:rsidRPr="00B259BE">
              <w:t xml:space="preserve">The prices service providers may charge for reference services are certain.  Reference tariffs are not to vary during the course of an access arrangement period except as provided by a reference tariff variation mechanism. </w:t>
            </w:r>
          </w:p>
        </w:tc>
      </w:tr>
      <w:tr w:rsidR="00B259BE" w:rsidTr="00987A05">
        <w:trPr>
          <w:cnfStyle w:val="000000010000" w:firstRow="0" w:lastRow="0" w:firstColumn="0" w:lastColumn="0" w:oddVBand="0" w:evenVBand="0" w:oddHBand="0" w:evenHBand="1" w:firstRowFirstColumn="0" w:firstRowLastColumn="0" w:lastRowFirstColumn="0" w:lastRowLastColumn="0"/>
        </w:trPr>
        <w:tc>
          <w:tcPr>
            <w:tcW w:w="1242" w:type="dxa"/>
          </w:tcPr>
          <w:p w:rsidR="00B259BE" w:rsidRPr="00B259BE" w:rsidRDefault="00B259BE" w:rsidP="00B259BE"/>
          <w:p w:rsidR="00B259BE" w:rsidRPr="00B259BE" w:rsidRDefault="00B259BE" w:rsidP="00B259BE">
            <w:r w:rsidRPr="00B259BE">
              <w:t>76, 77, 78,87(1), 90</w:t>
            </w:r>
          </w:p>
        </w:tc>
        <w:tc>
          <w:tcPr>
            <w:tcW w:w="7451" w:type="dxa"/>
            <w:hideMark/>
          </w:tcPr>
          <w:p w:rsidR="00B259BE" w:rsidRPr="00B259BE" w:rsidRDefault="00B259BE" w:rsidP="0068661A">
            <w:r w:rsidRPr="00B259BE">
              <w:t xml:space="preserve">The AER’s determination of reference tariffs incorporates a return on and of the service provider's asset base. The historical asset base rolls forward from one </w:t>
            </w:r>
            <w:r w:rsidR="0068661A">
              <w:t xml:space="preserve">access arrangement </w:t>
            </w:r>
            <w:r w:rsidRPr="00B259BE">
              <w:t xml:space="preserve">period to the next and from year to year within each </w:t>
            </w:r>
            <w:r w:rsidR="0068661A">
              <w:t>a</w:t>
            </w:r>
            <w:r w:rsidR="0068661A" w:rsidRPr="0068661A">
              <w:t>ccess arrangement</w:t>
            </w:r>
            <w:r w:rsidRPr="00B259BE">
              <w:t xml:space="preserve"> period.  The NGR provides for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w:t>
            </w:r>
          </w:p>
        </w:tc>
      </w:tr>
      <w:tr w:rsidR="00B259BE" w:rsidTr="00987A05">
        <w:tc>
          <w:tcPr>
            <w:tcW w:w="1242" w:type="dxa"/>
            <w:hideMark/>
          </w:tcPr>
          <w:p w:rsidR="00B259BE" w:rsidRPr="00B259BE" w:rsidRDefault="00B259BE" w:rsidP="00B259BE">
            <w:r w:rsidRPr="00B259BE">
              <w:t>87</w:t>
            </w:r>
          </w:p>
        </w:tc>
        <w:tc>
          <w:tcPr>
            <w:tcW w:w="7451" w:type="dxa"/>
            <w:hideMark/>
          </w:tcPr>
          <w:p w:rsidR="00B259BE" w:rsidRPr="00B259BE" w:rsidRDefault="00B259BE" w:rsidP="00B259BE">
            <w:r w:rsidRPr="00B259BE">
              <w:t xml:space="preserve">The AER sets the rate of return on the asset base by reference to the risks faced by the service provider.  The AER updates this each </w:t>
            </w:r>
            <w:r w:rsidR="0068661A">
              <w:t>a</w:t>
            </w:r>
            <w:r w:rsidR="0068661A" w:rsidRPr="0068661A">
              <w:t>ccess arrangement</w:t>
            </w:r>
            <w:r w:rsidRPr="00B259BE">
              <w:t xml:space="preserve"> period to account for changed market conditions.</w:t>
            </w:r>
          </w:p>
        </w:tc>
      </w:tr>
      <w:tr w:rsidR="00B259BE" w:rsidTr="00987A05">
        <w:trPr>
          <w:cnfStyle w:val="000000010000" w:firstRow="0" w:lastRow="0" w:firstColumn="0" w:lastColumn="0" w:oddVBand="0" w:evenVBand="0" w:oddHBand="0" w:evenHBand="1" w:firstRowFirstColumn="0" w:firstRowLastColumn="0" w:lastRowFirstColumn="0" w:lastRowLastColumn="0"/>
        </w:trPr>
        <w:tc>
          <w:tcPr>
            <w:tcW w:w="1242" w:type="dxa"/>
            <w:hideMark/>
          </w:tcPr>
          <w:p w:rsidR="00B259BE" w:rsidRPr="00B259BE" w:rsidRDefault="00B259BE" w:rsidP="00B259BE">
            <w:r w:rsidRPr="00B259BE">
              <w:t>87A</w:t>
            </w:r>
          </w:p>
        </w:tc>
        <w:tc>
          <w:tcPr>
            <w:tcW w:w="7451" w:type="dxa"/>
            <w:hideMark/>
          </w:tcPr>
          <w:p w:rsidR="00B259BE" w:rsidRPr="00B259BE" w:rsidRDefault="00B259BE" w:rsidP="00B259BE">
            <w:r w:rsidRPr="00B259BE">
              <w:t>Provision for tax in determining total revenue is required regardless of whether the service provider pays tax.</w:t>
            </w:r>
          </w:p>
        </w:tc>
      </w:tr>
      <w:tr w:rsidR="00B259BE" w:rsidTr="00987A05">
        <w:tc>
          <w:tcPr>
            <w:tcW w:w="1242" w:type="dxa"/>
            <w:hideMark/>
          </w:tcPr>
          <w:p w:rsidR="00B259BE" w:rsidRPr="00B259BE" w:rsidRDefault="00B259BE" w:rsidP="00B259BE">
            <w:r w:rsidRPr="00B259BE">
              <w:t>79, 91</w:t>
            </w:r>
          </w:p>
        </w:tc>
        <w:tc>
          <w:tcPr>
            <w:tcW w:w="7451" w:type="dxa"/>
            <w:hideMark/>
          </w:tcPr>
          <w:p w:rsidR="00B259BE" w:rsidRPr="00B259BE" w:rsidRDefault="00B259BE" w:rsidP="00B259BE">
            <w:r w:rsidRPr="00B259BE">
              <w:t xml:space="preserve">The AER assesses expenditure requirements for each service provider by reference to the amount necessary to meet standards and objectives.  These include the need to meet the expected demand for services and to meet safety and integrity standards and regulatory obligations or requirements.  The AER does not assess expenditure by reference to the capacity of consumers to pay.  This removes risks that could otherwise arise in providing a reliable and safe service.  The AER reassesses the requirements of service providers for each </w:t>
            </w:r>
            <w:r w:rsidR="0068661A">
              <w:t>a</w:t>
            </w:r>
            <w:r w:rsidR="0068661A" w:rsidRPr="0068661A">
              <w:t xml:space="preserve">ccess arrangement </w:t>
            </w:r>
            <w:r w:rsidRPr="00B259BE">
              <w:t>period to account for changes in market conditions and trends.</w:t>
            </w:r>
          </w:p>
        </w:tc>
      </w:tr>
      <w:tr w:rsidR="00B259BE" w:rsidTr="00987A05">
        <w:trPr>
          <w:cnfStyle w:val="000000010000" w:firstRow="0" w:lastRow="0" w:firstColumn="0" w:lastColumn="0" w:oddVBand="0" w:evenVBand="0" w:oddHBand="0" w:evenHBand="1" w:firstRowFirstColumn="0" w:firstRowLastColumn="0" w:lastRowFirstColumn="0" w:lastRowLastColumn="0"/>
        </w:trPr>
        <w:tc>
          <w:tcPr>
            <w:tcW w:w="1242" w:type="dxa"/>
            <w:hideMark/>
          </w:tcPr>
          <w:p w:rsidR="00B259BE" w:rsidRPr="00B259BE" w:rsidRDefault="00B259BE" w:rsidP="00B259BE">
            <w:r w:rsidRPr="00B259BE">
              <w:t xml:space="preserve">97 (1)(c) </w:t>
            </w:r>
          </w:p>
        </w:tc>
        <w:tc>
          <w:tcPr>
            <w:tcW w:w="7451" w:type="dxa"/>
            <w:hideMark/>
          </w:tcPr>
          <w:p w:rsidR="00B259BE" w:rsidRPr="00B259BE" w:rsidRDefault="00B259BE" w:rsidP="00B259BE">
            <w:r w:rsidRPr="00B259BE">
              <w:t>Allows service providers to pass through certain costs to consumers in circumstances where this might not be possible in a workably competitive market.  For instance, the pass through provisions provide for a pass through of costs that arise through regulatory changes.</w:t>
            </w:r>
          </w:p>
        </w:tc>
      </w:tr>
      <w:tr w:rsidR="00B259BE" w:rsidTr="00987A05">
        <w:tc>
          <w:tcPr>
            <w:tcW w:w="1242" w:type="dxa"/>
            <w:hideMark/>
          </w:tcPr>
          <w:p w:rsidR="00B259BE" w:rsidRPr="00B259BE" w:rsidRDefault="00B259BE" w:rsidP="00B259BE">
            <w:r w:rsidRPr="00B259BE">
              <w:t>80-86, and 103-104</w:t>
            </w:r>
          </w:p>
        </w:tc>
        <w:tc>
          <w:tcPr>
            <w:tcW w:w="7451" w:type="dxa"/>
            <w:hideMark/>
          </w:tcPr>
          <w:p w:rsidR="00B259BE" w:rsidRPr="00B259BE" w:rsidRDefault="00B259BE" w:rsidP="00B259BE">
            <w:r w:rsidRPr="00B259BE">
              <w:t>Includes provisions for appropriate planning which allow for greater certainty to deal with changes in the commercial environment, including provisions for dealing with the funding of new projects during an access arrangement period, and the treatment of extensions and expansions and customer access queuing.</w:t>
            </w:r>
          </w:p>
        </w:tc>
      </w:tr>
      <w:tr w:rsidR="00B259BE" w:rsidTr="00987A05">
        <w:trPr>
          <w:cnfStyle w:val="000000010000" w:firstRow="0" w:lastRow="0" w:firstColumn="0" w:lastColumn="0" w:oddVBand="0" w:evenVBand="0" w:oddHBand="0" w:evenHBand="1" w:firstRowFirstColumn="0" w:firstRowLastColumn="0" w:lastRowFirstColumn="0" w:lastRowLastColumn="0"/>
        </w:trPr>
        <w:tc>
          <w:tcPr>
            <w:tcW w:w="1242" w:type="dxa"/>
            <w:hideMark/>
          </w:tcPr>
          <w:p w:rsidR="00B259BE" w:rsidRPr="00B259BE" w:rsidRDefault="00B259BE" w:rsidP="00B259BE">
            <w:r w:rsidRPr="00B259BE">
              <w:t>Parts 19-21</w:t>
            </w:r>
          </w:p>
        </w:tc>
        <w:tc>
          <w:tcPr>
            <w:tcW w:w="7451" w:type="dxa"/>
            <w:hideMark/>
          </w:tcPr>
          <w:p w:rsidR="00B259BE" w:rsidRPr="00B259BE" w:rsidRDefault="00B259BE" w:rsidP="00B259BE">
            <w:r w:rsidRPr="00B259BE">
              <w:t xml:space="preserve">Provides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4F2761" w:rsidRDefault="004F2761" w:rsidP="004F2761">
      <w:pPr>
        <w:pStyle w:val="AERtablesource"/>
      </w:pPr>
      <w:r>
        <w:t>Source: NGR, AER analysis.</w:t>
      </w:r>
    </w:p>
    <w:p w:rsidR="004F2761" w:rsidRPr="00785554" w:rsidRDefault="004F2761" w:rsidP="004F2761">
      <w:pPr>
        <w:pStyle w:val="HeadingBoldItalic"/>
        <w:rPr>
          <w:rStyle w:val="AERbody"/>
        </w:rPr>
      </w:pPr>
      <w:r w:rsidRPr="00785554">
        <w:rPr>
          <w:rStyle w:val="AERbody"/>
        </w:rPr>
        <w:t>Outcomes of a workably competitive market</w:t>
      </w:r>
    </w:p>
    <w:p w:rsidR="004F2761" w:rsidRDefault="004F2761" w:rsidP="004F2761">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79"/>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0"/>
      </w:r>
    </w:p>
    <w:p w:rsidR="004F2761" w:rsidRDefault="004F2761" w:rsidP="004F2761">
      <w:pPr>
        <w:numPr>
          <w:ilvl w:val="0"/>
          <w:numId w:val="24"/>
        </w:numPr>
      </w:pPr>
      <w:r>
        <w:t>Incentive regulation aims to replicate workably competitive market outcomes by:</w:t>
      </w:r>
    </w:p>
    <w:p w:rsidR="004F2761" w:rsidRDefault="004F2761" w:rsidP="004F2761">
      <w:pPr>
        <w:pStyle w:val="AERbulletlistfirststyle"/>
      </w:pPr>
      <w:r>
        <w:t>Constraining monopoly rents by seeking for customers to only pay for efficient costs of providing the service. This results in service providers having a lower rate of return than if they were unregulated.</w:t>
      </w:r>
    </w:p>
    <w:p w:rsidR="004F2761" w:rsidRPr="004F2761" w:rsidRDefault="004F2761" w:rsidP="004F2761">
      <w:pPr>
        <w:pStyle w:val="AERbulletlistfirststyle"/>
      </w:pPr>
      <w:r>
        <w:t>Incentivising service providers to operate efficiently.</w:t>
      </w:r>
    </w:p>
    <w:p w:rsidR="004F2761" w:rsidRDefault="004F2761" w:rsidP="004F2761">
      <w:r>
        <w:t>Applying the first point to the allowed rate of return, the allowed rate of return should be consistent with the efficient financing cost of providing regulated services.</w:t>
      </w:r>
      <w:r>
        <w:rPr>
          <w:rStyle w:val="FootnoteReference"/>
        </w:rPr>
        <w:footnoteReference w:id="81"/>
      </w:r>
      <w:r>
        <w:t xml:space="preserve"> As we discuss above and in </w:t>
      </w:r>
      <w:r w:rsidR="00067443" w:rsidRPr="00067443">
        <w:t xml:space="preserve">Appendix </w:t>
      </w:r>
      <w:r w:rsidR="00067443" w:rsidRPr="00067443">
        <w:fldChar w:fldCharType="begin"/>
      </w:r>
      <w:r w:rsidR="00067443" w:rsidRPr="00067443">
        <w:instrText xml:space="preserve"> REF _Ref451328574 \r \h </w:instrText>
      </w:r>
      <w:r w:rsidR="00067443" w:rsidRPr="00067443">
        <w:fldChar w:fldCharType="separate"/>
      </w:r>
      <w:r w:rsidR="000230CB">
        <w:t>H</w:t>
      </w:r>
      <w:r w:rsidR="00067443" w:rsidRPr="00067443">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2"/>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3"/>
      </w:r>
    </w:p>
    <w:p w:rsidR="004F2761" w:rsidRDefault="004F2761" w:rsidP="004F2761">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w:t>
      </w:r>
    </w:p>
    <w:p w:rsidR="004F2761" w:rsidRPr="004F2761" w:rsidRDefault="004F2761" w:rsidP="004F2761">
      <w:pPr>
        <w:pStyle w:val="AERbulletlistfirststyle"/>
        <w:rPr>
          <w:rStyle w:val="AERbody"/>
        </w:rPr>
      </w:pPr>
      <w:r w:rsidRPr="00650403">
        <w:rPr>
          <w:rStyle w:val="AERbody"/>
        </w:rPr>
        <w:t xml:space="preserve">Does not distort investment decisions. </w:t>
      </w:r>
      <w:r w:rsidRPr="004F2761">
        <w:rPr>
          <w:rStyle w:val="AERbody"/>
        </w:rPr>
        <w:t>This differs from cost of service regulation, which entails compensating service providers for their actual costs no matter how inefficient.</w:t>
      </w:r>
    </w:p>
    <w:p w:rsidR="004F2761" w:rsidRPr="004F2761" w:rsidRDefault="004F2761" w:rsidP="004F2761">
      <w:pPr>
        <w:pStyle w:val="AERbulletlistfirststyle"/>
        <w:rPr>
          <w:rStyle w:val="AERbody"/>
        </w:rPr>
      </w:pPr>
      <w:r>
        <w:rPr>
          <w:rStyle w:val="AERbody"/>
        </w:rPr>
        <w:t xml:space="preserve">Is </w:t>
      </w:r>
      <w:r w:rsidRPr="004F2761">
        <w:rPr>
          <w:rStyle w:val="AERbody"/>
        </w:rPr>
        <w:t>consistent with the expected return in the competitive capital market (determined by demand and supply) for an investment of similar degree of risk as a service provider supplying regulated services.</w:t>
      </w:r>
    </w:p>
    <w:p w:rsidR="004F2761" w:rsidRPr="004F2761" w:rsidRDefault="004F2761" w:rsidP="004F2761">
      <w:pPr>
        <w:pStyle w:val="AERbulletlistfirststyle"/>
      </w:pPr>
      <w:r w:rsidRPr="00650403">
        <w:rPr>
          <w:rStyle w:val="AERbody"/>
        </w:rPr>
        <w:t>Incentivises service providers to seek the lowest cost financing (all else being equal).</w:t>
      </w:r>
    </w:p>
    <w:p w:rsidR="004F2761" w:rsidRPr="00E64F99" w:rsidRDefault="004F2761" w:rsidP="004F2761">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4"/>
      </w:r>
    </w:p>
    <w:p w:rsidR="004F2761" w:rsidRDefault="004F2761" w:rsidP="004F2761">
      <w:pPr>
        <w:pStyle w:val="Heading3"/>
      </w:pPr>
      <w:bookmarkStart w:id="39" w:name="_Toc450922666"/>
      <w:bookmarkStart w:id="40" w:name="_Toc451943775"/>
      <w:r>
        <w:t>Return on debt factors in the rules</w:t>
      </w:r>
      <w:bookmarkEnd w:id="39"/>
      <w:bookmarkEnd w:id="40"/>
    </w:p>
    <w:p w:rsidR="004F2761" w:rsidRPr="002F1CCA" w:rsidRDefault="004F2761" w:rsidP="004F2761">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5"/>
      </w:r>
    </w:p>
    <w:p w:rsidR="004F2761" w:rsidRPr="004F2761" w:rsidRDefault="004F2761" w:rsidP="004F2761">
      <w:pPr>
        <w:pStyle w:val="AERbulletlistfirststyle"/>
      </w:pPr>
      <w:r w:rsidRPr="002F1CCA">
        <w:t xml:space="preserve">The desirability of minimising any difference between the return on debt and the return on debt of a benchmark efficient entity referred to in the </w:t>
      </w:r>
      <w:r w:rsidRPr="004F2761">
        <w:t>ARORO.</w:t>
      </w:r>
      <w:r w:rsidRPr="004F2761">
        <w:rPr>
          <w:rStyle w:val="AERsuperscript"/>
        </w:rPr>
        <w:footnoteReference w:id="86"/>
      </w:r>
      <w:r w:rsidRPr="004F2761">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4F2761" w:rsidRPr="004F2761" w:rsidRDefault="004F2761" w:rsidP="004F2761">
      <w:pPr>
        <w:pStyle w:val="AERbulletlistfirststyle"/>
      </w:pPr>
      <w:r w:rsidRPr="002F1CCA">
        <w:t>The interrelationship between the return on equity and the return on debt.</w:t>
      </w:r>
      <w:r w:rsidRPr="004F2761">
        <w:rPr>
          <w:rStyle w:val="AERsuperscript"/>
        </w:rPr>
        <w:footnoteReference w:id="87"/>
      </w:r>
    </w:p>
    <w:p w:rsidR="004F2761" w:rsidRPr="004F2761" w:rsidRDefault="004F2761" w:rsidP="004F2761">
      <w:pPr>
        <w:pStyle w:val="AERbulletlistfirststyle"/>
      </w:pPr>
      <w:r w:rsidRPr="002F1CCA">
        <w:t xml:space="preserve">The incentives that the return on debt may provide in relation to capital expenditure over the </w:t>
      </w:r>
      <w:r w:rsidR="00020C31">
        <w:t xml:space="preserve">access arrangement </w:t>
      </w:r>
      <w:r w:rsidRPr="004F2761">
        <w:t>period, including as to the timing of any capital expenditure.</w:t>
      </w:r>
      <w:r w:rsidRPr="004F2761">
        <w:rPr>
          <w:rStyle w:val="AERsuperscript"/>
        </w:rPr>
        <w:footnoteReference w:id="88"/>
      </w:r>
    </w:p>
    <w:p w:rsidR="004F2761" w:rsidRPr="004F2761" w:rsidRDefault="004F2761" w:rsidP="004F2761">
      <w:pPr>
        <w:pStyle w:val="AERbulletlistfirststyle"/>
      </w:pPr>
      <w:r w:rsidRPr="002F1CCA">
        <w:t xml:space="preserve">Any impacts (including in relation to the costs of servicing debt across access arrangement periods) on a benchmark efficient entity referred to in the </w:t>
      </w:r>
      <w:r w:rsidRPr="004F2761">
        <w:t xml:space="preserve">ARORO that could arise as a result of changing the methodology that is used to estimate the return on debt from one </w:t>
      </w:r>
      <w:r w:rsidR="00020C31">
        <w:t>access arrangement</w:t>
      </w:r>
      <w:r w:rsidRPr="004F2761">
        <w:t xml:space="preserve"> period to the next.</w:t>
      </w:r>
      <w:r w:rsidRPr="004F2761">
        <w:rPr>
          <w:rStyle w:val="AERsuperscript"/>
        </w:rPr>
        <w:footnoteReference w:id="89"/>
      </w:r>
    </w:p>
    <w:p w:rsidR="004F2761" w:rsidRDefault="004F2761" w:rsidP="004F2761">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rsidR="00020C31">
        <w:t>access arrangement</w:t>
      </w:r>
      <w:r>
        <w:t xml:space="preserve"> </w:t>
      </w:r>
      <w:r w:rsidRPr="002F1CCA">
        <w:t>period.</w:t>
      </w:r>
      <w:r w:rsidRPr="001437CB">
        <w:rPr>
          <w:rStyle w:val="AERsuperscript"/>
        </w:rPr>
        <w:footnoteReference w:id="90"/>
      </w:r>
    </w:p>
    <w:p w:rsidR="004F2761" w:rsidRDefault="004F2761" w:rsidP="004F2761">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1"/>
      </w:r>
      <w:r w:rsidRPr="00FA6A21">
        <w:t xml:space="preserve"> </w:t>
      </w:r>
      <w:r>
        <w:t xml:space="preserve">flowing between a benchmark </w:t>
      </w:r>
      <w:r w:rsidR="003C00F6">
        <w:t xml:space="preserve">efficient </w:t>
      </w:r>
      <w:r>
        <w:t xml:space="preserve">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rsidR="00020C31">
        <w:t>access arrangement</w:t>
      </w:r>
      <w:r w:rsidRPr="002F1CCA">
        <w:t xml:space="preserve"> period to the next</w:t>
      </w:r>
      <w:r>
        <w:rPr>
          <w:rStyle w:val="AERbody"/>
        </w:rPr>
        <w:t>.</w:t>
      </w:r>
    </w:p>
    <w:p w:rsidR="004F2761" w:rsidRDefault="004F2761" w:rsidP="004F2761">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w:t>
      </w:r>
    </w:p>
    <w:p w:rsidR="004F2761" w:rsidRPr="008D480D" w:rsidRDefault="004F2761" w:rsidP="004F2761">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 xml:space="preserve">for that </w:t>
      </w:r>
      <w:r w:rsidR="00020C31">
        <w:t>access arrangement</w:t>
      </w:r>
      <w:r>
        <w:t xml:space="preserve"> period</w:t>
      </w:r>
      <w:r w:rsidRPr="002F1CCA">
        <w:t>.</w:t>
      </w:r>
      <w:r w:rsidRPr="002F1CCA">
        <w:rPr>
          <w:rStyle w:val="AERsuperscript"/>
        </w:rPr>
        <w:footnoteReference w:id="92"/>
      </w:r>
      <w:r>
        <w:t xml:space="preserve"> We address this in our section on debt implementation.</w:t>
      </w:r>
    </w:p>
    <w:p w:rsidR="004F2761" w:rsidRPr="003337B3" w:rsidRDefault="004F2761" w:rsidP="004F2761">
      <w:pPr>
        <w:pStyle w:val="Heading3"/>
      </w:pPr>
      <w:bookmarkStart w:id="41" w:name="_Toc450922667"/>
      <w:bookmarkStart w:id="42" w:name="_Toc451943776"/>
      <w:r>
        <w:t>R</w:t>
      </w:r>
      <w:r w:rsidRPr="003337B3">
        <w:t>ate of return Guideline</w:t>
      </w:r>
      <w:bookmarkEnd w:id="41"/>
      <w:bookmarkEnd w:id="42"/>
    </w:p>
    <w:p w:rsidR="004F2761" w:rsidRDefault="004F2761" w:rsidP="004F2761">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3"/>
      </w:r>
    </w:p>
    <w:p w:rsidR="004F2761" w:rsidRDefault="004F2761" w:rsidP="004F2761">
      <w:pPr>
        <w:pStyle w:val="HeadingBoldBlue"/>
      </w:pPr>
      <w:bookmarkStart w:id="43" w:name="_Toc450922668"/>
      <w:r>
        <w:t>Role of the Guideline</w:t>
      </w:r>
      <w:bookmarkEnd w:id="43"/>
    </w:p>
    <w:p w:rsidR="004F2761" w:rsidRDefault="004F2761" w:rsidP="004F2761">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4"/>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5"/>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4F2761" w:rsidRDefault="004F2761" w:rsidP="004F2761">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96"/>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97"/>
      </w:r>
    </w:p>
    <w:p w:rsidR="004F2761" w:rsidRPr="00762AAF" w:rsidRDefault="004F2761" w:rsidP="004F2761">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8"/>
      </w:r>
      <w:r w:rsidRPr="00762AAF">
        <w:t xml:space="preserve"> </w:t>
      </w:r>
      <w:r>
        <w:t>The Guideline specifies</w:t>
      </w:r>
      <w:r w:rsidRPr="00762AAF">
        <w:t>:</w:t>
      </w:r>
      <w:r w:rsidRPr="00762AAF">
        <w:rPr>
          <w:rStyle w:val="FootnoteReference"/>
        </w:rPr>
        <w:footnoteReference w:id="99"/>
      </w:r>
    </w:p>
    <w:p w:rsidR="004F2761" w:rsidRPr="004F2761" w:rsidRDefault="004F2761" w:rsidP="004F2761">
      <w:pPr>
        <w:pStyle w:val="AERbulletlistfirststyle"/>
      </w:pPr>
      <w:r>
        <w:t>t</w:t>
      </w:r>
      <w:r w:rsidRPr="004F2761">
        <w:t>he methodologies we propose to use to estimate the allowed rate of return (derived from the allowed return on equity and debt) for electricity and gas network businesses</w:t>
      </w:r>
    </w:p>
    <w:p w:rsidR="004F2761" w:rsidRPr="004F2761" w:rsidRDefault="004F2761" w:rsidP="004F2761">
      <w:pPr>
        <w:pStyle w:val="AERbulletlistfirststyle"/>
      </w:pPr>
      <w:r>
        <w:t>t</w:t>
      </w:r>
      <w:r w:rsidRPr="004F2761">
        <w:t>he method we propose to use to estimate the value of imputation tax credits used to establish a benchmark corporate income tax allowance (see attachment on the value of imputation credits)</w:t>
      </w:r>
    </w:p>
    <w:p w:rsidR="004F2761" w:rsidRPr="004F2761" w:rsidRDefault="004F2761" w:rsidP="004F2761">
      <w:pPr>
        <w:pStyle w:val="AERbulletlistfirststyle"/>
      </w:pPr>
      <w:r>
        <w:t>h</w:t>
      </w:r>
      <w:r w:rsidRPr="004F2761">
        <w:t>ow these methods will result in an allowed return on equity and return on debt which we are satisfied achieves the ARORO.</w:t>
      </w:r>
    </w:p>
    <w:p w:rsidR="004F2761" w:rsidRDefault="004F2761" w:rsidP="004F2761">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p>
    <w:p w:rsidR="004F2761" w:rsidRDefault="004F2761" w:rsidP="004F2761">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0"/>
      </w:r>
      <w:r>
        <w:t xml:space="preserve"> Details of the Guideline development process are also on our website.</w:t>
      </w:r>
      <w:r>
        <w:rPr>
          <w:rStyle w:val="FootnoteReference"/>
        </w:rPr>
        <w:footnoteReference w:id="101"/>
      </w:r>
    </w:p>
    <w:p w:rsidR="004F2761" w:rsidRDefault="004F2761" w:rsidP="004F2761">
      <w:pPr>
        <w:pStyle w:val="HeadingBoldBlue"/>
      </w:pPr>
      <w:bookmarkStart w:id="44" w:name="_Toc450922669"/>
      <w:r>
        <w:t>Key elements of the Guideline</w:t>
      </w:r>
      <w:bookmarkEnd w:id="44"/>
      <w:r>
        <w:t xml:space="preserve"> </w:t>
      </w:r>
    </w:p>
    <w:p w:rsidR="004F2761" w:rsidRDefault="004F2761" w:rsidP="004F2761">
      <w:pPr>
        <w:rPr>
          <w:rStyle w:val="AERbody"/>
        </w:rPr>
      </w:pPr>
      <w:r>
        <w:rPr>
          <w:rStyle w:val="AERbody"/>
        </w:rPr>
        <w:t>The Guideline provides transparency on how we propose to estimate key components of the allowed rate of return. We summarise these below.</w:t>
      </w:r>
    </w:p>
    <w:p w:rsidR="004F2761" w:rsidRPr="00762AAF" w:rsidRDefault="004F2761" w:rsidP="004F2761">
      <w:pPr>
        <w:pStyle w:val="HeadingBoldItalic"/>
      </w:pPr>
      <w:r w:rsidRPr="00762AAF">
        <w:t>Application of criteria for assessing information</w:t>
      </w:r>
    </w:p>
    <w:p w:rsidR="004F2761" w:rsidRPr="00762AAF" w:rsidRDefault="004F2761" w:rsidP="004F2761">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2"/>
      </w:r>
    </w:p>
    <w:p w:rsidR="004F2761" w:rsidRPr="00762AAF" w:rsidRDefault="004F2761" w:rsidP="004F2761">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4F2761" w:rsidRPr="00762AAF" w:rsidRDefault="004F2761" w:rsidP="004F2761">
      <w:pPr>
        <w:numPr>
          <w:ilvl w:val="4"/>
          <w:numId w:val="24"/>
        </w:numPr>
      </w:pPr>
      <w:r w:rsidRPr="00762AAF">
        <w:t>where applicable, reflective of economic and finance principles and market information</w:t>
      </w:r>
    </w:p>
    <w:p w:rsidR="004F2761" w:rsidRPr="00762AAF" w:rsidRDefault="004F2761" w:rsidP="004F2761">
      <w:pPr>
        <w:numPr>
          <w:ilvl w:val="5"/>
          <w:numId w:val="24"/>
        </w:numPr>
      </w:pPr>
      <w:r w:rsidRPr="00762AAF">
        <w:t>estimation methods and financial models are consistent with well accepted economic and finance principles and informed by sound empirical analysis and robust data</w:t>
      </w:r>
    </w:p>
    <w:p w:rsidR="004F2761" w:rsidRPr="00762AAF" w:rsidRDefault="004F2761" w:rsidP="004F2761">
      <w:pPr>
        <w:numPr>
          <w:ilvl w:val="4"/>
          <w:numId w:val="24"/>
        </w:numPr>
      </w:pPr>
      <w:r w:rsidRPr="00762AAF">
        <w:t>fit for purpose</w:t>
      </w:r>
    </w:p>
    <w:p w:rsidR="004F2761" w:rsidRPr="00762AAF" w:rsidRDefault="004F2761" w:rsidP="004F2761">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4F2761" w:rsidRPr="00762AAF" w:rsidRDefault="004F2761" w:rsidP="004F2761">
      <w:pPr>
        <w:numPr>
          <w:ilvl w:val="5"/>
          <w:numId w:val="24"/>
        </w:numPr>
      </w:pPr>
      <w:r w:rsidRPr="00762AAF">
        <w:t xml:space="preserve">promote simple over complex approaches where appropriate </w:t>
      </w:r>
    </w:p>
    <w:p w:rsidR="004F2761" w:rsidRPr="00762AAF" w:rsidRDefault="004F2761" w:rsidP="004F2761">
      <w:pPr>
        <w:numPr>
          <w:ilvl w:val="4"/>
          <w:numId w:val="24"/>
        </w:numPr>
      </w:pPr>
      <w:r w:rsidRPr="00762AAF">
        <w:t>implemented in accordance with good practice</w:t>
      </w:r>
    </w:p>
    <w:p w:rsidR="004F2761" w:rsidRPr="00762AAF" w:rsidRDefault="004F2761" w:rsidP="004F2761">
      <w:pPr>
        <w:numPr>
          <w:ilvl w:val="5"/>
          <w:numId w:val="24"/>
        </w:numPr>
      </w:pPr>
      <w:r w:rsidRPr="00762AAF">
        <w:t>supported by robust, transparent and replicable analysis that is derived from available credible datasets</w:t>
      </w:r>
    </w:p>
    <w:p w:rsidR="004F2761" w:rsidRPr="00762AAF" w:rsidRDefault="004F2761" w:rsidP="004F2761">
      <w:pPr>
        <w:numPr>
          <w:ilvl w:val="4"/>
          <w:numId w:val="24"/>
        </w:numPr>
      </w:pPr>
      <w:r w:rsidRPr="00762AAF">
        <w:t>where models of the return on equity and debt are used these are</w:t>
      </w:r>
    </w:p>
    <w:p w:rsidR="004F2761" w:rsidRPr="00762AAF" w:rsidRDefault="004F2761" w:rsidP="004F2761">
      <w:pPr>
        <w:numPr>
          <w:ilvl w:val="5"/>
          <w:numId w:val="24"/>
        </w:numPr>
      </w:pPr>
      <w:r w:rsidRPr="00762AAF">
        <w:t>based on quantitative modelling that is sufficiently robust as to not be unduly sensitive to errors in inputs estimation</w:t>
      </w:r>
    </w:p>
    <w:p w:rsidR="004F2761" w:rsidRPr="00762AAF" w:rsidRDefault="004F2761" w:rsidP="004F2761">
      <w:pPr>
        <w:numPr>
          <w:ilvl w:val="5"/>
          <w:numId w:val="24"/>
        </w:numPr>
      </w:pPr>
      <w:r w:rsidRPr="00762AAF">
        <w:t>based on quantitative modelling which avoids arbitrary filtering or adjustment of data, which does not have a sound rationale</w:t>
      </w:r>
    </w:p>
    <w:p w:rsidR="004F2761" w:rsidRPr="00762AAF" w:rsidRDefault="004F2761" w:rsidP="004F2761">
      <w:pPr>
        <w:numPr>
          <w:ilvl w:val="4"/>
          <w:numId w:val="24"/>
        </w:numPr>
      </w:pPr>
      <w:r w:rsidRPr="00762AAF">
        <w:t>where market data and other information is used, this information is</w:t>
      </w:r>
    </w:p>
    <w:p w:rsidR="004F2761" w:rsidRPr="00762AAF" w:rsidRDefault="004F2761" w:rsidP="004F2761">
      <w:pPr>
        <w:numPr>
          <w:ilvl w:val="5"/>
          <w:numId w:val="24"/>
        </w:numPr>
      </w:pPr>
      <w:r w:rsidRPr="00762AAF">
        <w:t>credible and verifiable</w:t>
      </w:r>
    </w:p>
    <w:p w:rsidR="004F2761" w:rsidRPr="00762AAF" w:rsidRDefault="004F2761" w:rsidP="004F2761">
      <w:pPr>
        <w:numPr>
          <w:ilvl w:val="5"/>
          <w:numId w:val="24"/>
        </w:numPr>
      </w:pPr>
      <w:r w:rsidRPr="00762AAF">
        <w:t>comparable and timely</w:t>
      </w:r>
    </w:p>
    <w:p w:rsidR="004F2761" w:rsidRPr="00762AAF" w:rsidRDefault="004F2761" w:rsidP="004F2761">
      <w:pPr>
        <w:numPr>
          <w:ilvl w:val="5"/>
          <w:numId w:val="24"/>
        </w:numPr>
      </w:pPr>
      <w:r w:rsidRPr="00762AAF">
        <w:t>clearly sourced</w:t>
      </w:r>
    </w:p>
    <w:p w:rsidR="004F2761" w:rsidRPr="00762AAF" w:rsidRDefault="004F2761" w:rsidP="004F2761">
      <w:pPr>
        <w:numPr>
          <w:ilvl w:val="4"/>
          <w:numId w:val="24"/>
        </w:numPr>
      </w:pPr>
      <w:r w:rsidRPr="00762AAF">
        <w:t>sufficiently flexible as to allow changing market conditions and new information to be reflected in regulatory outcomes, as appropriate.</w:t>
      </w:r>
    </w:p>
    <w:p w:rsidR="004F2761" w:rsidRPr="00762AAF" w:rsidRDefault="004F2761" w:rsidP="004F2761">
      <w:r>
        <w:t>We applied t</w:t>
      </w:r>
      <w:r w:rsidRPr="00762AAF">
        <w:t>hese criteria in this decision to guide us in deciding on the merits of the material before us and the best place to employ the material (if at all).</w:t>
      </w:r>
    </w:p>
    <w:p w:rsidR="004F2761" w:rsidRPr="00762AAF" w:rsidRDefault="004F2761" w:rsidP="00DB4FCE">
      <w:pPr>
        <w:pStyle w:val="HeadingBoldItalic"/>
        <w:keepNext/>
      </w:pPr>
      <w:r w:rsidRPr="00762AAF">
        <w:t xml:space="preserve">Benchmark efficient entity </w:t>
      </w:r>
    </w:p>
    <w:p w:rsidR="004F2761" w:rsidRDefault="004F2761" w:rsidP="00DB4FCE">
      <w:pPr>
        <w:keepNext/>
        <w:numPr>
          <w:ilvl w:val="0"/>
          <w:numId w:val="24"/>
        </w:numPr>
      </w:pPr>
      <w:r>
        <w:t>We generally see</w:t>
      </w:r>
      <w:r w:rsidRPr="00762AAF">
        <w:t xml:space="preserve"> a benchmark efficient entity</w:t>
      </w:r>
      <w:r>
        <w:t xml:space="preserve"> with a similar degree of risk as that applying to the service provider in respect of the provision of </w:t>
      </w:r>
      <w:r w:rsidR="003C00F6">
        <w:t>regulated</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103"/>
      </w:r>
    </w:p>
    <w:p w:rsidR="004F2761" w:rsidRPr="004F2761" w:rsidRDefault="004F2761" w:rsidP="004F2761">
      <w:pPr>
        <w:pStyle w:val="AERbulletlistfirststyle"/>
      </w:pPr>
      <w:r>
        <w:t>Pure play:</w:t>
      </w:r>
      <w:r w:rsidRPr="004F2761">
        <w:t xml:space="preserve"> An entity that offers services focused in one industry or product area. In this context, the industry is energy network services and, in particular the services are regulated energy network services.</w:t>
      </w:r>
    </w:p>
    <w:p w:rsidR="004F2761" w:rsidRPr="004F2761" w:rsidRDefault="004F2761" w:rsidP="004F2761">
      <w:pPr>
        <w:pStyle w:val="AERbulletlistfirststyle"/>
      </w:pPr>
      <w:r>
        <w:t>Regulated:</w:t>
      </w:r>
      <w:r w:rsidRPr="004F2761">
        <w:t xml:space="preserve"> An entity is subject to economic regulation (that is, revenue or price cap regulation) that makes it comparable for the purposes of assessing risk in the provision of regulated services. Comparable risk is an important component of the ARORO.</w:t>
      </w:r>
    </w:p>
    <w:p w:rsidR="004F2761" w:rsidRPr="004F2761" w:rsidRDefault="004F2761" w:rsidP="004F2761">
      <w:pPr>
        <w:pStyle w:val="AERbulletlistfirststyle"/>
      </w:pPr>
      <w:r>
        <w:t>Energy network business:</w:t>
      </w:r>
      <w:r w:rsidRPr="004F2761">
        <w:t xml:space="preserve"> Energy network refers to a gas distribution, gas transmission, electricity distribution or electricity transmission business.</w:t>
      </w:r>
    </w:p>
    <w:p w:rsidR="004F2761" w:rsidRPr="004F2761" w:rsidRDefault="004F2761" w:rsidP="004F2761">
      <w:pPr>
        <w:pStyle w:val="AERbulletlistfirststyle"/>
      </w:pPr>
      <w:r>
        <w:t>Operating in Australia:</w:t>
      </w:r>
      <w:r w:rsidRPr="004F2761">
        <w:t xml:space="preserve"> An entity operating within Australia as the location of a business determines the conditions under which the business operates. This includes the regulatory regime, tax laws, industry structure and broader economic environment.</w:t>
      </w:r>
    </w:p>
    <w:p w:rsidR="004F2761" w:rsidRPr="00762AAF" w:rsidRDefault="004F2761" w:rsidP="004F2761">
      <w:pPr>
        <w:pStyle w:val="HeadingBoldItalic"/>
      </w:pPr>
      <w:r w:rsidRPr="00762AAF">
        <w:t>Gearing</w:t>
      </w:r>
    </w:p>
    <w:p w:rsidR="004F2761" w:rsidRPr="00762AAF" w:rsidRDefault="004F2761" w:rsidP="004F2761">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4"/>
      </w:r>
    </w:p>
    <w:p w:rsidR="004F2761" w:rsidRPr="00762AAF" w:rsidRDefault="004F2761" w:rsidP="004F2761">
      <w:pPr>
        <w:pStyle w:val="HeadingBoldItalic"/>
      </w:pPr>
      <w:r w:rsidRPr="00762AAF">
        <w:t>Return on equity</w:t>
      </w:r>
    </w:p>
    <w:p w:rsidR="004F2761" w:rsidRPr="00762AAF" w:rsidRDefault="004F2761" w:rsidP="004F2761">
      <w:pPr>
        <w:numPr>
          <w:ilvl w:val="0"/>
          <w:numId w:val="24"/>
        </w:numPr>
      </w:pPr>
      <w:r w:rsidRPr="00762AAF">
        <w:t xml:space="preserve">We proposed to estimate the </w:t>
      </w:r>
      <w:r>
        <w:t>allowed</w:t>
      </w:r>
      <w:r w:rsidRPr="00762AAF">
        <w:t xml:space="preserve"> return on equity using the six steps set out in the flow chart in</w:t>
      </w:r>
      <w:r w:rsidR="00020C31">
        <w:t xml:space="preserve"> </w:t>
      </w:r>
      <w:r w:rsidR="00020C31">
        <w:fldChar w:fldCharType="begin"/>
      </w:r>
      <w:r w:rsidR="00020C31">
        <w:instrText xml:space="preserve"> REF  _Ref451331260 \* Lower \h </w:instrText>
      </w:r>
      <w:r w:rsidR="00020C31">
        <w:fldChar w:fldCharType="separate"/>
      </w:r>
      <w:r w:rsidR="000230CB" w:rsidRPr="00762AAF">
        <w:t xml:space="preserve">figure </w:t>
      </w:r>
      <w:r w:rsidR="000230CB">
        <w:rPr>
          <w:noProof/>
        </w:rPr>
        <w:t>3</w:t>
      </w:r>
      <w:r w:rsidR="000230CB">
        <w:noBreakHyphen/>
      </w:r>
      <w:r w:rsidR="000230CB">
        <w:rPr>
          <w:noProof/>
        </w:rPr>
        <w:t>2</w:t>
      </w:r>
      <w:r w:rsidR="00020C31">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5"/>
      </w:r>
    </w:p>
    <w:p w:rsidR="004F2761" w:rsidRPr="00762AAF" w:rsidRDefault="004F2761" w:rsidP="004F2761">
      <w:pPr>
        <w:pStyle w:val="Caption"/>
      </w:pPr>
      <w:bookmarkStart w:id="45" w:name="_Ref451331260"/>
      <w:r w:rsidRPr="00762AAF">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w:t>
      </w:r>
      <w:r w:rsidR="00527450">
        <w:rPr>
          <w:noProof/>
        </w:rPr>
        <w:fldChar w:fldCharType="end"/>
      </w:r>
      <w:bookmarkEnd w:id="45"/>
      <w:r w:rsidRPr="00762AAF">
        <w:tab/>
        <w:t xml:space="preserve">Flowchart of the AER’s proposed approach to estimating the </w:t>
      </w:r>
      <w:r>
        <w:t>allowed</w:t>
      </w:r>
      <w:r w:rsidRPr="00762AAF">
        <w:t xml:space="preserve"> return on equity</w:t>
      </w:r>
    </w:p>
    <w:p w:rsidR="004F2761" w:rsidRPr="00762AAF" w:rsidRDefault="004F2761" w:rsidP="004F2761">
      <w:pPr>
        <w:numPr>
          <w:ilvl w:val="0"/>
          <w:numId w:val="24"/>
        </w:numPr>
      </w:pPr>
      <w:r w:rsidRPr="00785554">
        <w:rPr>
          <w:noProof/>
          <w:lang w:eastAsia="en-AU"/>
        </w:rPr>
        <w:drawing>
          <wp:inline distT="0" distB="0" distL="0" distR="0" wp14:anchorId="04F73E9A" wp14:editId="1C293D77">
            <wp:extent cx="5729739" cy="748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4F2761" w:rsidRPr="00F06EAD" w:rsidRDefault="004F2761" w:rsidP="004F2761">
      <w:pPr>
        <w:rPr>
          <w:rStyle w:val="AERbody"/>
        </w:rPr>
      </w:pPr>
    </w:p>
    <w:p w:rsidR="004F2761" w:rsidRPr="00762AAF" w:rsidRDefault="004F2761" w:rsidP="004F2761"/>
    <w:p w:rsidR="004F2761" w:rsidRPr="00762AAF" w:rsidRDefault="004F2761" w:rsidP="004F2761">
      <w:pPr>
        <w:pStyle w:val="HeadingBoldItalic"/>
      </w:pPr>
      <w:r w:rsidRPr="00762AAF">
        <w:t>Return on debt</w:t>
      </w:r>
    </w:p>
    <w:p w:rsidR="004F2761" w:rsidRDefault="004F2761" w:rsidP="004F2761">
      <w:pPr>
        <w:pStyle w:val="ListParagraph"/>
        <w:numPr>
          <w:ilvl w:val="0"/>
          <w:numId w:val="24"/>
        </w:numPr>
      </w:pPr>
      <w:r>
        <w:t>We proposed to:</w:t>
      </w:r>
    </w:p>
    <w:p w:rsidR="004F2761" w:rsidRPr="004F2761" w:rsidRDefault="004F2761" w:rsidP="004F2761">
      <w:pPr>
        <w:pStyle w:val="AERbulletlistfirststyle"/>
      </w:pPr>
      <w:r w:rsidRPr="00762AAF">
        <w:t>estimate a</w:t>
      </w:r>
      <w:r w:rsidRPr="004F2761">
        <w:t xml:space="preserve"> return on debt using the on-the-day approach (that is, based on prevailing market conditions near the commencement of the </w:t>
      </w:r>
      <w:r w:rsidR="00020C31">
        <w:t>access arrangement</w:t>
      </w:r>
      <w:r w:rsidRPr="004F2761">
        <w:t xml:space="preserve"> period) in the first regulatory year (2016</w:t>
      </w:r>
      <w:r w:rsidR="00020C31">
        <w:rPr>
          <w:rFonts w:cs="Arial"/>
        </w:rPr>
        <w:t>–</w:t>
      </w:r>
      <w:r w:rsidR="00020C31">
        <w:t>17</w:t>
      </w:r>
      <w:r w:rsidRPr="004F2761">
        <w:t>) of the 2016–2</w:t>
      </w:r>
      <w:r w:rsidR="00020C31">
        <w:t>1</w:t>
      </w:r>
      <w:r w:rsidRPr="004F2761">
        <w:t xml:space="preserve"> </w:t>
      </w:r>
      <w:r w:rsidR="00020C31">
        <w:t>access arrangement</w:t>
      </w:r>
      <w:r w:rsidRPr="004F2761">
        <w:t xml:space="preserve"> period, and</w:t>
      </w:r>
    </w:p>
    <w:p w:rsidR="004F2761" w:rsidRPr="004F2761" w:rsidRDefault="004F2761" w:rsidP="004F2761">
      <w:pPr>
        <w:pStyle w:val="AERbulletlistfirststyle"/>
      </w:pPr>
      <w:r w:rsidRPr="00762AAF">
        <w:t xml:space="preserve">gradually transition this </w:t>
      </w:r>
      <w:r w:rsidRPr="004F2761">
        <w:t>approach into a trailing average (that is, a moving historical average) over 10 years by annually updating 10 per cent of the return on debt to reflect prevailing market conditions in that year.</w:t>
      </w:r>
      <w:r w:rsidRPr="004F2761">
        <w:rPr>
          <w:rStyle w:val="FootnoteReference"/>
        </w:rPr>
        <w:footnoteReference w:id="106"/>
      </w:r>
    </w:p>
    <w:p w:rsidR="004F2761" w:rsidRPr="00762AAF" w:rsidRDefault="004F2761" w:rsidP="004F2761">
      <w:r w:rsidRPr="00762AAF">
        <w:t xml:space="preserve"> </w:t>
      </w:r>
      <w:r>
        <w:t>We also proposed</w:t>
      </w:r>
      <w:r w:rsidRPr="00762AAF">
        <w:t xml:space="preserve"> to estimate the return on debt in each regulatory year by reference to:</w:t>
      </w:r>
    </w:p>
    <w:p w:rsidR="004F2761" w:rsidRPr="00762AAF" w:rsidRDefault="004F2761" w:rsidP="004F2761">
      <w:pPr>
        <w:pStyle w:val="AERbulletlistfirststyle"/>
      </w:pPr>
      <w:r w:rsidRPr="00762AAF">
        <w:t>a benchmark credit rating of BBB+</w:t>
      </w:r>
    </w:p>
    <w:p w:rsidR="004F2761" w:rsidRPr="00762AAF" w:rsidRDefault="004F2761" w:rsidP="004F2761">
      <w:pPr>
        <w:pStyle w:val="AERbulletlistfirststyle"/>
      </w:pPr>
      <w:r w:rsidRPr="00762AAF">
        <w:t>a benchmark term of debt of 10 years</w:t>
      </w:r>
    </w:p>
    <w:p w:rsidR="004F2761" w:rsidRPr="004F2761" w:rsidRDefault="004F2761" w:rsidP="004F2761">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sidRPr="004F2761">
        <w:rPr>
          <w:rStyle w:val="FootnoteReference"/>
        </w:rPr>
        <w:footnoteReference w:id="107"/>
      </w:r>
    </w:p>
    <w:p w:rsidR="004F2761" w:rsidRPr="004F2761" w:rsidRDefault="004F2761" w:rsidP="004F2761">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rsidRPr="004F2761">
        <w:t>proposed in the Guideline.</w:t>
      </w:r>
      <w:r w:rsidRPr="004F2761">
        <w:rPr>
          <w:rStyle w:val="FootnoteReference"/>
        </w:rPr>
        <w:footnoteReference w:id="108"/>
      </w:r>
    </w:p>
    <w:p w:rsidR="004F2761" w:rsidRPr="00762AAF" w:rsidRDefault="004F2761" w:rsidP="004F2761">
      <w:pPr>
        <w:pStyle w:val="HeadingBoldItalic"/>
      </w:pPr>
      <w:r w:rsidRPr="00762AAF">
        <w:t>Mid period WACC adjustment</w:t>
      </w:r>
    </w:p>
    <w:p w:rsidR="004F2761" w:rsidRDefault="004F2761" w:rsidP="004F2761">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09"/>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0"/>
      </w:r>
    </w:p>
    <w:p w:rsidR="004F2761" w:rsidRPr="003337B3" w:rsidRDefault="004F2761" w:rsidP="004F2761">
      <w:pPr>
        <w:pStyle w:val="Heading3"/>
      </w:pPr>
      <w:bookmarkStart w:id="46" w:name="_Toc450922670"/>
      <w:bookmarkStart w:id="47" w:name="_Toc451943777"/>
      <w:r>
        <w:t>Interrelationships</w:t>
      </w:r>
      <w:bookmarkEnd w:id="46"/>
      <w:bookmarkEnd w:id="47"/>
    </w:p>
    <w:p w:rsidR="004F2761" w:rsidRPr="004F2761" w:rsidRDefault="004F2761" w:rsidP="00191978">
      <w:r w:rsidRPr="00E75E61">
        <w:t xml:space="preserve">In </w:t>
      </w:r>
      <w:r w:rsidRPr="004F2761">
        <w:t>determining the allowed rate of return, we must have regard to any interrelationships between estimates of financial parameters that are relevant to the estimates of the return on equity and the return on debt.</w:t>
      </w:r>
      <w:r w:rsidRPr="004F2761">
        <w:rPr>
          <w:rStyle w:val="FootnoteReference"/>
        </w:rPr>
        <w:footnoteReference w:id="111"/>
      </w:r>
      <w:r w:rsidRPr="004F2761">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4F2761" w:rsidRPr="00762AAF" w:rsidRDefault="004F2761" w:rsidP="004F2761">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2"/>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3C00F6">
        <w:t>regulated</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3"/>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4"/>
      </w:r>
    </w:p>
    <w:p w:rsidR="004F2761" w:rsidRPr="00762AAF" w:rsidRDefault="004F2761" w:rsidP="004F2761">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4F2761" w:rsidRPr="00762AAF" w:rsidRDefault="004F2761" w:rsidP="004F2761">
      <w:pPr>
        <w:rPr>
          <w:rStyle w:val="Strong"/>
        </w:rPr>
      </w:pPr>
      <w:r>
        <w:rPr>
          <w:rStyle w:val="Strong"/>
        </w:rPr>
        <w:t>A</w:t>
      </w:r>
      <w:r w:rsidRPr="00762AAF">
        <w:rPr>
          <w:rStyle w:val="Strong"/>
        </w:rPr>
        <w:t xml:space="preserve"> benchmark</w:t>
      </w:r>
    </w:p>
    <w:p w:rsidR="004F2761" w:rsidRPr="00762AAF" w:rsidRDefault="004F2761" w:rsidP="004F2761">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5"/>
      </w:r>
      <w:r w:rsidRPr="00762AAF">
        <w:t xml:space="preserve"> These interrelationships between the types of risk and the required compensation via the rate of return are an important factor.</w:t>
      </w:r>
      <w:r w:rsidRPr="00762AAF">
        <w:rPr>
          <w:rStyle w:val="FootnoteReference"/>
        </w:rPr>
        <w:footnoteReference w:id="116"/>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w:t>
      </w:r>
    </w:p>
    <w:p w:rsidR="004F2761" w:rsidRPr="00762AAF" w:rsidRDefault="004F2761" w:rsidP="004F2761">
      <w:pPr>
        <w:pStyle w:val="AERbulletlistfirststyle"/>
      </w:pPr>
      <w:r w:rsidRPr="00762AAF">
        <w:t>energy type (gas or electricity)</w:t>
      </w:r>
    </w:p>
    <w:p w:rsidR="004F2761" w:rsidRPr="00762AAF" w:rsidRDefault="004F2761" w:rsidP="004F2761">
      <w:pPr>
        <w:pStyle w:val="AERbulletlistfirststyle"/>
      </w:pPr>
      <w:r w:rsidRPr="00762AAF">
        <w:t>network type (distribution or transmission)</w:t>
      </w:r>
    </w:p>
    <w:p w:rsidR="004F2761" w:rsidRPr="00762AAF" w:rsidRDefault="004F2761" w:rsidP="004F2761">
      <w:pPr>
        <w:pStyle w:val="AERbulletlistfirststyle"/>
      </w:pPr>
      <w:r w:rsidRPr="00762AAF">
        <w:t>ownership type (government or private)</w:t>
      </w:r>
    </w:p>
    <w:p w:rsidR="004F2761" w:rsidRPr="00762AAF" w:rsidRDefault="004F2761" w:rsidP="004F2761">
      <w:pPr>
        <w:pStyle w:val="AERbulletlistfirststyle"/>
      </w:pPr>
      <w:r w:rsidRPr="00762AAF">
        <w:t>size of the service provider (big or small).</w:t>
      </w:r>
    </w:p>
    <w:p w:rsidR="004F2761" w:rsidRPr="00762AAF" w:rsidRDefault="004F2761" w:rsidP="004F2761">
      <w:pPr>
        <w:numPr>
          <w:ilvl w:val="0"/>
          <w:numId w:val="24"/>
        </w:numPr>
        <w:rPr>
          <w:rStyle w:val="Strong"/>
        </w:rPr>
      </w:pPr>
      <w:r w:rsidRPr="00762AAF">
        <w:rPr>
          <w:rStyle w:val="Strong"/>
        </w:rPr>
        <w:t>Domestic market</w:t>
      </w:r>
    </w:p>
    <w:p w:rsidR="004F2761" w:rsidRPr="00762AAF" w:rsidRDefault="004F2761" w:rsidP="004F2761">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4F2761" w:rsidRPr="00762AAF" w:rsidRDefault="004F2761" w:rsidP="004F2761">
      <w:pPr>
        <w:rPr>
          <w:rStyle w:val="Strong"/>
        </w:rPr>
      </w:pPr>
      <w:r w:rsidRPr="00762AAF">
        <w:rPr>
          <w:rStyle w:val="Strong"/>
        </w:rPr>
        <w:t>Benchmark gearing</w:t>
      </w:r>
    </w:p>
    <w:p w:rsidR="004F2761" w:rsidRPr="00762AAF" w:rsidRDefault="004F2761" w:rsidP="004F2761">
      <w:r w:rsidRPr="00762AAF">
        <w:t>We apply a benchmark efficient level of gearing of 60 per cent, as noted above. This benchmark gearing level is used:</w:t>
      </w:r>
    </w:p>
    <w:p w:rsidR="004F2761" w:rsidRPr="004F2761" w:rsidRDefault="004F2761" w:rsidP="004F2761">
      <w:pPr>
        <w:pStyle w:val="AERbulletlistfirststyle"/>
      </w:pPr>
      <w:r w:rsidRPr="00762AAF">
        <w:t xml:space="preserve">to weight the </w:t>
      </w:r>
      <w:r w:rsidRPr="004F2761">
        <w:t>allowed return on debt and equity to derive the overall allowed rate of return using the WACC formula</w:t>
      </w:r>
    </w:p>
    <w:p w:rsidR="004F2761" w:rsidRPr="00762AAF" w:rsidRDefault="004F2761" w:rsidP="004F2761">
      <w:pPr>
        <w:pStyle w:val="AERbulletlistfirststyle"/>
      </w:pPr>
      <w:r w:rsidRPr="00762AAF">
        <w:t>to re-lever asset betas for the purposes of comparing the levels of systematic risk across businesses which is relevant for the equity beta estimate.</w:t>
      </w:r>
    </w:p>
    <w:p w:rsidR="004F2761" w:rsidRPr="00762AAF" w:rsidRDefault="004F2761" w:rsidP="004F2761">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17"/>
      </w:r>
    </w:p>
    <w:p w:rsidR="004F2761" w:rsidRPr="00762AAF" w:rsidRDefault="004F2761" w:rsidP="00DB4FCE">
      <w:pPr>
        <w:keepNext/>
        <w:rPr>
          <w:rStyle w:val="Strong"/>
        </w:rPr>
      </w:pPr>
      <w:r w:rsidRPr="00762AAF">
        <w:rPr>
          <w:rStyle w:val="Strong"/>
        </w:rPr>
        <w:t>Term of the rate of return</w:t>
      </w:r>
    </w:p>
    <w:p w:rsidR="004F2761" w:rsidRPr="00762AAF" w:rsidRDefault="004F2761" w:rsidP="00DB4FCE">
      <w:pPr>
        <w:keepNext/>
        <w:numPr>
          <w:ilvl w:val="0"/>
          <w:numId w:val="24"/>
        </w:numPr>
      </w:pPr>
      <w:r w:rsidRPr="00762AAF">
        <w:t>We adopt a 10 year term for our overall rate of return.</w:t>
      </w:r>
      <w:r w:rsidRPr="00762AAF">
        <w:rPr>
          <w:rStyle w:val="FootnoteReference"/>
        </w:rPr>
        <w:footnoteReference w:id="118"/>
      </w:r>
      <w:r w:rsidRPr="00762AAF">
        <w:t xml:space="preserve"> This results in the following economic interdependencies that impact on the implementation of our return on equity and debt estimation methods:</w:t>
      </w:r>
    </w:p>
    <w:p w:rsidR="004F2761" w:rsidRPr="004F2761" w:rsidRDefault="004F2761" w:rsidP="004F2761">
      <w:pPr>
        <w:pStyle w:val="AERbulletlistfirststyle"/>
      </w:pPr>
      <w:r>
        <w:t>t</w:t>
      </w:r>
      <w:r w:rsidRPr="004F2761">
        <w:t>he risk free rate used for estimating the return on equity is a 10 year forward looking rate</w:t>
      </w:r>
    </w:p>
    <w:p w:rsidR="004F2761" w:rsidRPr="004F2761" w:rsidRDefault="004F2761" w:rsidP="004F2761">
      <w:pPr>
        <w:pStyle w:val="AERbulletlistfirststyle"/>
      </w:pPr>
      <w:r>
        <w:t>t</w:t>
      </w:r>
      <w:r w:rsidRPr="004F2761">
        <w:t>he market risk premium (MRP) estimate is for a 10 year forward looking period</w:t>
      </w:r>
    </w:p>
    <w:p w:rsidR="004F2761" w:rsidRPr="004F2761" w:rsidRDefault="004F2761" w:rsidP="004F2761">
      <w:pPr>
        <w:pStyle w:val="AERbulletlistfirststyle"/>
      </w:pPr>
      <w:r>
        <w:t>w</w:t>
      </w:r>
      <w:r w:rsidRPr="004F2761">
        <w:t>e adopt a 10 year debt term for estimating the return on debt.</w:t>
      </w:r>
    </w:p>
    <w:p w:rsidR="004F2761" w:rsidRPr="003337B3" w:rsidRDefault="004F2761" w:rsidP="004F2761">
      <w:pPr>
        <w:pStyle w:val="Heading3"/>
      </w:pPr>
      <w:bookmarkStart w:id="48" w:name="_Toc450922671"/>
      <w:bookmarkStart w:id="49" w:name="_Toc451943778"/>
      <w:r>
        <w:t>Consideration of relevant material</w:t>
      </w:r>
      <w:bookmarkEnd w:id="48"/>
      <w:bookmarkEnd w:id="49"/>
    </w:p>
    <w:p w:rsidR="004F2761" w:rsidRDefault="004F2761" w:rsidP="004F2761">
      <w:r>
        <w:t>In making regulatory decisions, we are to have regard to information provided in regulatory proposals and submissions.</w:t>
      </w:r>
      <w:r>
        <w:rPr>
          <w:rStyle w:val="FootnoteReference"/>
        </w:rPr>
        <w:footnoteReference w:id="119"/>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0"/>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1"/>
      </w:r>
    </w:p>
    <w:p w:rsidR="004F2761" w:rsidRDefault="004F2761" w:rsidP="004F2761">
      <w:r>
        <w:t>In the following sections, we summarise how we have considered a large range of material. This includes, but is not limited to:</w:t>
      </w:r>
    </w:p>
    <w:p w:rsidR="004F2761" w:rsidRDefault="004F2761" w:rsidP="004F2761">
      <w:pPr>
        <w:pStyle w:val="AERbulletlistfirststyle"/>
      </w:pPr>
      <w:r>
        <w:t>service provider proposals</w:t>
      </w:r>
    </w:p>
    <w:p w:rsidR="004F2761" w:rsidRDefault="004F2761" w:rsidP="004F2761">
      <w:pPr>
        <w:pStyle w:val="AERbulletlistfirststyle"/>
      </w:pPr>
      <w:r>
        <w:t>expert reports</w:t>
      </w:r>
    </w:p>
    <w:p w:rsidR="004F2761" w:rsidRDefault="004F2761" w:rsidP="004F2761">
      <w:pPr>
        <w:pStyle w:val="AERbulletlistfirststyle"/>
      </w:pPr>
      <w:r>
        <w:t>stakeholder submissions</w:t>
      </w:r>
    </w:p>
    <w:p w:rsidR="004F2761" w:rsidRPr="004F2761" w:rsidRDefault="004F2761" w:rsidP="004F2761">
      <w:pPr>
        <w:pStyle w:val="AERbulletlistfirststyle"/>
      </w:pPr>
      <w:r>
        <w:t>recent Tribunal decisions.</w:t>
      </w:r>
    </w:p>
    <w:p w:rsidR="004F2761" w:rsidRDefault="004F2761" w:rsidP="004F2761">
      <w:pPr>
        <w:pStyle w:val="HeadingBoldBlue"/>
      </w:pPr>
      <w:bookmarkStart w:id="50" w:name="_Toc450922672"/>
      <w:r>
        <w:t>Service providers' proposals</w:t>
      </w:r>
      <w:bookmarkEnd w:id="50"/>
    </w:p>
    <w:p w:rsidR="004F2761" w:rsidRDefault="004F2761" w:rsidP="004F2761">
      <w:pPr>
        <w:numPr>
          <w:ilvl w:val="0"/>
          <w:numId w:val="24"/>
        </w:numPr>
      </w:pPr>
      <w:r>
        <w:t xml:space="preserve">The revised </w:t>
      </w:r>
      <w:r w:rsidR="0095169E">
        <w:t>access</w:t>
      </w:r>
      <w:r w:rsidR="002B360A">
        <w:t xml:space="preserve"> arrangement </w:t>
      </w:r>
      <w:r>
        <w:t xml:space="preserve">proposals that we are currently considering (including </w:t>
      </w:r>
      <w:r w:rsidR="00191978">
        <w:t xml:space="preserve">AGN's </w:t>
      </w:r>
      <w:r>
        <w:t xml:space="preserve">revised </w:t>
      </w:r>
      <w:r w:rsidR="00191978">
        <w:t xml:space="preserve">access arrangement </w:t>
      </w:r>
      <w:r>
        <w:t xml:space="preserve">proposal) have challenged most aspects of the Guideline approach (and methods) to estimating the return on equity and debt. We have reviewed the material submitted since our </w:t>
      </w:r>
      <w:r w:rsidR="00191978">
        <w:t>draft</w:t>
      </w:r>
      <w:r>
        <w:t xml:space="preserve"> decisions, and considered the reasons for the proposed departures from the Guideline. We have taken into account stakeholder submissions on our</w:t>
      </w:r>
      <w:r w:rsidR="00191978">
        <w:t xml:space="preserve"> draft</w:t>
      </w:r>
      <w:r>
        <w:t xml:space="preserve"> decisions, and on service providers' revised and initial proposals. In doing so, we have undertaken two interdependent tasks as required by the rules:</w:t>
      </w:r>
    </w:p>
    <w:p w:rsidR="004F2761" w:rsidRPr="004F2761" w:rsidRDefault="004F2761" w:rsidP="004F2761">
      <w:pPr>
        <w:pStyle w:val="AERbulletlistfirststyle"/>
      </w:pPr>
      <w:r>
        <w:t xml:space="preserve">consider whether the proposed departures would better achieve the ARORO such that we should depart from the </w:t>
      </w:r>
      <w:r w:rsidRPr="004F2761">
        <w:t>Guideline</w:t>
      </w:r>
    </w:p>
    <w:p w:rsidR="004F2761" w:rsidRDefault="004F2761" w:rsidP="004F2761">
      <w:pPr>
        <w:pStyle w:val="AERbulletlistfirststyle"/>
      </w:pPr>
      <w:r>
        <w:t>determine a rate of return that we are satisfied achieves the ARORO.</w:t>
      </w:r>
    </w:p>
    <w:p w:rsidR="004F2761" w:rsidRPr="004F2761" w:rsidRDefault="004F2761" w:rsidP="00191978">
      <w:r>
        <w:t>T</w:t>
      </w:r>
      <w:r w:rsidRPr="004F2761">
        <w:t xml:space="preserve">he service providers that submitted revised regulatory proposals </w:t>
      </w:r>
      <w:r w:rsidR="007E5A4F">
        <w:t xml:space="preserve">and </w:t>
      </w:r>
      <w:r w:rsidR="007E5A4F" w:rsidRPr="004F2761">
        <w:t xml:space="preserve">revised </w:t>
      </w:r>
      <w:r w:rsidR="007E5A4F">
        <w:t>access arrangement</w:t>
      </w:r>
      <w:r w:rsidR="007E5A4F" w:rsidRPr="004F2761">
        <w:t xml:space="preserve"> proposals </w:t>
      </w:r>
      <w:r w:rsidRPr="004F2761">
        <w:t>that we are currently considering have submitted a large volume of material in support of their proposals.</w:t>
      </w:r>
      <w:r w:rsidRPr="004F2761">
        <w:rPr>
          <w:rStyle w:val="FootnoteReference"/>
        </w:rPr>
        <w:footnoteReference w:id="122"/>
      </w:r>
      <w:r w:rsidRPr="004F2761">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w:t>
      </w:r>
      <w:r w:rsidR="007E5A4F">
        <w:t>draft/</w:t>
      </w:r>
      <w:r w:rsidRPr="004F2761">
        <w:t>preliminary and final decisions. Our considerations are throughout this rate of return attachment and relevant appendices.</w:t>
      </w:r>
    </w:p>
    <w:p w:rsidR="004F2761" w:rsidRPr="004F2761" w:rsidRDefault="004F2761" w:rsidP="00191978">
      <w:r>
        <w:t>W</w:t>
      </w:r>
      <w:r w:rsidRPr="004F2761">
        <w:t>hile we c</w:t>
      </w:r>
      <w:r w:rsidR="00DD3371">
        <w:t>onsider each regulatory</w:t>
      </w:r>
      <w:r w:rsidR="002B360A">
        <w:t xml:space="preserve">/access </w:t>
      </w:r>
      <w:r w:rsidR="0095169E">
        <w:t>arrangement</w:t>
      </w:r>
      <w:r w:rsidRPr="004F2761">
        <w:t xml:space="preserve"> </w:t>
      </w:r>
      <w:r w:rsidR="00DD3371">
        <w:t xml:space="preserve">proposal </w:t>
      </w:r>
      <w:r w:rsidRPr="004F2761">
        <w:t>afresh, much of the material currently before us is the same material we considered in making our decisions in 2015.</w:t>
      </w:r>
      <w:r w:rsidRPr="004F2761">
        <w:rPr>
          <w:rStyle w:val="FootnoteReference"/>
        </w:rPr>
        <w:footnoteReference w:id="123"/>
      </w:r>
      <w:r w:rsidRPr="004F2761">
        <w:t xml:space="preserve"> For this final decision, unless stated otherwise, we adopt the rate of return analysis and reasoning as set out in our most recent final decisions in October 2015.</w:t>
      </w:r>
      <w:r w:rsidRPr="004F2761">
        <w:rPr>
          <w:rStyle w:val="FootnoteReference"/>
        </w:rPr>
        <w:footnoteReference w:id="124"/>
      </w:r>
    </w:p>
    <w:p w:rsidR="004F2761" w:rsidRPr="004F2761" w:rsidRDefault="004F2761" w:rsidP="00191978">
      <w:r>
        <w:t>Our October 2015 final decisions c</w:t>
      </w:r>
      <w:r w:rsidRPr="004F2761">
        <w:t>omprehensively set out our allowed rate of return analysis and reasoning.</w:t>
      </w:r>
      <w:r w:rsidRPr="004F2761">
        <w:rPr>
          <w:rStyle w:val="FootnoteReference"/>
        </w:rPr>
        <w:footnoteReference w:id="125"/>
      </w:r>
      <w:r w:rsidRPr="004F2761">
        <w:t xml:space="preserve"> During these reset processes, we also considered a number of other regulatory resets.</w:t>
      </w:r>
      <w:r w:rsidRPr="004F2761">
        <w:rPr>
          <w:rStyle w:val="FootnoteReference"/>
        </w:rPr>
        <w:footnoteReference w:id="126"/>
      </w:r>
      <w:r w:rsidRPr="004F2761">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4F2761">
        <w:rPr>
          <w:rStyle w:val="FootnoteReference"/>
        </w:rPr>
        <w:footnoteReference w:id="127"/>
      </w:r>
    </w:p>
    <w:p w:rsidR="004F2761" w:rsidRPr="00FC3B81" w:rsidRDefault="004F2761" w:rsidP="004F2761">
      <w:pPr>
        <w:pStyle w:val="HeadingBoldBlue"/>
        <w:numPr>
          <w:ilvl w:val="0"/>
          <w:numId w:val="24"/>
        </w:numPr>
      </w:pPr>
      <w:bookmarkStart w:id="51" w:name="_Toc450922673"/>
      <w:r>
        <w:t>Expert reports</w:t>
      </w:r>
      <w:bookmarkEnd w:id="51"/>
    </w:p>
    <w:p w:rsidR="004F2761" w:rsidRPr="00AC1D0D" w:rsidRDefault="004F2761" w:rsidP="004F2761">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4F2761" w:rsidRPr="004F2761" w:rsidRDefault="004F2761" w:rsidP="004F2761">
      <w:pPr>
        <w:pStyle w:val="AERbulletlistfirststyle"/>
      </w:pPr>
      <w:r>
        <w:t>Professor Michael McKenzie, University of Liverpool</w:t>
      </w:r>
      <w:r w:rsidRPr="004F2761">
        <w:t>.</w:t>
      </w:r>
      <w:r w:rsidRPr="004F2761">
        <w:rPr>
          <w:rStyle w:val="FootnoteReference"/>
        </w:rPr>
        <w:footnoteReference w:id="128"/>
      </w:r>
    </w:p>
    <w:p w:rsidR="004F2761" w:rsidRPr="004F2761" w:rsidRDefault="004F2761" w:rsidP="004F2761">
      <w:pPr>
        <w:pStyle w:val="AERbulletlistfirststyle"/>
      </w:pPr>
      <w:r>
        <w:t>Professor Stephen Satchell, Trinity College, Cambridge University</w:t>
      </w:r>
      <w:r w:rsidRPr="004F2761">
        <w:rPr>
          <w:rStyle w:val="FootnoteReference"/>
        </w:rPr>
        <w:footnoteReference w:id="129"/>
      </w:r>
    </w:p>
    <w:p w:rsidR="004F2761" w:rsidRPr="004F2761" w:rsidRDefault="004F2761" w:rsidP="004F2761">
      <w:pPr>
        <w:pStyle w:val="AERbulletlistfirststyle"/>
      </w:pPr>
      <w:r>
        <w:t>Associate professor Graham Partington, University of Sydney</w:t>
      </w:r>
      <w:r w:rsidRPr="004F2761">
        <w:t>.</w:t>
      </w:r>
      <w:r w:rsidRPr="004F2761">
        <w:rPr>
          <w:rStyle w:val="FootnoteReference"/>
        </w:rPr>
        <w:footnoteReference w:id="130"/>
      </w:r>
    </w:p>
    <w:p w:rsidR="004F2761" w:rsidRPr="004F2761" w:rsidRDefault="004F2761" w:rsidP="004F2761">
      <w:pPr>
        <w:pStyle w:val="AERbulletlistfirststyle"/>
      </w:pPr>
      <w:r>
        <w:t>Associate professor John Handley, University of Melbourne</w:t>
      </w:r>
      <w:r w:rsidRPr="004F2761">
        <w:t>.</w:t>
      </w:r>
      <w:r w:rsidRPr="004F2761">
        <w:rPr>
          <w:rStyle w:val="FootnoteReference"/>
        </w:rPr>
        <w:footnoteReference w:id="131"/>
      </w:r>
    </w:p>
    <w:p w:rsidR="004F2761" w:rsidRPr="004F2761" w:rsidRDefault="004F2761" w:rsidP="004F2761">
      <w:pPr>
        <w:pStyle w:val="AERbulletlistfirststyle"/>
      </w:pPr>
      <w:r>
        <w:t>Dr Martin Lally, Capital Financial Consultants</w:t>
      </w:r>
      <w:r w:rsidRPr="004F2761">
        <w:t>.</w:t>
      </w:r>
      <w:r w:rsidRPr="004F2761">
        <w:rPr>
          <w:rStyle w:val="FootnoteReference"/>
        </w:rPr>
        <w:footnoteReference w:id="132"/>
      </w:r>
    </w:p>
    <w:p w:rsidR="004F2761" w:rsidRPr="004F2761" w:rsidRDefault="004F2761" w:rsidP="004F2761">
      <w:pPr>
        <w:pStyle w:val="AERbulletlistfirststyle"/>
      </w:pPr>
      <w:r>
        <w:t>Chairmont, a financial market practitioner.</w:t>
      </w:r>
      <w:r w:rsidRPr="004F2761">
        <w:rPr>
          <w:rStyle w:val="FootnoteReference"/>
        </w:rPr>
        <w:footnoteReference w:id="133"/>
      </w:r>
    </w:p>
    <w:p w:rsidR="004F2761" w:rsidRDefault="004F2761" w:rsidP="004F2761">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4"/>
      </w:r>
      <w:r>
        <w:t xml:space="preserve"> We also received advice on return on debt estimation from the ACCC Regulatory Economic Unit (REU).</w:t>
      </w:r>
      <w:r>
        <w:rPr>
          <w:rStyle w:val="FootnoteReference"/>
        </w:rPr>
        <w:footnoteReference w:id="135"/>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p>
    <w:p w:rsidR="004F2761" w:rsidRDefault="004F2761" w:rsidP="004F2761">
      <w:pPr>
        <w:pStyle w:val="HeadingBoldBlue"/>
        <w:numPr>
          <w:ilvl w:val="0"/>
          <w:numId w:val="24"/>
        </w:numPr>
      </w:pPr>
      <w:bookmarkStart w:id="52" w:name="_Toc450922674"/>
      <w:r>
        <w:t>Stakeholder submissions</w:t>
      </w:r>
      <w:bookmarkEnd w:id="52"/>
    </w:p>
    <w:p w:rsidR="00191978" w:rsidRPr="00191978" w:rsidRDefault="00191978" w:rsidP="00191978">
      <w:pPr>
        <w:pStyle w:val="ListParagraph"/>
        <w:numPr>
          <w:ilvl w:val="0"/>
          <w:numId w:val="24"/>
        </w:numPr>
      </w:pPr>
      <w:r w:rsidRPr="00191978">
        <w:t>Stakeholders made submissions specific to AGN which we have considered.</w:t>
      </w:r>
      <w:r w:rsidRPr="00191978">
        <w:rPr>
          <w:rStyle w:val="FootnoteReference"/>
        </w:rPr>
        <w:footnoteReference w:id="136"/>
      </w:r>
      <w:r w:rsidRPr="00191978">
        <w:t xml:space="preserve"> Material that was submitted for the recent decisions published in April, June and October 2015 has also been considered in making this decision. Overall, in making these recent decisions we received a large number of submissions on the original proposals, draft decisions and revised rate of return proposals.</w:t>
      </w:r>
      <w:r w:rsidRPr="00191978">
        <w:rPr>
          <w:rStyle w:val="FootnoteReference"/>
        </w:rPr>
        <w:footnoteReference w:id="137"/>
      </w:r>
      <w:r w:rsidRPr="00191978">
        <w:rPr>
          <w:rStyle w:val="FootnoteReference"/>
        </w:rPr>
        <w:t xml:space="preserve"> </w:t>
      </w:r>
      <w:r w:rsidRPr="00191978">
        <w:t xml:space="preserve">Most of these submissions, including those on AGN's revised </w:t>
      </w:r>
      <w:r w:rsidR="0095169E">
        <w:t>access</w:t>
      </w:r>
      <w:r w:rsidR="002B360A">
        <w:t xml:space="preserve"> </w:t>
      </w:r>
      <w:r w:rsidR="0095169E">
        <w:t>arrangement</w:t>
      </w:r>
      <w:r w:rsidR="002B360A">
        <w:t xml:space="preserve"> </w:t>
      </w:r>
      <w:r w:rsidRPr="00191978">
        <w:t>proposal and our draft decision, had commentary relating to the rate of return.</w:t>
      </w:r>
    </w:p>
    <w:p w:rsidR="004F2761" w:rsidRDefault="004F2761" w:rsidP="004F2761">
      <w:r>
        <w:t>We received detailed input on the rate of return from the Consumer Challenge Panel (CCP). This included input form the CCP Sub Panel 3 (CCP3) on the current Victorian electricity distribution processes.</w:t>
      </w:r>
      <w:r>
        <w:rPr>
          <w:rStyle w:val="FootnoteReference"/>
        </w:rPr>
        <w:footnoteReference w:id="138"/>
      </w:r>
      <w:r>
        <w:t xml:space="preserve"> Also see advice from CCP Sub Panel 8 (CCP8) on the current gas access arrangement processes.</w:t>
      </w:r>
      <w:r>
        <w:rPr>
          <w:rStyle w:val="FootnoteReference"/>
        </w:rPr>
        <w:footnoteReference w:id="139"/>
      </w:r>
    </w:p>
    <w:p w:rsidR="004F2761" w:rsidRDefault="004F2761" w:rsidP="004F2761">
      <w:pPr>
        <w:pStyle w:val="HeadingBoldBlue"/>
      </w:pPr>
      <w:bookmarkStart w:id="53" w:name="_Toc450922675"/>
      <w:r>
        <w:t>Consideration of recent Tribunal decisions</w:t>
      </w:r>
      <w:bookmarkEnd w:id="53"/>
    </w:p>
    <w:p w:rsidR="004F2761" w:rsidRDefault="004F2761" w:rsidP="004F2761">
      <w:pPr>
        <w:numPr>
          <w:ilvl w:val="0"/>
          <w:numId w:val="24"/>
        </w:numPr>
      </w:pPr>
      <w:r>
        <w:t>The Tribunal recently reviewed and upheld several aspects of our approach to estimating the rate of return. These included:</w:t>
      </w:r>
      <w:r>
        <w:rPr>
          <w:rStyle w:val="FootnoteReference"/>
        </w:rPr>
        <w:footnoteReference w:id="140"/>
      </w:r>
    </w:p>
    <w:p w:rsidR="004F2761" w:rsidRDefault="004F2761" w:rsidP="004F2761">
      <w:pPr>
        <w:pStyle w:val="AERbulletlistfirststyle"/>
      </w:pPr>
      <w:r>
        <w:t>our approach to estimating the return on equity by applying the Guideline approach referred to as the foundation model approach</w:t>
      </w:r>
    </w:p>
    <w:p w:rsidR="004F2761" w:rsidRPr="004F2761" w:rsidRDefault="004F2761" w:rsidP="004F2761">
      <w:pPr>
        <w:pStyle w:val="AERbulletlistfirststyle"/>
      </w:pPr>
      <w:r>
        <w:t>our approach to specifying t</w:t>
      </w:r>
      <w:r w:rsidRPr="004F2761">
        <w:t>he benchmark credit rating at BBB+ rather than BBB as preferred by some of the service providers</w:t>
      </w:r>
    </w:p>
    <w:p w:rsidR="004F2761" w:rsidRPr="004F2761" w:rsidRDefault="004F2761" w:rsidP="004F2761">
      <w:pPr>
        <w:pStyle w:val="AERbulletlistfirststyle"/>
      </w:pPr>
      <w:r>
        <w:t xml:space="preserve">our approach to estimating </w:t>
      </w:r>
      <w:r w:rsidRPr="004F2761">
        <w:t>the allowed return on debt using a simple average of the RBA and Bloomberg data series, rather than the RBA data series alone as preferred by some of the service providers.</w:t>
      </w:r>
    </w:p>
    <w:p w:rsidR="004F2761" w:rsidRPr="004F2761" w:rsidRDefault="004F2761" w:rsidP="00191978">
      <w:r>
        <w:t>We have maintained our approach to estimating these components of the allowed rate of return in th</w:t>
      </w:r>
      <w:r w:rsidRPr="004F2761">
        <w:t>is decision.</w:t>
      </w:r>
    </w:p>
    <w:p w:rsidR="004F2761" w:rsidRPr="004F2761" w:rsidRDefault="004F2761" w:rsidP="00191978">
      <w:r>
        <w:t xml:space="preserve">The Tribunal also recently reviewed our approach to applying a full </w:t>
      </w:r>
      <w:r w:rsidRPr="004F2761">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4F2761">
        <w:rPr>
          <w:rStyle w:val="FootnoteReference"/>
        </w:rPr>
        <w:footnoteReference w:id="141"/>
      </w:r>
      <w:r w:rsidRPr="004F2761">
        <w:t xml:space="preserve"> On 24 March 2016, we applied to the Federal Court for judicial review of this aspect of the Tribunal's decision. In particular, we have applied for review on:</w:t>
      </w:r>
    </w:p>
    <w:p w:rsidR="004F2761" w:rsidRPr="004F2761" w:rsidRDefault="004F2761" w:rsidP="004F2761">
      <w:pPr>
        <w:pStyle w:val="AERbulletlistfirststyle"/>
      </w:pPr>
      <w:r>
        <w:t>the Tribunal's finding that a</w:t>
      </w:r>
      <w:r w:rsidRPr="004F2761">
        <w:t xml:space="preserve"> benchmark efficient entity referred to in the NER </w:t>
      </w:r>
      <w:r w:rsidR="00DD3371">
        <w:t xml:space="preserve">clause </w:t>
      </w:r>
      <w:r w:rsidRPr="004F2761">
        <w:t>6.5.2(c) would be an unregulated entity</w:t>
      </w:r>
      <w:r w:rsidRPr="004F2761">
        <w:rPr>
          <w:rStyle w:val="FootnoteReference"/>
        </w:rPr>
        <w:t xml:space="preserve"> </w:t>
      </w:r>
      <w:r w:rsidRPr="004F2761">
        <w:rPr>
          <w:rStyle w:val="FootnoteReference"/>
        </w:rPr>
        <w:footnoteReference w:id="142"/>
      </w:r>
      <w:r w:rsidRPr="004F2761">
        <w:t xml:space="preserve"> </w:t>
      </w:r>
      <w:r w:rsidR="00191978">
        <w:t xml:space="preserve">We note that NGR </w:t>
      </w:r>
      <w:r w:rsidR="00DD3371">
        <w:t xml:space="preserve">rule </w:t>
      </w:r>
      <w:r w:rsidR="00191978">
        <w:t>87(3) mirrors this clause.</w:t>
      </w:r>
    </w:p>
    <w:p w:rsidR="004F2761" w:rsidRPr="004F2761" w:rsidRDefault="004F2761" w:rsidP="004F2761">
      <w:pPr>
        <w:pStyle w:val="AERbulletlistfirststyle"/>
      </w:pPr>
      <w:r>
        <w:t>t</w:t>
      </w:r>
      <w:r w:rsidRPr="004F2761">
        <w:t>he Tribunal's rejection of a single benchmark efficient entity for those service providers</w:t>
      </w:r>
      <w:r w:rsidR="007E5A4F">
        <w:t>.</w:t>
      </w:r>
    </w:p>
    <w:p w:rsidR="004F2761" w:rsidRPr="004F2761" w:rsidRDefault="004F2761" w:rsidP="004F2761">
      <w:pPr>
        <w:pStyle w:val="AERbulletlistfirststyle"/>
      </w:pPr>
      <w:r>
        <w:t>t</w:t>
      </w:r>
      <w:r w:rsidRPr="004F2761">
        <w:t>he Tribunal's appro</w:t>
      </w:r>
      <w:r w:rsidR="00DD3371">
        <w:t>ach to the interpretation of clause</w:t>
      </w:r>
      <w:r w:rsidRPr="004F2761">
        <w:t xml:space="preserve"> 6.5.2(k)(4) of the NER.</w:t>
      </w:r>
      <w:r w:rsidRPr="004F2761">
        <w:rPr>
          <w:rStyle w:val="FootnoteReference"/>
        </w:rPr>
        <w:footnoteReference w:id="143"/>
      </w:r>
      <w:r w:rsidRPr="004F2761">
        <w:t xml:space="preserve"> </w:t>
      </w:r>
      <w:r w:rsidR="00191978">
        <w:t>We note that NGR 87</w:t>
      </w:r>
      <w:r w:rsidR="00DD3371">
        <w:t xml:space="preserve"> rule </w:t>
      </w:r>
      <w:r w:rsidR="00191978">
        <w:t>(11)(d) mirrors this clause.</w:t>
      </w:r>
    </w:p>
    <w:p w:rsidR="00785836" w:rsidRDefault="00785836" w:rsidP="00785836">
      <w:pPr>
        <w:pStyle w:val="Heading2"/>
      </w:pPr>
      <w:bookmarkStart w:id="54" w:name="_Toc437001929"/>
      <w:bookmarkStart w:id="55" w:name="_Ref443996201"/>
      <w:bookmarkStart w:id="56" w:name="_Toc451943779"/>
      <w:bookmarkEnd w:id="24"/>
      <w:r>
        <w:t>Reasons for final decision</w:t>
      </w:r>
      <w:bookmarkEnd w:id="54"/>
      <w:bookmarkEnd w:id="55"/>
      <w:bookmarkEnd w:id="56"/>
    </w:p>
    <w:p w:rsidR="00785836" w:rsidRPr="00D67998" w:rsidRDefault="00785836" w:rsidP="00785836">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4"/>
      </w:r>
    </w:p>
    <w:p w:rsidR="00785836" w:rsidRPr="00D67998" w:rsidRDefault="00785836" w:rsidP="00785836">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5"/>
      </w:r>
    </w:p>
    <w:p w:rsidR="00785836" w:rsidRDefault="00785836" w:rsidP="00785836">
      <w:r>
        <w:t>In making this decision we have considered issues that have been raised by AGN as well as different service providers and stakeholders in our recently published regulatory determinations. While we have addressed matters specifically raised by AGN</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AGN's revised</w:t>
      </w:r>
      <w:r w:rsidRPr="00D67998">
        <w:t xml:space="preserve"> </w:t>
      </w:r>
      <w:r w:rsidR="00392D6F">
        <w:t xml:space="preserve">access arrangement </w:t>
      </w:r>
      <w:r>
        <w:t xml:space="preserve">proposal and also underpins our decision on the return on equity that contributes to the achievement of the </w:t>
      </w:r>
      <w:r w:rsidR="007E5A4F">
        <w:t>ARORO</w:t>
      </w:r>
      <w:r>
        <w:t>.</w:t>
      </w:r>
      <w:r>
        <w:rPr>
          <w:rStyle w:val="FootnoteReference"/>
        </w:rPr>
        <w:footnoteReference w:id="146"/>
      </w:r>
      <w:r>
        <w:t xml:space="preserve"> That is, a return commensurate with the efficient financing costs of a benchmark efficient entity with a similar degree of risk as that which applies to AGN</w:t>
      </w:r>
      <w:r w:rsidRPr="00D67998">
        <w:t xml:space="preserve"> </w:t>
      </w:r>
      <w:r>
        <w:t xml:space="preserve">in respect of the provision of </w:t>
      </w:r>
      <w:r w:rsidR="007524AA">
        <w:t>reference</w:t>
      </w:r>
      <w:r>
        <w:t xml:space="preserve"> services.</w:t>
      </w:r>
      <w:r>
        <w:rPr>
          <w:rStyle w:val="FootnoteReference"/>
        </w:rPr>
        <w:footnoteReference w:id="147"/>
      </w:r>
    </w:p>
    <w:p w:rsidR="00785836" w:rsidRDefault="00785836" w:rsidP="00191978">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0230CB">
        <w:t>3.4.1</w:t>
      </w:r>
      <w:r>
        <w:fldChar w:fldCharType="end"/>
      </w:r>
      <w:r>
        <w:t xml:space="preserve"> and</w:t>
      </w:r>
      <w:r w:rsidR="007E5A4F">
        <w:t xml:space="preserve"> </w:t>
      </w:r>
      <w:r w:rsidR="007E5A4F">
        <w:fldChar w:fldCharType="begin"/>
      </w:r>
      <w:r w:rsidR="007E5A4F">
        <w:instrText xml:space="preserve"> REF _Ref451328558 \r \h </w:instrText>
      </w:r>
      <w:r w:rsidR="007E5A4F">
        <w:fldChar w:fldCharType="separate"/>
      </w:r>
      <w:r w:rsidR="000230CB">
        <w:t>3.4.2</w:t>
      </w:r>
      <w:r w:rsidR="007E5A4F">
        <w:fldChar w:fldCharType="end"/>
      </w:r>
      <w:r>
        <w:t>, respectively.</w:t>
      </w:r>
      <w:r w:rsidR="00191978">
        <w:t xml:space="preserve"> </w:t>
      </w:r>
      <w:r>
        <w:t>Subsections</w:t>
      </w:r>
      <w:r w:rsidR="00191978">
        <w:t xml:space="preserve"> </w:t>
      </w:r>
      <w:r w:rsidR="00191978">
        <w:fldChar w:fldCharType="begin"/>
      </w:r>
      <w:r w:rsidR="00191978">
        <w:instrText xml:space="preserve"> REF _Ref450924364 \r \h </w:instrText>
      </w:r>
      <w:r w:rsidR="00191978">
        <w:fldChar w:fldCharType="separate"/>
      </w:r>
      <w:r w:rsidR="000230CB">
        <w:t>3.4.3</w:t>
      </w:r>
      <w:r w:rsidR="00191978">
        <w:fldChar w:fldCharType="end"/>
      </w:r>
      <w:r w:rsidR="00191978">
        <w:t xml:space="preserve"> and </w:t>
      </w:r>
      <w:r w:rsidR="00191978">
        <w:fldChar w:fldCharType="begin"/>
      </w:r>
      <w:r w:rsidR="00191978">
        <w:instrText xml:space="preserve"> REF _Ref450924366 \r \h </w:instrText>
      </w:r>
      <w:r w:rsidR="00191978">
        <w:fldChar w:fldCharType="separate"/>
      </w:r>
      <w:r w:rsidR="000230CB">
        <w:t>3.4.4</w:t>
      </w:r>
      <w:r w:rsidR="00191978">
        <w:fldChar w:fldCharType="end"/>
      </w:r>
      <w:r>
        <w:t xml:space="preserve"> set out the gearing ratio and our expe</w:t>
      </w:r>
      <w:r w:rsidR="00191978">
        <w:t>cted inflation rate for the 2016–21 access arrangement</w:t>
      </w:r>
      <w:r>
        <w:t xml:space="preserve"> period.</w:t>
      </w:r>
    </w:p>
    <w:p w:rsidR="00785836" w:rsidRDefault="00785836" w:rsidP="00785836">
      <w:pPr>
        <w:pStyle w:val="Heading3"/>
      </w:pPr>
      <w:bookmarkStart w:id="57" w:name="_Ref430958591"/>
      <w:bookmarkStart w:id="58" w:name="_Toc433446503"/>
      <w:bookmarkStart w:id="59" w:name="_Ref451329918"/>
      <w:bookmarkStart w:id="60" w:name="_Ref451329920"/>
      <w:bookmarkStart w:id="61" w:name="_Toc451943780"/>
      <w:r w:rsidRPr="00796C00">
        <w:t>Return on equity</w:t>
      </w:r>
      <w:bookmarkEnd w:id="57"/>
      <w:bookmarkEnd w:id="58"/>
      <w:bookmarkEnd w:id="59"/>
      <w:bookmarkEnd w:id="60"/>
      <w:bookmarkEnd w:id="61"/>
      <w:r w:rsidRPr="00785836">
        <w:t xml:space="preserve"> </w:t>
      </w:r>
    </w:p>
    <w:p w:rsidR="008F4F73" w:rsidRPr="008F4F73" w:rsidRDefault="008F4F73" w:rsidP="008F4F73">
      <w:pPr>
        <w:numPr>
          <w:ilvl w:val="0"/>
          <w:numId w:val="24"/>
        </w:numPr>
      </w:pPr>
      <w:r w:rsidRPr="008F4F73">
        <w:t>Our return on equity estimate is 7.</w:t>
      </w:r>
      <w:r w:rsidR="00334901">
        <w:t>1</w:t>
      </w:r>
      <w:r w:rsidRPr="008F4F73">
        <w:t xml:space="preserve"> per cent. We consider that 7.</w:t>
      </w:r>
      <w:r w:rsidR="00334901">
        <w:t>1</w:t>
      </w:r>
      <w:r w:rsidRPr="008F4F73">
        <w:t xml:space="preserve"> per cent is the best estimate to combine with a return on debt estimate to form an overall allowed rate of return that achieves the </w:t>
      </w:r>
      <w:r w:rsidR="0068661A">
        <w:t>ARORO</w:t>
      </w:r>
      <w:r w:rsidRPr="008F4F73">
        <w:t>. We also consider that 7.</w:t>
      </w:r>
      <w:r w:rsidR="00334901">
        <w:t>1</w:t>
      </w:r>
      <w:r w:rsidRPr="008F4F73">
        <w:t xml:space="preserve"> per cent is consistent with the prevailing conditions in the market for equity funds.</w:t>
      </w:r>
    </w:p>
    <w:p w:rsidR="008F4F73" w:rsidRPr="008F4F73" w:rsidRDefault="008F4F73" w:rsidP="008F4F73">
      <w:pPr>
        <w:numPr>
          <w:ilvl w:val="0"/>
          <w:numId w:val="24"/>
        </w:numPr>
      </w:pPr>
      <w:r w:rsidRPr="008F4F73">
        <w:t>We hold these views because:</w:t>
      </w:r>
    </w:p>
    <w:p w:rsidR="008F4F73" w:rsidRPr="008F4F73" w:rsidRDefault="008F4F73" w:rsidP="008F4F73">
      <w:pPr>
        <w:pStyle w:val="AERbulletlistfirststyle"/>
      </w:pPr>
      <w:r w:rsidRPr="008F4F73">
        <w:t>We derive our estimate using the Sharpe–Lintner CAPM, which:</w:t>
      </w:r>
    </w:p>
    <w:p w:rsidR="008F4F73" w:rsidRPr="008F4F73" w:rsidRDefault="008F4F73" w:rsidP="008F4F73">
      <w:pPr>
        <w:pStyle w:val="AERbulletlistsecondstyle"/>
      </w:pPr>
      <w:r w:rsidRPr="008F4F73">
        <w:t>transparently presents the key risk and reward trade-off</w:t>
      </w:r>
      <w:r w:rsidRPr="008F4F73">
        <w:rPr>
          <w:rStyle w:val="FootnoteReference"/>
        </w:rPr>
        <w:footnoteReference w:id="148"/>
      </w:r>
      <w:r w:rsidRPr="008F4F73">
        <w:t xml:space="preserve"> that is at the heart of our task</w:t>
      </w:r>
      <w:r w:rsidRPr="008F4F73">
        <w:rPr>
          <w:rStyle w:val="FootnoteReference"/>
        </w:rPr>
        <w:footnoteReference w:id="149"/>
      </w:r>
    </w:p>
    <w:p w:rsidR="008F4F73" w:rsidRPr="008F4F73" w:rsidRDefault="008F4F73" w:rsidP="008F4F73">
      <w:pPr>
        <w:pStyle w:val="AERbulletlistsecondstyle"/>
      </w:pPr>
      <w:r w:rsidRPr="008F4F73">
        <w:t>is widely and consistently used for estimating the expected return on equity by financial market practitioners, academics, and other regulators</w:t>
      </w:r>
      <w:r w:rsidRPr="008F4F73">
        <w:rPr>
          <w:rStyle w:val="FootnoteReference"/>
        </w:rPr>
        <w:footnoteReference w:id="150"/>
      </w:r>
    </w:p>
    <w:p w:rsidR="008F4F73" w:rsidRPr="008F4F73" w:rsidRDefault="008F4F73" w:rsidP="008F4F73">
      <w:pPr>
        <w:pStyle w:val="AERbulletlistsecondstyle"/>
      </w:pPr>
      <w:r w:rsidRPr="008F4F73">
        <w:t>has well-accepted and unbiased methods for estimating its parameters, and these parameters can be estimated with tolerable accuracy, unlike the alternative models proposed by service providers.</w:t>
      </w:r>
    </w:p>
    <w:p w:rsidR="008F4F73" w:rsidRPr="008F4F73" w:rsidRDefault="008F4F73" w:rsidP="008F4F73">
      <w:pPr>
        <w:pStyle w:val="AERbulletlistfirststyle"/>
        <w:rPr>
          <w:rStyle w:val="AERtexthighlight"/>
        </w:rPr>
      </w:pPr>
      <w:r w:rsidRPr="008F4F73">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 (see Appendix D and E for more discussions).</w:t>
      </w:r>
    </w:p>
    <w:p w:rsidR="008F4F73" w:rsidRPr="008F4F73" w:rsidRDefault="008F4F73" w:rsidP="008F4F73">
      <w:pPr>
        <w:pStyle w:val="AERbulletlistfirststyle"/>
        <w:rPr>
          <w:rStyle w:val="AERtexthighlight"/>
          <w:shd w:val="clear" w:color="auto" w:fill="auto"/>
        </w:rPr>
      </w:pPr>
      <w:r w:rsidRPr="008F4F73">
        <w:rPr>
          <w:rStyle w:val="AERtexthighlight"/>
          <w:shd w:val="clear" w:color="auto" w:fill="auto"/>
        </w:rPr>
        <w:t>Our estimate is supported by comparison to estimates from the Wright specification of the CAPM, broker reports, valuation reports, and other regulators' decisions.</w:t>
      </w:r>
    </w:p>
    <w:p w:rsidR="008F4F73" w:rsidRPr="008F4F73" w:rsidRDefault="008F4F73" w:rsidP="008F4F73">
      <w:pPr>
        <w:pStyle w:val="AERbulletlistfirststyle"/>
      </w:pPr>
      <w:r w:rsidRPr="008F4F73">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8F4F73">
        <w:rPr>
          <w:rStyle w:val="FootnoteReference"/>
        </w:rPr>
        <w:footnoteReference w:id="151"/>
      </w:r>
      <w:r w:rsidRPr="008F4F73">
        <w:t xml:space="preserve"> service providers have continued to invest in their networks and propose to continue to grow their asset bases.</w:t>
      </w:r>
      <w:r w:rsidRPr="008F4F73">
        <w:rPr>
          <w:rStyle w:val="FootnoteReference"/>
        </w:rPr>
        <w:footnoteReference w:id="152"/>
      </w:r>
      <w:r w:rsidRPr="008F4F73">
        <w:rPr>
          <w:rStyle w:val="AERtexthighlight"/>
        </w:rPr>
        <w:t xml:space="preserve"> </w:t>
      </w:r>
    </w:p>
    <w:p w:rsidR="008F4F73" w:rsidRPr="008F4F73" w:rsidRDefault="008F4F73" w:rsidP="008F4F73">
      <w:pPr>
        <w:pStyle w:val="AERbulletlistfirststyle"/>
      </w:pPr>
      <w:r w:rsidRPr="008F4F73">
        <w:t xml:space="preserve">Our return on equity estimate is approximately </w:t>
      </w:r>
      <w:r w:rsidR="00953161">
        <w:t>163</w:t>
      </w:r>
      <w:r w:rsidR="00334901">
        <w:t xml:space="preserve"> </w:t>
      </w:r>
      <w:r w:rsidRPr="008F4F73">
        <w:t>basis points above the prevailing yield-to-maturity on BBB-rated debt with a 10 year term-to-maturity. For a benchmark efficient entity with a similar degree of risk as</w:t>
      </w:r>
      <w:r w:rsidR="00987A05">
        <w:t xml:space="preserve"> AGN</w:t>
      </w:r>
      <w:r w:rsidRPr="008F4F73">
        <w:t>, we would not expect the return on equity to be a long way above the prevailing return on debt.</w:t>
      </w:r>
      <w:r w:rsidRPr="008F4F73">
        <w:rPr>
          <w:rStyle w:val="FootnoteReference"/>
        </w:rPr>
        <w:footnoteReference w:id="153"/>
      </w:r>
    </w:p>
    <w:p w:rsidR="008F4F73" w:rsidRPr="008F4F73" w:rsidRDefault="008F4F73" w:rsidP="008F4F73">
      <w:pPr>
        <w:pStyle w:val="AERbulletlistfirststyle"/>
      </w:pPr>
      <w:r w:rsidRPr="008F4F73">
        <w:t>We have come to this estimate following the application of our foundation model approach, which:</w:t>
      </w:r>
    </w:p>
    <w:p w:rsidR="008F4F73" w:rsidRPr="008F4F73" w:rsidRDefault="008F4F73" w:rsidP="008F4F73">
      <w:pPr>
        <w:pStyle w:val="AERbulletlistsecondstyle"/>
      </w:pPr>
      <w:r w:rsidRPr="008F4F73">
        <w:t xml:space="preserve">involves consideration of all relevant material submitted to us, and the role for each piece of material that would best achieve the </w:t>
      </w:r>
      <w:r w:rsidR="0068661A">
        <w:t>ARORO</w:t>
      </w:r>
      <w:r w:rsidRPr="008F4F73">
        <w:t>; and</w:t>
      </w:r>
    </w:p>
    <w:p w:rsidR="008F4F73" w:rsidRPr="008F4F73" w:rsidRDefault="008F4F73" w:rsidP="008F4F73">
      <w:pPr>
        <w:pStyle w:val="AERbulletlistsecondstyle"/>
      </w:pPr>
      <w:r w:rsidRPr="008F4F73">
        <w:t>was developed through extensive consultation during our Guideline review process.</w:t>
      </w:r>
    </w:p>
    <w:p w:rsidR="008F4F73" w:rsidRPr="008F4F73" w:rsidRDefault="008F4F73" w:rsidP="008F4F73">
      <w:pPr>
        <w:numPr>
          <w:ilvl w:val="0"/>
          <w:numId w:val="24"/>
        </w:numPr>
      </w:pPr>
      <w:r w:rsidRPr="008F4F73">
        <w:t>The Sharpe-Lintner CAPM provides that the return on equity can be calculated as the risk-free return and a premium for risk above the risk-free rate, with the risk premium calculated as the product of the market risk premium and equity beta.</w:t>
      </w:r>
      <w:r w:rsidRPr="008F4F73">
        <w:rPr>
          <w:rStyle w:val="FootnoteReference"/>
        </w:rPr>
        <w:footnoteReference w:id="154"/>
      </w:r>
      <w:r w:rsidRPr="008F4F73">
        <w:t xml:space="preserve"> Our Sharpe-Lintner CAPM estimate is based on:</w:t>
      </w:r>
    </w:p>
    <w:p w:rsidR="008F4F73" w:rsidRPr="008F4F73" w:rsidRDefault="008F4F73" w:rsidP="008F4F73">
      <w:pPr>
        <w:pStyle w:val="AERbulletlistfirststyle"/>
      </w:pPr>
      <w:r w:rsidRPr="008F4F73">
        <w:t>a prevailing risk free rate estimate of 2.57 per cent</w:t>
      </w:r>
    </w:p>
    <w:p w:rsidR="008F4F73" w:rsidRPr="008F4F73" w:rsidRDefault="008F4F73" w:rsidP="008F4F73">
      <w:pPr>
        <w:pStyle w:val="AERbulletlistfirststyle"/>
      </w:pPr>
      <w:r w:rsidRPr="008F4F73">
        <w:t xml:space="preserve">a market risk premium estimate of 6.5 per cent, and </w:t>
      </w:r>
    </w:p>
    <w:p w:rsidR="008F4F73" w:rsidRPr="008F4F73" w:rsidRDefault="008F4F73" w:rsidP="008F4F73">
      <w:pPr>
        <w:pStyle w:val="AERbulletlistfirststyle"/>
      </w:pPr>
      <w:r w:rsidRPr="008F4F73">
        <w:t>an equity beta estimate of 0.7.</w:t>
      </w:r>
      <w:r w:rsidRPr="008F4F73">
        <w:rPr>
          <w:rStyle w:val="FootnoteReference"/>
        </w:rPr>
        <w:footnoteReference w:id="155"/>
      </w:r>
      <w:r w:rsidRPr="008F4F73">
        <w:t xml:space="preserve"> </w:t>
      </w:r>
    </w:p>
    <w:p w:rsidR="008F4F73" w:rsidRPr="008F4F73" w:rsidRDefault="008F4F73" w:rsidP="008F4F73">
      <w:pPr>
        <w:numPr>
          <w:ilvl w:val="0"/>
          <w:numId w:val="24"/>
        </w:numPr>
      </w:pPr>
      <w:r w:rsidRPr="008F4F73">
        <w:t>Our derivation of these parameter estimates is outlined in the subsections below.</w:t>
      </w:r>
    </w:p>
    <w:p w:rsidR="008F4F73" w:rsidRPr="008F4F73" w:rsidRDefault="008F4F73" w:rsidP="008F4F73">
      <w:pPr>
        <w:numPr>
          <w:ilvl w:val="0"/>
          <w:numId w:val="24"/>
        </w:numPr>
      </w:pPr>
      <w:r w:rsidRPr="008F4F73">
        <w:t>The following aspects of our return on equity estimate have broad agreement from both service providers and consumer groups:</w:t>
      </w:r>
    </w:p>
    <w:p w:rsidR="008F4F73" w:rsidRPr="008F4F73" w:rsidRDefault="008F4F73" w:rsidP="008F4F73">
      <w:pPr>
        <w:pStyle w:val="AERbulletlistfirststyle"/>
      </w:pPr>
      <w:r w:rsidRPr="008F4F73">
        <w:t>The Sharpe-Lintner CAPM, at least in combination with other relevant material, is valuable for estimating return on equity</w:t>
      </w:r>
    </w:p>
    <w:p w:rsidR="008F4F73" w:rsidRPr="008F4F73" w:rsidRDefault="008F4F73" w:rsidP="008F4F73">
      <w:pPr>
        <w:pStyle w:val="AERbulletlistfirststyle"/>
      </w:pPr>
      <w:r w:rsidRPr="008F4F73">
        <w:t>The risk free rate should be estimated as the yield, averaged over a 20 business day averaging period, on Australian government securities with a ten-year term-to-maturity.</w:t>
      </w:r>
      <w:r w:rsidRPr="008F4F73">
        <w:rPr>
          <w:rStyle w:val="FootnoteReference"/>
        </w:rPr>
        <w:footnoteReference w:id="156"/>
      </w:r>
    </w:p>
    <w:p w:rsidR="008F4F73" w:rsidRPr="008F4F73" w:rsidRDefault="008F4F73" w:rsidP="008F4F73">
      <w:pPr>
        <w:pStyle w:val="AERbulletlistfirststyle"/>
      </w:pPr>
      <w:r w:rsidRPr="008F4F73">
        <w:t>Market risk premium estimates should be informed by historical stock returns and (to some extent) dividend growth model estimates.</w:t>
      </w:r>
    </w:p>
    <w:p w:rsidR="008F4F73" w:rsidRPr="008F4F73" w:rsidRDefault="008F4F73" w:rsidP="008F4F73">
      <w:pPr>
        <w:pStyle w:val="AERbulletlistfirststyle"/>
      </w:pPr>
      <w:r w:rsidRPr="008F4F73">
        <w:t>Equity beta estimates should be informed by regression estimates of the equity beta of relevant Australian and, to some extent, international energy network businesses.</w:t>
      </w:r>
    </w:p>
    <w:p w:rsidR="008F4F73" w:rsidRPr="008F4F73" w:rsidRDefault="008F4F73" w:rsidP="008F4F73">
      <w:pPr>
        <w:pStyle w:val="AERbulletlistfirststyle"/>
      </w:pPr>
      <w:r w:rsidRPr="008F4F73">
        <w:t>The Wright specification of the CAPM, and return on equity estimates from broker and valuation reports, are relevant material that can inform return on equity estimation.</w:t>
      </w:r>
    </w:p>
    <w:p w:rsidR="008F4F73" w:rsidRPr="008F4F73" w:rsidRDefault="008F4F73" w:rsidP="008F4F73">
      <w:r w:rsidRPr="008F4F73">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sidRPr="008F4F73">
        <w:rPr>
          <w:rStyle w:val="FootnoteReference"/>
        </w:rPr>
        <w:footnoteReference w:id="157"/>
      </w:r>
      <w:r w:rsidRPr="008F4F73">
        <w:t xml:space="preserve"> while others submitted that these parameters should be lower.</w:t>
      </w:r>
      <w:r w:rsidRPr="008F4F73">
        <w:rPr>
          <w:rStyle w:val="FootnoteReference"/>
        </w:rPr>
        <w:footnoteReference w:id="158"/>
      </w:r>
    </w:p>
    <w:p w:rsidR="008F4F73" w:rsidRPr="008F4F73" w:rsidRDefault="008F4F73" w:rsidP="008F4F73">
      <w:r w:rsidRPr="008F4F73">
        <w:t>Origin Energy submitted that we have adopted a balanced and pragmatic approach that provides certain and predictable outcomes for investors and provides a balance between the views of consumer groups and the network businesses.</w:t>
      </w:r>
      <w:r w:rsidRPr="008F4F73">
        <w:rPr>
          <w:rStyle w:val="FootnoteReference"/>
        </w:rPr>
        <w:footnoteReference w:id="159"/>
      </w:r>
      <w:r w:rsidRPr="008F4F73">
        <w:t xml:space="preserve"> AGL submitted support for our Rate of Return Guideline as an equitable balance between the interests of the distribution networks and energy consumers.</w:t>
      </w:r>
      <w:r w:rsidRPr="008F4F73">
        <w:rPr>
          <w:rStyle w:val="FootnoteReference"/>
        </w:rPr>
        <w:footnoteReference w:id="160"/>
      </w:r>
      <w:r w:rsidRPr="008F4F73">
        <w:t xml:space="preserve"> The Energy Users Coalition of Victoria (EUCV) noted that consumers have accepted the guideline as being equitable and appropriate.</w:t>
      </w:r>
      <w:r w:rsidRPr="008F4F73">
        <w:rPr>
          <w:rStyle w:val="FootnoteReference"/>
        </w:rPr>
        <w:footnoteReference w:id="161"/>
      </w:r>
      <w:r w:rsidRPr="008F4F73">
        <w:t xml:space="preserve"> The Consumer Challenger Panel (sub-panel 3) (CCP3) noted that the AER should continue to apply the return on equity methodology set out in the Guideline because the regulated businesses have not provided sufficient reasons to move away from it.</w:t>
      </w:r>
      <w:r w:rsidRPr="008F4F73">
        <w:rPr>
          <w:rStyle w:val="FootnoteReference"/>
        </w:rPr>
        <w:footnoteReference w:id="162"/>
      </w:r>
    </w:p>
    <w:p w:rsidR="008F4F73" w:rsidRPr="008F4F73" w:rsidRDefault="008F4F73" w:rsidP="008F4F73">
      <w:r w:rsidRPr="008F4F73">
        <w:t>While there was general support for our parameter estimates, consumer groups also submitted that these parameter estimates reflect a 'cumulative conservatism' that may result in over-estimating the return on equity.</w:t>
      </w:r>
      <w:r w:rsidRPr="008F4F73">
        <w:rPr>
          <w:rStyle w:val="FootnoteReference"/>
        </w:rPr>
        <w:t xml:space="preserve"> </w:t>
      </w:r>
      <w:r w:rsidRPr="008F4F73">
        <w:rPr>
          <w:rStyle w:val="FootnoteReference"/>
        </w:rPr>
        <w:footnoteReference w:id="163"/>
      </w:r>
      <w:r w:rsidRPr="008F4F73">
        <w:t xml:space="preserve"> However, in supporting our parameter estimates, consumer groups submitted that they valued the predictability and transparency resulting from the application of our Guideline and foundation model approach.</w:t>
      </w:r>
      <w:r w:rsidRPr="008F4F73">
        <w:rPr>
          <w:rStyle w:val="FootnoteReference"/>
        </w:rPr>
        <w:footnoteReference w:id="164"/>
      </w:r>
    </w:p>
    <w:p w:rsidR="008F4F73" w:rsidRPr="008F4F73" w:rsidRDefault="008F4F73" w:rsidP="008F4F73">
      <w:pPr>
        <w:numPr>
          <w:ilvl w:val="0"/>
          <w:numId w:val="24"/>
        </w:numPr>
      </w:pPr>
      <w:r w:rsidRPr="008F4F73">
        <w:t>Service providers disagreed with us on the relative merits of relevant material, as well as some of our methodological choices, submitting that:</w:t>
      </w:r>
    </w:p>
    <w:p w:rsidR="008F4F73" w:rsidRPr="008F4F73" w:rsidRDefault="008F4F73" w:rsidP="008F4F73">
      <w:pPr>
        <w:pStyle w:val="AERbulletlistfirststyle"/>
      </w:pPr>
      <w:r w:rsidRPr="008F4F73">
        <w:t>The Black CAPM, Fama-French model, and dividend growth model can reliably inform an overall return on equity estimate and compensate for biases existing in the Sharpe-Lintner CAPM.</w:t>
      </w:r>
    </w:p>
    <w:p w:rsidR="008F4F73" w:rsidRPr="008F4F73" w:rsidRDefault="008F4F73" w:rsidP="008F4F73">
      <w:pPr>
        <w:pStyle w:val="AERbulletlistfirststyle"/>
      </w:pPr>
      <w:r w:rsidRPr="008F4F73">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8F4F73" w:rsidRPr="008F4F73" w:rsidRDefault="008F4F73" w:rsidP="008F4F73">
      <w:pPr>
        <w:pStyle w:val="AERbulletlistfirststyle"/>
      </w:pPr>
      <w:r w:rsidRPr="008F4F73">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sidRPr="008F4F73">
        <w:rPr>
          <w:rStyle w:val="FootnoteReference"/>
        </w:rPr>
        <w:footnoteReference w:id="165"/>
      </w:r>
      <w:r w:rsidRPr="008F4F73">
        <w:t xml:space="preserve"> and our application of the theory of the Black CAPM should be quantified.</w:t>
      </w:r>
    </w:p>
    <w:p w:rsidR="008F4F73" w:rsidRPr="008F4F73" w:rsidRDefault="008F4F73" w:rsidP="008F4F73">
      <w:pPr>
        <w:pStyle w:val="AERbulletlistfirststyle"/>
      </w:pPr>
      <w:r w:rsidRPr="008F4F73">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8F4F73" w:rsidRPr="008F4F73" w:rsidRDefault="008F4F73" w:rsidP="008F4F73">
      <w:pPr>
        <w:pStyle w:val="AERbulletlistfirststyle"/>
        <w:rPr>
          <w:rStyle w:val="AERtexthighlight"/>
          <w:shd w:val="clear" w:color="auto" w:fill="auto"/>
        </w:rPr>
      </w:pPr>
      <w:r w:rsidRPr="008F4F73">
        <w:rPr>
          <w:rStyle w:val="AERtexthighlight"/>
          <w:shd w:val="clear" w:color="auto" w:fill="auto"/>
        </w:rPr>
        <w:t>Our foundation model approach follows movements in the risk free rate too closely, resulting in a return that is too low in the current market.</w:t>
      </w:r>
    </w:p>
    <w:p w:rsidR="008F4F73" w:rsidRPr="008F4F73" w:rsidRDefault="008F4F73" w:rsidP="008F4F73">
      <w:pPr>
        <w:numPr>
          <w:ilvl w:val="0"/>
          <w:numId w:val="24"/>
        </w:numPr>
      </w:pPr>
      <w:r w:rsidRPr="008F4F73">
        <w:t xml:space="preserve">These issues are discussed in turn below. We are not satisfied that any information submitted to us indicates that a departure from the Guideline would contribute to the achievement of the </w:t>
      </w:r>
      <w:r w:rsidR="0068661A">
        <w:t>ARORO</w:t>
      </w:r>
      <w:r w:rsidRPr="008F4F73">
        <w:t xml:space="preserve">. In addition to the reasons outlined in the subsections below, we consider the importance placed by all stakeholders on predictability and transparency is important to contribute to the achievement of the </w:t>
      </w:r>
      <w:r w:rsidR="0068661A">
        <w:t>ARORO</w:t>
      </w:r>
      <w:r w:rsidRPr="008F4F73">
        <w:t>.</w:t>
      </w:r>
      <w:r w:rsidRPr="008F4F73">
        <w:rPr>
          <w:rStyle w:val="FootnoteReference"/>
        </w:rPr>
        <w:footnoteReference w:id="166"/>
      </w:r>
    </w:p>
    <w:p w:rsidR="008F4F73" w:rsidRPr="008F4F73" w:rsidRDefault="008F4F73" w:rsidP="008F4F73">
      <w:pPr>
        <w:pStyle w:val="HeadingBoldBlue"/>
        <w:numPr>
          <w:ilvl w:val="0"/>
          <w:numId w:val="24"/>
        </w:numPr>
        <w:rPr>
          <w:rStyle w:val="AERtextorange"/>
        </w:rPr>
      </w:pPr>
      <w:bookmarkStart w:id="62" w:name="_Toc443923181"/>
      <w:r w:rsidRPr="008F4F73">
        <w:rPr>
          <w:rStyle w:val="AERtextorange"/>
        </w:rPr>
        <w:t>Services providers' proposed multi-model approach</w:t>
      </w:r>
      <w:bookmarkEnd w:id="62"/>
    </w:p>
    <w:p w:rsidR="008F4F73" w:rsidRPr="008F4F73" w:rsidRDefault="008F4F73" w:rsidP="008F4F73">
      <w:r w:rsidRPr="008F4F73">
        <w:t>Our return on equity estimate of 7.</w:t>
      </w:r>
      <w:r w:rsidR="00334901">
        <w:t>1</w:t>
      </w:r>
      <w:r w:rsidRPr="008F4F73">
        <w:t xml:space="preserve"> per cent is derived from our application of the Sharpe-Lintner CAPM as our foundation model. We consider the Sharpe-Lintner CAPM is the best model for estimating the efficient costs of equity financing because it:</w:t>
      </w:r>
    </w:p>
    <w:p w:rsidR="008F4F73" w:rsidRPr="008F4F73" w:rsidRDefault="008F4F73" w:rsidP="008F4F73">
      <w:pPr>
        <w:pStyle w:val="AERbulletlistfirststyle"/>
      </w:pPr>
      <w:r w:rsidRPr="008F4F73">
        <w:t>transparently presents the key risk and reward trade-off</w:t>
      </w:r>
      <w:r w:rsidRPr="008F4F73">
        <w:rPr>
          <w:rStyle w:val="FootnoteReference"/>
        </w:rPr>
        <w:footnoteReference w:id="167"/>
      </w:r>
      <w:r w:rsidRPr="008F4F73">
        <w:t xml:space="preserve"> that is at the heart of our task</w:t>
      </w:r>
      <w:r w:rsidRPr="008F4F73">
        <w:rPr>
          <w:rStyle w:val="FootnoteReference"/>
        </w:rPr>
        <w:footnoteReference w:id="168"/>
      </w:r>
    </w:p>
    <w:p w:rsidR="008F4F73" w:rsidRPr="008F4F73" w:rsidRDefault="008F4F73" w:rsidP="008F4F73">
      <w:pPr>
        <w:pStyle w:val="AERbulletlistfirststyle"/>
      </w:pPr>
      <w:r w:rsidRPr="008F4F73">
        <w:t>is widely and consistently used for estimating the expected return on equity by financial market practitioners, academics, and other regulators</w:t>
      </w:r>
      <w:r w:rsidRPr="008F4F73">
        <w:rPr>
          <w:rStyle w:val="FootnoteReference"/>
        </w:rPr>
        <w:footnoteReference w:id="169"/>
      </w:r>
    </w:p>
    <w:p w:rsidR="008F4F73" w:rsidRPr="008F4F73" w:rsidRDefault="008F4F73" w:rsidP="008F4F73">
      <w:pPr>
        <w:pStyle w:val="AERbulletlistfirststyle"/>
      </w:pPr>
      <w:r w:rsidRPr="008F4F73">
        <w:t>has well-accepted and unbiased methods for estimating its parameters, and these parameters can be estimated with tolerable accuracy, unlike the alternative models proposed by service providers.</w:t>
      </w:r>
    </w:p>
    <w:p w:rsidR="008F4F73" w:rsidRPr="008F4F73" w:rsidRDefault="008F4F73" w:rsidP="008F4F73">
      <w:r w:rsidRPr="008F4F73">
        <w:t>Our consultants have also agreed with our use of the Sharpe-Lintner CAPM as the foundation model. Handley stated:</w:t>
      </w:r>
      <w:r w:rsidRPr="008F4F73">
        <w:rPr>
          <w:rStyle w:val="FootnoteReference"/>
        </w:rPr>
        <w:footnoteReference w:id="170"/>
      </w:r>
    </w:p>
    <w:p w:rsidR="008F4F73" w:rsidRPr="008F4F73" w:rsidRDefault="008F4F73" w:rsidP="008F4F73">
      <w:pPr>
        <w:pStyle w:val="AERquote"/>
      </w:pPr>
      <w:r w:rsidRPr="008F4F73">
        <w:t>[t]he AER's choice of the Sharpe-CAPM as foundation model is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w:t>
      </w:r>
    </w:p>
    <w:p w:rsidR="008F4F73" w:rsidRPr="008F4F73" w:rsidRDefault="008F4F73" w:rsidP="008F4F73">
      <w:r w:rsidRPr="008F4F73">
        <w:t>McKenzie and Partington indicated with respect to the Sharpe–Lintner CAPM:</w:t>
      </w:r>
      <w:r w:rsidRPr="008F4F73">
        <w:rPr>
          <w:rStyle w:val="FootnoteReference"/>
        </w:rPr>
        <w:footnoteReference w:id="171"/>
      </w:r>
    </w:p>
    <w:p w:rsidR="008F4F73" w:rsidRPr="008F4F73" w:rsidRDefault="008F4F73" w:rsidP="008F4F73">
      <w:pPr>
        <w:pStyle w:val="AERquote"/>
      </w:pPr>
      <w:r w:rsidRPr="008F4F73">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8F4F73" w:rsidRPr="008F4F73" w:rsidRDefault="008F4F73" w:rsidP="008F4F73">
      <w:r w:rsidRPr="008F4F73">
        <w:t xml:space="preserve">Since publishing our Guideline service providers have submitted that the use of additional models 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  </w:t>
      </w:r>
    </w:p>
    <w:p w:rsidR="008F4F73" w:rsidRPr="008F4F73" w:rsidRDefault="008F4F73" w:rsidP="008F4F73">
      <w:r w:rsidRPr="008F4F73">
        <w:t xml:space="preserve">We consider the relative merits of this material in detail in section </w:t>
      </w:r>
      <w:r w:rsidR="00334901">
        <w:fldChar w:fldCharType="begin"/>
      </w:r>
      <w:r w:rsidR="00334901">
        <w:instrText xml:space="preserve"> REF _Ref451691802 \r \h </w:instrText>
      </w:r>
      <w:r w:rsidR="00334901">
        <w:fldChar w:fldCharType="separate"/>
      </w:r>
      <w:r w:rsidR="000230CB">
        <w:t>B</w:t>
      </w:r>
      <w:r w:rsidR="00334901">
        <w:fldChar w:fldCharType="end"/>
      </w:r>
      <w:r w:rsidR="00334901">
        <w:t xml:space="preserve"> </w:t>
      </w:r>
      <w:r w:rsidRPr="008F4F73">
        <w:t>of this attachment. In summary, we consider that the models other than the Sharpe-Lintner CAPM are too unreliable and at risk of potential bias to be relied upon. Given the limitations of the other equity models proposed by the service providers, we consider that:</w:t>
      </w:r>
    </w:p>
    <w:p w:rsidR="008F4F73" w:rsidRPr="008F4F73" w:rsidRDefault="008F4F73" w:rsidP="008F4F73">
      <w:pPr>
        <w:pStyle w:val="AERbulletlistfirststyle"/>
      </w:pPr>
      <w:r w:rsidRPr="008F4F73">
        <w:t>These models should not form part of our foundation model approach, either as the sole model or as part of a multi-model approach.</w:t>
      </w:r>
    </w:p>
    <w:p w:rsidR="008F4F73" w:rsidRPr="008F4F73" w:rsidRDefault="008F4F73" w:rsidP="008F4F73">
      <w:pPr>
        <w:pStyle w:val="AERbulletlistfirststyle"/>
      </w:pPr>
      <w:r w:rsidRPr="008F4F73">
        <w:t>The Wright approach, the dividend growth model, and the theory underpinning the Black CAPM may provide some (albeit limited) insights. This material has been used to inform our overall return on equity estimate (Wright) or the estimation of Sharpe-Lintner CAPM parameters (Black CAPM and dividend growth model).</w:t>
      </w:r>
      <w:r w:rsidRPr="008F4F73">
        <w:rPr>
          <w:rStyle w:val="FootnoteReference"/>
        </w:rPr>
        <w:footnoteReference w:id="172"/>
      </w:r>
    </w:p>
    <w:p w:rsidR="008F4F73" w:rsidRPr="008F4F73" w:rsidRDefault="008F4F73" w:rsidP="008F4F73">
      <w:pPr>
        <w:pStyle w:val="AERbulletlistfirststyle"/>
      </w:pPr>
      <w:r w:rsidRPr="008F4F73">
        <w:t xml:space="preserve">The Fama-French model and historical specification of the Sharpe-Lintner CAPM should not be used to inform our return on equity estimate in any capacity. </w:t>
      </w:r>
    </w:p>
    <w:p w:rsidR="008F4F73" w:rsidRPr="008F4F73" w:rsidRDefault="008F4F73" w:rsidP="008F4F73">
      <w:r w:rsidRPr="008F4F73">
        <w:t>Consumers and other stakeholders generally supported our use of the Sharp-Lintner CAPM and our foundation model approach.</w:t>
      </w:r>
      <w:r w:rsidRPr="008F4F73">
        <w:rPr>
          <w:rStyle w:val="FootnoteReference"/>
        </w:rPr>
        <w:footnoteReference w:id="173"/>
      </w:r>
      <w:r w:rsidRPr="008F4F73">
        <w:t xml:space="preserve"> </w:t>
      </w:r>
    </w:p>
    <w:p w:rsidR="008F4F73" w:rsidRPr="008F4F73" w:rsidRDefault="008F4F73" w:rsidP="008F4F73">
      <w:r w:rsidRPr="008F4F73">
        <w:t>Service providers generally expressed preference towards estimating the return on equity by combining estimates from the Sharpe-Lintner CAPM, Black CAPM, Fama-French model, and dividend growth model (the multi model approach).</w:t>
      </w:r>
      <w:r w:rsidRPr="008F4F73">
        <w:rPr>
          <w:rStyle w:val="FootnoteReference"/>
        </w:rPr>
        <w:footnoteReference w:id="174"/>
      </w:r>
      <w:r w:rsidRPr="008F4F73">
        <w:t xml:space="preserve"> </w:t>
      </w:r>
    </w:p>
    <w:p w:rsidR="008F4F73" w:rsidRPr="008F4F73" w:rsidRDefault="008F4F73" w:rsidP="008F4F73">
      <w:r w:rsidRPr="008F4F73">
        <w:t>Service providers also expressed a second preference for an alternative implementation of the Sharpe-Lintner CAPM, in which the equity beta is increased to account for the low-beta and book-to-market biases using outputs from the Black CAPM and the Fama-French model respectively.</w:t>
      </w:r>
      <w:r w:rsidRPr="008F4F73">
        <w:rPr>
          <w:rStyle w:val="FootnoteReference"/>
        </w:rPr>
        <w:footnoteReference w:id="175"/>
      </w:r>
      <w:r w:rsidRPr="008F4F73">
        <w:t xml:space="preserve"> However, we consider that Frontier's Sharpe-Lintner CAPM appears to be effectively another multi-model approach, applying a 75 per cent weight to the return on equity estimate from its Black CAPM and 25 per cent weight to its Fama-French model estimate.</w:t>
      </w:r>
      <w:r w:rsidRPr="008F4F73">
        <w:rPr>
          <w:rStyle w:val="FootnoteReference"/>
        </w:rPr>
        <w:footnoteReference w:id="176"/>
      </w:r>
      <w:r w:rsidRPr="008F4F73">
        <w:t xml:space="preserve"> </w:t>
      </w:r>
    </w:p>
    <w:p w:rsidR="008F4F73" w:rsidRPr="008F4F73" w:rsidRDefault="008F4F73" w:rsidP="008F4F73">
      <w:r w:rsidRPr="008F4F73">
        <w:t>The service providers submit that either approach better reflects efficient costs of equity financing, and that our foundation model approach results in an estimate of the required return on equity that is too low.</w:t>
      </w:r>
      <w:r w:rsidRPr="008F4F73">
        <w:rPr>
          <w:rStyle w:val="FootnoteReference"/>
        </w:rPr>
        <w:t xml:space="preserve"> </w:t>
      </w:r>
      <w:r w:rsidRPr="008F4F73">
        <w:rPr>
          <w:rStyle w:val="FootnoteReference"/>
        </w:rPr>
        <w:footnoteReference w:id="177"/>
      </w:r>
      <w:r w:rsidRPr="008F4F73">
        <w:t xml:space="preserve"> </w:t>
      </w:r>
    </w:p>
    <w:p w:rsidR="008F4F73" w:rsidRPr="008F4F73" w:rsidRDefault="008F4F73" w:rsidP="008F4F73">
      <w:pPr>
        <w:numPr>
          <w:ilvl w:val="0"/>
          <w:numId w:val="24"/>
        </w:numPr>
      </w:pPr>
      <w:r w:rsidRPr="008F4F73">
        <w:t>We note that service providers have raised similar arguments in previous submissions and revenue determinations.</w:t>
      </w:r>
      <w:r w:rsidRPr="008F4F73">
        <w:rPr>
          <w:rStyle w:val="FootnoteReference"/>
        </w:rPr>
        <w:t xml:space="preserve"> </w:t>
      </w:r>
      <w:r w:rsidRPr="008F4F73">
        <w:rPr>
          <w:rStyle w:val="FootnoteReference"/>
        </w:rPr>
        <w:footnoteReference w:id="178"/>
      </w:r>
      <w:r w:rsidRPr="008F4F73">
        <w:t xml:space="preserve"> They effectively revolve around the following claims: </w:t>
      </w:r>
    </w:p>
    <w:p w:rsidR="008F4F73" w:rsidRPr="008F4F73" w:rsidRDefault="008F4F73" w:rsidP="008F4F73">
      <w:pPr>
        <w:pStyle w:val="AERbulletlistfirststyle"/>
      </w:pPr>
      <w:r w:rsidRPr="008F4F73">
        <w:t>That empirical evidence shows that the Sharpe-Lintner CAPM is downwardly biased and that there are alternative models available that can reliably address these biases,</w:t>
      </w:r>
      <w:r w:rsidRPr="008F4F73">
        <w:rPr>
          <w:rStyle w:val="FootnoteReference"/>
        </w:rPr>
        <w:footnoteReference w:id="179"/>
      </w:r>
      <w:r w:rsidRPr="008F4F73">
        <w:t xml:space="preserve">  specifically:</w:t>
      </w:r>
    </w:p>
    <w:p w:rsidR="008F4F73" w:rsidRPr="008F4F73" w:rsidRDefault="008F4F73" w:rsidP="008F4F73">
      <w:pPr>
        <w:pStyle w:val="AERbulletlistsecondstyle"/>
      </w:pPr>
      <w:r w:rsidRPr="008F4F73">
        <w:t xml:space="preserve">the Black CAPM can address low beta bias in the Sharpe-Lintner CAPM (a tendency for the Sharpe-Lintner CAPM to estimate a downwardly-biased return on equity for stocks with an equity beta less than one), and </w:t>
      </w:r>
    </w:p>
    <w:p w:rsidR="008F4F73" w:rsidRPr="008F4F73" w:rsidRDefault="008F4F73" w:rsidP="008F4F73">
      <w:pPr>
        <w:pStyle w:val="AERbulletlistsecondstyle"/>
      </w:pPr>
      <w:r w:rsidRPr="008F4F73">
        <w:t>the Fama-French model can address book-to-market bias in the Sharpe-Lintner CAPM (a tendency for the Sharpe-Lintner CAPM to estimate a downwardly-biased return on equity for stocks with low book-to-market ratios)</w:t>
      </w:r>
    </w:p>
    <w:p w:rsidR="008F4F73" w:rsidRPr="008F4F73" w:rsidRDefault="008F4F73" w:rsidP="008F4F73">
      <w:pPr>
        <w:pStyle w:val="AERbulletlistfirststyle"/>
      </w:pPr>
      <w:r w:rsidRPr="008F4F73">
        <w:t xml:space="preserve">The dividend growth model more accurately and reliably reflects investors' prevailing required return on equity, and provides a better consideration of prevailing market conditions, than the Sharpe-Lintner CAPM. </w:t>
      </w:r>
    </w:p>
    <w:p w:rsidR="008F4F73" w:rsidRPr="008F4F73" w:rsidRDefault="008F4F73" w:rsidP="008F4F73">
      <w:pPr>
        <w:numPr>
          <w:ilvl w:val="0"/>
          <w:numId w:val="24"/>
        </w:numPr>
      </w:pPr>
      <w:r w:rsidRPr="008F4F73">
        <w:t>In their revised proposals, services providers provided new expert reports from Frontier and HoustonKemp to further support their views.</w:t>
      </w:r>
      <w:r w:rsidRPr="008F4F73">
        <w:rPr>
          <w:rStyle w:val="FootnoteReference"/>
        </w:rPr>
        <w:footnoteReference w:id="180"/>
      </w:r>
    </w:p>
    <w:p w:rsidR="008F4F73" w:rsidRPr="008F4F73" w:rsidRDefault="008F4F73" w:rsidP="008F4F73">
      <w:pPr>
        <w:numPr>
          <w:ilvl w:val="0"/>
          <w:numId w:val="24"/>
        </w:numPr>
      </w:pPr>
      <w:r w:rsidRPr="008F4F73">
        <w:t>We are not satisfied that the service providers' proposed application of other equity models</w:t>
      </w:r>
      <w:r w:rsidRPr="008F4F73">
        <w:rPr>
          <w:rStyle w:val="FootnoteReference"/>
        </w:rPr>
        <w:footnoteReference w:id="181"/>
      </w:r>
      <w:r w:rsidRPr="008F4F73">
        <w:t xml:space="preserve"> will result in a return on equity that is commensurate with efficient financing costs (given the risk of </w:t>
      </w:r>
      <w:r w:rsidR="00A37246">
        <w:t>AGN</w:t>
      </w:r>
      <w:r w:rsidRPr="008F4F73">
        <w:t>'s regulated services).</w:t>
      </w:r>
      <w:r w:rsidRPr="008F4F73">
        <w:rPr>
          <w:rStyle w:val="FootnoteReference"/>
        </w:rPr>
        <w:footnoteReference w:id="182"/>
      </w:r>
      <w:r w:rsidRPr="008F4F73">
        <w:t xml:space="preserve"> We consider there is overwhelming evidence that the Sharpe-Lintner CAPM is the current standard-bearer for estimating expected equity returns. </w:t>
      </w:r>
    </w:p>
    <w:p w:rsidR="008F4F73" w:rsidRPr="008F4F73" w:rsidRDefault="008F4F73" w:rsidP="008F4F73">
      <w:pPr>
        <w:numPr>
          <w:ilvl w:val="0"/>
          <w:numId w:val="24"/>
        </w:numPr>
      </w:pPr>
      <w:r w:rsidRPr="008F4F73">
        <w:t>Our consultant, Partington and Satchell, noted that the 'SLCAPM remains the premier model used to estimate the cost of capital in practice, by both industry and regulators' and has wide agreement as 'a model of equilibrium expected returns'.</w:t>
      </w:r>
      <w:r w:rsidRPr="008F4F73">
        <w:rPr>
          <w:rStyle w:val="FootnoteReference"/>
        </w:rPr>
        <w:footnoteReference w:id="183"/>
      </w:r>
    </w:p>
    <w:p w:rsidR="008F4F73" w:rsidRPr="008F4F73" w:rsidRDefault="008F4F73" w:rsidP="008F4F73">
      <w:pPr>
        <w:numPr>
          <w:ilvl w:val="0"/>
          <w:numId w:val="24"/>
        </w:numPr>
      </w:pPr>
      <w:r w:rsidRPr="008F4F73">
        <w:t>Partington and Satchell also noted that the parsimony and observability of the Sharpe–Lintner CAPM 'reduces opportunities for cherry picking and also provides the opportunity for a relatively transparent implementation'.</w:t>
      </w:r>
      <w:r w:rsidRPr="008F4F73">
        <w:rPr>
          <w:rStyle w:val="FootnoteReference"/>
        </w:rPr>
        <w:footnoteReference w:id="184"/>
      </w:r>
    </w:p>
    <w:p w:rsidR="008F4F73" w:rsidRPr="008F4F73" w:rsidRDefault="008F4F73" w:rsidP="008F4F73">
      <w:pPr>
        <w:numPr>
          <w:ilvl w:val="0"/>
          <w:numId w:val="24"/>
        </w:numPr>
        <w:rPr>
          <w:rStyle w:val="AERbody"/>
        </w:rPr>
      </w:pPr>
      <w:r w:rsidRPr="008F4F73">
        <w:rPr>
          <w:rStyle w:val="AERbody"/>
        </w:rPr>
        <w:t xml:space="preserve">We do not agree that our application of the Sharpe-Lintner CAPM, given our choice of appropriate parameters, is downwardly biased for either low beta bias or book-to-market bias. We do not consider that reliable estimates of the return on equity can be derived from the Black CAPM, Fama-French model, or dividend growth model. </w:t>
      </w:r>
    </w:p>
    <w:p w:rsidR="008F4F73" w:rsidRPr="008F4F73" w:rsidRDefault="008F4F73" w:rsidP="008F4F73">
      <w:pPr>
        <w:numPr>
          <w:ilvl w:val="0"/>
          <w:numId w:val="24"/>
        </w:numPr>
      </w:pPr>
      <w:r w:rsidRPr="008F4F73">
        <w:t>We have considered and responded to these issues and the associated supporting material in our previous decisions.</w:t>
      </w:r>
      <w:r w:rsidRPr="008F4F73">
        <w:rPr>
          <w:rStyle w:val="FootnoteReference"/>
        </w:rPr>
        <w:footnoteReference w:id="185"/>
      </w:r>
      <w:r w:rsidRPr="008F4F73">
        <w:t xml:space="preserve"> That reasoning remains valid here. We respond to each of the issues raised in </w:t>
      </w:r>
      <w:r w:rsidRPr="008F4F73">
        <w:fldChar w:fldCharType="begin"/>
      </w:r>
      <w:r w:rsidRPr="008F4F73">
        <w:instrText xml:space="preserve"> REF  _Ref446349201 \* Lower \h </w:instrText>
      </w:r>
      <w:r w:rsidRPr="008F4F73">
        <w:fldChar w:fldCharType="separate"/>
      </w:r>
      <w:r w:rsidR="000230CB" w:rsidRPr="008F4F73">
        <w:t xml:space="preserve">table </w:t>
      </w:r>
      <w:r w:rsidR="000230CB">
        <w:rPr>
          <w:noProof/>
        </w:rPr>
        <w:t>3</w:t>
      </w:r>
      <w:r w:rsidR="000230CB" w:rsidRPr="008F4F73">
        <w:noBreakHyphen/>
      </w:r>
      <w:r w:rsidR="000230CB">
        <w:rPr>
          <w:noProof/>
        </w:rPr>
        <w:t>4</w:t>
      </w:r>
      <w:r w:rsidRPr="008F4F73">
        <w:fldChar w:fldCharType="end"/>
      </w:r>
      <w:r w:rsidRPr="008F4F73">
        <w:t>.</w:t>
      </w:r>
    </w:p>
    <w:p w:rsidR="008F4F73" w:rsidRPr="008F4F73" w:rsidRDefault="008F4F73" w:rsidP="008F4F73">
      <w:pPr>
        <w:rPr>
          <w:rStyle w:val="AERbody"/>
        </w:rPr>
      </w:pPr>
      <w:r w:rsidRPr="008F4F73">
        <w:rPr>
          <w:rStyle w:val="AERbody"/>
        </w:rPr>
        <w:t>We also note that our consideration of the relative merits of the Sharpe-Lintner CAPM, Black CAPM, Fama-French model, and dividend growth model are supported by the widespread use of the Sharpe-Lintner CAPM over the other models by market participants including brokers, valuers, and other regulators.</w:t>
      </w:r>
      <w:r w:rsidRPr="008F4F73">
        <w:rPr>
          <w:rStyle w:val="FootnoteReference"/>
        </w:rPr>
        <w:footnoteReference w:id="186"/>
      </w:r>
      <w:r w:rsidRPr="008F4F73">
        <w:rPr>
          <w:rStyle w:val="AERbody"/>
        </w:rPr>
        <w:t xml:space="preserve"> </w:t>
      </w:r>
      <w:r w:rsidRPr="008F4F73">
        <w:t xml:space="preserve">Further, our application of the Sharpe-Lintner CAPM in our foundation model approach and our return on equity estimate are supported by a range of relevant material including market-based evidence (see </w:t>
      </w:r>
      <w:r w:rsidRPr="008F4F73">
        <w:rPr>
          <w:rStyle w:val="AERbody"/>
        </w:rPr>
        <w:t>'</w:t>
      </w:r>
      <w:r w:rsidRPr="008F4F73">
        <w:rPr>
          <w:rStyle w:val="AERbody"/>
        </w:rPr>
        <w:fldChar w:fldCharType="begin"/>
      </w:r>
      <w:r w:rsidRPr="008F4F73">
        <w:rPr>
          <w:rStyle w:val="AERbody"/>
        </w:rPr>
        <w:instrText xml:space="preserve"> REF _Ref446347167 \h  \* MERGEFORMAT </w:instrText>
      </w:r>
      <w:r w:rsidRPr="008F4F73">
        <w:rPr>
          <w:rStyle w:val="AERbody"/>
        </w:rPr>
      </w:r>
      <w:r w:rsidRPr="008F4F73">
        <w:rPr>
          <w:rStyle w:val="AERbody"/>
        </w:rPr>
        <w:fldChar w:fldCharType="separate"/>
      </w:r>
      <w:r w:rsidR="000230CB" w:rsidRPr="00DB4FCE">
        <w:rPr>
          <w:rStyle w:val="AERbody"/>
        </w:rPr>
        <w:t>The overall return on equity</w:t>
      </w:r>
      <w:r w:rsidRPr="008F4F73">
        <w:rPr>
          <w:rStyle w:val="AERbody"/>
        </w:rPr>
        <w:fldChar w:fldCharType="end"/>
      </w:r>
      <w:r w:rsidRPr="008F4F73">
        <w:rPr>
          <w:rStyle w:val="AERbody"/>
        </w:rPr>
        <w:t xml:space="preserve">' </w:t>
      </w:r>
      <w:r w:rsidRPr="008F4F73">
        <w:rPr>
          <w:rStyle w:val="AERbody"/>
        </w:rPr>
        <w:fldChar w:fldCharType="begin"/>
      </w:r>
      <w:r w:rsidRPr="008F4F73">
        <w:rPr>
          <w:rStyle w:val="AERbody"/>
        </w:rPr>
        <w:instrText xml:space="preserve"> REF _Ref446347167 \p \h  \* MERGEFORMAT </w:instrText>
      </w:r>
      <w:r w:rsidRPr="008F4F73">
        <w:rPr>
          <w:rStyle w:val="AERbody"/>
        </w:rPr>
      </w:r>
      <w:r w:rsidRPr="008F4F73">
        <w:rPr>
          <w:rStyle w:val="AERbody"/>
        </w:rPr>
        <w:fldChar w:fldCharType="separate"/>
      </w:r>
      <w:r w:rsidR="000230CB">
        <w:rPr>
          <w:rStyle w:val="AERbody"/>
        </w:rPr>
        <w:t>below</w:t>
      </w:r>
      <w:r w:rsidRPr="008F4F73">
        <w:rPr>
          <w:rStyle w:val="AERbody"/>
        </w:rPr>
        <w:fldChar w:fldCharType="end"/>
      </w:r>
      <w:r w:rsidRPr="008F4F73">
        <w:rPr>
          <w:rStyle w:val="AERbody"/>
        </w:rPr>
        <w:t>).</w:t>
      </w:r>
    </w:p>
    <w:p w:rsidR="008F4F73" w:rsidRPr="008F4F73" w:rsidRDefault="008F4F73" w:rsidP="008F4F73">
      <w:pPr>
        <w:pStyle w:val="Caption"/>
      </w:pPr>
      <w:bookmarkStart w:id="63" w:name="_Ref446349201"/>
      <w:r w:rsidRPr="008F4F73">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Pr="008F4F73">
        <w:noBreakHyphen/>
      </w:r>
      <w:r w:rsidR="00527450">
        <w:fldChar w:fldCharType="begin"/>
      </w:r>
      <w:r w:rsidR="00527450">
        <w:instrText xml:space="preserve"> SEQ Table \* ARABIC \s 1 </w:instrText>
      </w:r>
      <w:r w:rsidR="00527450">
        <w:fldChar w:fldCharType="separate"/>
      </w:r>
      <w:r w:rsidR="000230CB">
        <w:rPr>
          <w:noProof/>
        </w:rPr>
        <w:t>4</w:t>
      </w:r>
      <w:r w:rsidR="00527450">
        <w:rPr>
          <w:noProof/>
        </w:rPr>
        <w:fldChar w:fldCharType="end"/>
      </w:r>
      <w:bookmarkEnd w:id="63"/>
      <w:r w:rsidRPr="008F4F73">
        <w:tab/>
        <w:t>Issues raised about our use of equity models</w:t>
      </w:r>
    </w:p>
    <w:tbl>
      <w:tblPr>
        <w:tblStyle w:val="AERtable-text0"/>
        <w:tblW w:w="0" w:type="auto"/>
        <w:tblLook w:val="04A0" w:firstRow="1" w:lastRow="0" w:firstColumn="1" w:lastColumn="0" w:noHBand="0" w:noVBand="1"/>
      </w:tblPr>
      <w:tblGrid>
        <w:gridCol w:w="1809"/>
        <w:gridCol w:w="6884"/>
      </w:tblGrid>
      <w:tr w:rsidR="008F4F73" w:rsidTr="00DB4FCE">
        <w:trPr>
          <w:cnfStyle w:val="100000000000" w:firstRow="1" w:lastRow="0" w:firstColumn="0" w:lastColumn="0" w:oddVBand="0" w:evenVBand="0" w:oddHBand="0" w:evenHBand="0" w:firstRowFirstColumn="0" w:firstRowLastColumn="0" w:lastRowFirstColumn="0" w:lastRowLastColumn="0"/>
          <w:tblHeader/>
        </w:trPr>
        <w:tc>
          <w:tcPr>
            <w:tcW w:w="1809" w:type="dxa"/>
          </w:tcPr>
          <w:p w:rsidR="008F4F73" w:rsidRPr="008F4F73" w:rsidRDefault="008F4F73" w:rsidP="008F4F73">
            <w:r w:rsidRPr="008F4F73">
              <w:t>Issue</w:t>
            </w:r>
          </w:p>
        </w:tc>
        <w:tc>
          <w:tcPr>
            <w:tcW w:w="6884" w:type="dxa"/>
          </w:tcPr>
          <w:p w:rsidR="008F4F73" w:rsidRPr="008F4F73" w:rsidRDefault="008F4F73" w:rsidP="008F4F73">
            <w:r w:rsidRPr="008F4F73">
              <w:t>Summary of our response</w:t>
            </w:r>
          </w:p>
        </w:tc>
      </w:tr>
      <w:tr w:rsidR="008F4F73" w:rsidTr="00987A05">
        <w:tc>
          <w:tcPr>
            <w:tcW w:w="1809" w:type="dxa"/>
          </w:tcPr>
          <w:p w:rsidR="008F4F73" w:rsidRPr="008F4F73" w:rsidRDefault="008F4F73" w:rsidP="008F4F73">
            <w:r w:rsidRPr="008F4F73">
              <w:t>A multi-model approach results in a more reliable estimate of the return on equity than a single-model approach, regardless of the models used.</w:t>
            </w:r>
            <w:r w:rsidRPr="008F4F73">
              <w:rPr>
                <w:rStyle w:val="FootnoteReference"/>
              </w:rPr>
              <w:t xml:space="preserve"> </w:t>
            </w:r>
            <w:r w:rsidRPr="008F4F73">
              <w:rPr>
                <w:rStyle w:val="FootnoteReference"/>
              </w:rPr>
              <w:footnoteReference w:id="187"/>
            </w:r>
          </w:p>
          <w:p w:rsidR="008F4F73" w:rsidRPr="008F4F73" w:rsidRDefault="008F4F73" w:rsidP="008F4F73">
            <w:r w:rsidRPr="008F4F73">
              <w:t>The AER must run the Black CAPM, Fama-French model and dividend growth model in order to have regard to them.</w:t>
            </w:r>
            <w:r w:rsidRPr="008F4F73">
              <w:rPr>
                <w:rStyle w:val="FootnoteReference"/>
              </w:rPr>
              <w:t xml:space="preserve"> </w:t>
            </w:r>
            <w:r w:rsidRPr="008F4F73">
              <w:rPr>
                <w:rStyle w:val="FootnoteReference"/>
              </w:rPr>
              <w:footnoteReference w:id="188"/>
            </w:r>
          </w:p>
        </w:tc>
        <w:tc>
          <w:tcPr>
            <w:tcW w:w="6884" w:type="dxa"/>
          </w:tcPr>
          <w:p w:rsidR="008F4F73" w:rsidRPr="008F4F73" w:rsidRDefault="008F4F73" w:rsidP="008F4F73">
            <w:r w:rsidRPr="008F4F73">
              <w:t>We are not (in principle) averse to a multi-model approach where the models are equally valid for the intended objective.</w:t>
            </w:r>
            <w:r w:rsidRPr="008F4F73">
              <w:rPr>
                <w:rStyle w:val="FootnoteReference"/>
              </w:rPr>
              <w:footnoteReference w:id="189"/>
            </w:r>
            <w:r w:rsidRPr="008F4F73">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8F4F73">
              <w:rPr>
                <w:rStyle w:val="FootnoteReference"/>
              </w:rPr>
              <w:t xml:space="preserve"> </w:t>
            </w:r>
            <w:r w:rsidRPr="008F4F73">
              <w:rPr>
                <w:rStyle w:val="FootnoteReference"/>
              </w:rPr>
              <w:footnoteReference w:id="190"/>
            </w:r>
          </w:p>
          <w:p w:rsidR="008F4F73" w:rsidRPr="008F4F73" w:rsidRDefault="008F4F73" w:rsidP="008F4F73">
            <w:pPr>
              <w:pStyle w:val="Quote"/>
            </w:pPr>
            <w:r w:rsidRPr="008F4F73">
              <w:t>It is by no means assured that more information will result in a better estimate if that information is of poor quality or is downright misleading…it cannot be taken for granted that a number is meaningful without fully understanding the context in which it is estimated.</w:t>
            </w:r>
          </w:p>
          <w:p w:rsidR="008F4F73" w:rsidRPr="008F4F73" w:rsidRDefault="008F4F73" w:rsidP="008F4F73">
            <w:r w:rsidRPr="008F4F73">
              <w:t>Partington and Satchell also cautioned against 'giving these models significant weight in a regulatory setting' due to their weaknesses such as being prone to manipulation and lack of wide-spread use in practice.</w:t>
            </w:r>
            <w:r w:rsidRPr="008F4F73">
              <w:rPr>
                <w:rStyle w:val="FootnoteReference"/>
              </w:rPr>
              <w:footnoteReference w:id="191"/>
            </w:r>
          </w:p>
          <w:p w:rsidR="008F4F73" w:rsidRPr="008F4F73" w:rsidRDefault="008F4F73" w:rsidP="00334901">
            <w:r w:rsidRPr="008F4F73">
              <w:t>For the reasons outlined in the remainder of this table and in section</w:t>
            </w:r>
            <w:r w:rsidR="00334901">
              <w:t xml:space="preserve"> </w:t>
            </w:r>
            <w:r w:rsidR="00334901">
              <w:fldChar w:fldCharType="begin"/>
            </w:r>
            <w:r w:rsidR="00334901">
              <w:instrText xml:space="preserve"> REF _Ref451691802 \r \h </w:instrText>
            </w:r>
            <w:r w:rsidR="00334901">
              <w:fldChar w:fldCharType="separate"/>
            </w:r>
            <w:r w:rsidR="000230CB">
              <w:t>B</w:t>
            </w:r>
            <w:r w:rsidR="00334901">
              <w:fldChar w:fldCharType="end"/>
            </w:r>
            <w:r w:rsidRPr="008F4F73">
              <w:t>, we do not consider that quantitative application of the Black CAPM, Fama-French model or the dividend growth model (for estimating return on equity) would be beneficial. Neither do we consider that it is necessary to run the models to have regard to them.</w:t>
            </w:r>
            <w:r w:rsidRPr="008F4F73">
              <w:rPr>
                <w:rStyle w:val="FootnoteReference"/>
              </w:rPr>
              <w:footnoteReference w:id="192"/>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1809" w:type="dxa"/>
          </w:tcPr>
          <w:p w:rsidR="008F4F73" w:rsidRPr="008F4F73" w:rsidRDefault="008F4F73" w:rsidP="008F4F73">
            <w:r w:rsidRPr="008F4F73">
              <w:t>Use of the Black CAPM can address the Sharpe-Lintner CAPM’s limitation of having low beta bias.</w:t>
            </w:r>
            <w:r w:rsidRPr="008F4F73">
              <w:rPr>
                <w:rStyle w:val="FootnoteReference"/>
              </w:rPr>
              <w:t xml:space="preserve"> </w:t>
            </w:r>
            <w:r w:rsidRPr="008F4F73">
              <w:rPr>
                <w:rStyle w:val="FootnoteReference"/>
              </w:rPr>
              <w:footnoteReference w:id="193"/>
            </w:r>
          </w:p>
        </w:tc>
        <w:tc>
          <w:tcPr>
            <w:tcW w:w="6884" w:type="dxa"/>
          </w:tcPr>
          <w:p w:rsidR="008F4F73" w:rsidRPr="008F4F73" w:rsidRDefault="008F4F73" w:rsidP="008F4F73">
            <w:r w:rsidRPr="008F4F73">
              <w:t>We consider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8F4F73" w:rsidRPr="008F4F73" w:rsidRDefault="008F4F73" w:rsidP="008F4F73">
            <w:r w:rsidRPr="008F4F73">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8F4F73" w:rsidRPr="008F4F73" w:rsidRDefault="008F4F73" w:rsidP="008F4F73">
            <w:r w:rsidRPr="008F4F73">
              <w:t>These views are supported by Partington and Satchell who reiterate concerns with implementing the Black CAPM.</w:t>
            </w:r>
            <w:r w:rsidRPr="008F4F73">
              <w:rPr>
                <w:rStyle w:val="FootnoteReference"/>
              </w:rPr>
              <w:footnoteReference w:id="194"/>
            </w:r>
            <w:r w:rsidRPr="008F4F73">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8F4F73">
              <w:rPr>
                <w:rStyle w:val="FootnoteReference"/>
              </w:rPr>
              <w:footnoteReference w:id="195"/>
            </w:r>
            <w:r w:rsidRPr="008F4F73">
              <w:t xml:space="preserve"> </w:t>
            </w:r>
          </w:p>
          <w:p w:rsidR="008F4F73" w:rsidRPr="008F4F73" w:rsidRDefault="008F4F73" w:rsidP="0034699D">
            <w:r w:rsidRPr="008F4F73">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More detail on our consideration of the Black CAPM is in section </w:t>
            </w:r>
            <w:r w:rsidR="0034699D">
              <w:fldChar w:fldCharType="begin"/>
            </w:r>
            <w:r w:rsidR="0034699D">
              <w:instrText xml:space="preserve"> REF _Ref449007419 \r \h </w:instrText>
            </w:r>
            <w:r w:rsidR="0034699D">
              <w:fldChar w:fldCharType="separate"/>
            </w:r>
            <w:r w:rsidR="000230CB">
              <w:t>B.2</w:t>
            </w:r>
            <w:r w:rsidR="0034699D">
              <w:fldChar w:fldCharType="end"/>
            </w:r>
            <w:r w:rsidR="0034699D">
              <w:t>.</w:t>
            </w:r>
          </w:p>
        </w:tc>
      </w:tr>
      <w:tr w:rsidR="008F4F73" w:rsidTr="00987A05">
        <w:tc>
          <w:tcPr>
            <w:tcW w:w="1809" w:type="dxa"/>
          </w:tcPr>
          <w:p w:rsidR="008F4F73" w:rsidRPr="008F4F73" w:rsidRDefault="008F4F73" w:rsidP="008F4F73">
            <w:r w:rsidRPr="008F4F73">
              <w:t>We have not justified how the selection of input parameters adequately corrects for biased estimates from the Sharpe-Lintner CAPM.</w:t>
            </w:r>
            <w:r w:rsidRPr="008F4F73">
              <w:rPr>
                <w:rStyle w:val="FootnoteReference"/>
              </w:rPr>
              <w:t xml:space="preserve"> </w:t>
            </w:r>
            <w:r w:rsidRPr="008F4F73">
              <w:rPr>
                <w:rStyle w:val="FootnoteReference"/>
              </w:rPr>
              <w:footnoteReference w:id="196"/>
            </w:r>
          </w:p>
        </w:tc>
        <w:tc>
          <w:tcPr>
            <w:tcW w:w="6884" w:type="dxa"/>
          </w:tcPr>
          <w:p w:rsidR="008F4F73" w:rsidRPr="008F4F73" w:rsidRDefault="008F4F73" w:rsidP="008F4F73">
            <w:pPr>
              <w:rPr>
                <w:rStyle w:val="AERtextsize8"/>
              </w:rPr>
            </w:pPr>
            <w:r w:rsidRPr="008F4F73">
              <w:rPr>
                <w:rStyle w:val="AERtextsize8"/>
              </w:rPr>
              <w:t xml:space="preserve">We do not use the theory underlying the Black CAPM to apply a specific uplift to the equity beta. We do not accept that our use of the theory underlying the Black CAPM implies that we consider the Sharpe-Lintner CAPM produces biased return on equity estimates. </w:t>
            </w:r>
          </w:p>
          <w:p w:rsidR="008F4F73" w:rsidRPr="008F4F73" w:rsidRDefault="008F4F73" w:rsidP="00A37246">
            <w:r w:rsidRPr="008F4F73">
              <w:rPr>
                <w:rStyle w:val="AERtextsize8"/>
              </w:rPr>
              <w:t xml:space="preserve">For more detail see sections D.4, D.5.3, and A.2 of Attachment 3 to </w:t>
            </w:r>
            <w:r w:rsidR="00A37246" w:rsidRPr="00A37246">
              <w:t>AGN</w:t>
            </w:r>
            <w:r w:rsidR="00A37246" w:rsidRPr="00A37246">
              <w:rPr>
                <w:rStyle w:val="AERtextsize8"/>
              </w:rPr>
              <w:t xml:space="preserve"> </w:t>
            </w:r>
            <w:r w:rsidRPr="008F4F73">
              <w:rPr>
                <w:rStyle w:val="AERtextsize8"/>
              </w:rPr>
              <w:t>'s draft decision.</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1809" w:type="dxa"/>
          </w:tcPr>
          <w:p w:rsidR="008F4F73" w:rsidRPr="008F4F73" w:rsidRDefault="008F4F73" w:rsidP="008F4F73">
            <w:r w:rsidRPr="008F4F73">
              <w:t>Valuers uplift their return on equity estimates to a larger extent for businesses with a relatively low equity beta.</w:t>
            </w:r>
            <w:r w:rsidRPr="008F4F73">
              <w:rPr>
                <w:rStyle w:val="FootnoteReference"/>
              </w:rPr>
              <w:t xml:space="preserve"> </w:t>
            </w:r>
            <w:r w:rsidRPr="008F4F73">
              <w:rPr>
                <w:rStyle w:val="FootnoteReference"/>
              </w:rPr>
              <w:footnoteReference w:id="197"/>
            </w:r>
            <w:r w:rsidRPr="008F4F73">
              <w:t xml:space="preserve"> Broker reports apply a version of the Black CAPM in practice.</w:t>
            </w:r>
            <w:r w:rsidRPr="008F4F73">
              <w:rPr>
                <w:rStyle w:val="FootnoteReference"/>
              </w:rPr>
              <w:t xml:space="preserve"> </w:t>
            </w:r>
            <w:r w:rsidRPr="008F4F73">
              <w:rPr>
                <w:rStyle w:val="FootnoteReference"/>
              </w:rPr>
              <w:footnoteReference w:id="198"/>
            </w:r>
          </w:p>
        </w:tc>
        <w:tc>
          <w:tcPr>
            <w:tcW w:w="6884" w:type="dxa"/>
          </w:tcPr>
          <w:p w:rsidR="008F4F73" w:rsidRPr="008F4F73" w:rsidRDefault="008F4F73" w:rsidP="008F4F73">
            <w:r w:rsidRPr="008F4F73">
              <w:t>We 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8F4F73" w:rsidRPr="008F4F73" w:rsidRDefault="008F4F73" w:rsidP="008F4F73">
            <w:r w:rsidRPr="008F4F73">
              <w:t xml:space="preserve">For more details, see section E.7 of Attachment 3 to our </w:t>
            </w:r>
            <w:r w:rsidRPr="008F4F73">
              <w:rPr>
                <w:rStyle w:val="AERtextsize8"/>
              </w:rPr>
              <w:t>draft</w:t>
            </w:r>
            <w:r w:rsidRPr="008F4F73">
              <w:t xml:space="preserve"> decision for </w:t>
            </w:r>
            <w:r w:rsidR="00A37246" w:rsidRPr="00A37246">
              <w:t>AGN</w:t>
            </w:r>
            <w:r w:rsidRPr="008F4F73">
              <w:t>.</w:t>
            </w:r>
          </w:p>
        </w:tc>
      </w:tr>
      <w:tr w:rsidR="008F4F73" w:rsidTr="00987A05">
        <w:tc>
          <w:tcPr>
            <w:tcW w:w="1809" w:type="dxa"/>
          </w:tcPr>
          <w:p w:rsidR="008F4F73" w:rsidRPr="008F4F73" w:rsidRDefault="008F4F73" w:rsidP="008F4F73">
            <w:r w:rsidRPr="008F4F73">
              <w:t>Use of the Fama-French model can address the Sharpe-Lintner CAPM’s limitation of having book-to-market bias.</w:t>
            </w:r>
            <w:r w:rsidRPr="008F4F73">
              <w:rPr>
                <w:rStyle w:val="FootnoteReference"/>
              </w:rPr>
              <w:t xml:space="preserve"> </w:t>
            </w:r>
            <w:r w:rsidRPr="008F4F73">
              <w:rPr>
                <w:rStyle w:val="FootnoteReference"/>
              </w:rPr>
              <w:footnoteReference w:id="199"/>
            </w:r>
          </w:p>
        </w:tc>
        <w:tc>
          <w:tcPr>
            <w:tcW w:w="6884" w:type="dxa"/>
          </w:tcPr>
          <w:p w:rsidR="008F4F73" w:rsidRPr="008F4F73" w:rsidRDefault="008F4F73" w:rsidP="008F4F73">
            <w:r w:rsidRPr="008F4F73">
              <w:t>We 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8F4F73" w:rsidRPr="008F4F73" w:rsidRDefault="008F4F73" w:rsidP="008F4F73">
            <w:r w:rsidRPr="008F4F73">
              <w:t>We 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w:t>
            </w:r>
            <w:r w:rsidR="0034699D">
              <w:t xml:space="preserve"> </w:t>
            </w:r>
            <w:r w:rsidR="0034699D">
              <w:fldChar w:fldCharType="begin"/>
            </w:r>
            <w:r w:rsidR="0034699D">
              <w:instrText xml:space="preserve"> REF _Ref449007420 \r \h </w:instrText>
            </w:r>
            <w:r w:rsidR="0034699D">
              <w:fldChar w:fldCharType="separate"/>
            </w:r>
            <w:r w:rsidR="000230CB">
              <w:t>B.3</w:t>
            </w:r>
            <w:r w:rsidR="0034699D">
              <w:fldChar w:fldCharType="end"/>
            </w:r>
            <w:r w:rsidRPr="008F4F73">
              <w:t>.</w:t>
            </w:r>
          </w:p>
          <w:p w:rsidR="008F4F73" w:rsidRPr="008F4F73" w:rsidRDefault="008F4F73" w:rsidP="008F4F73">
            <w:r w:rsidRPr="008F4F73">
              <w:t>Partington and Satchell reiterated that the Fama-French model lack theoretical foundation and is 'still to [gain acceptance] in the world of practice', 'being increasingly questioned'.</w:t>
            </w:r>
            <w:r w:rsidRPr="008F4F73">
              <w:rPr>
                <w:rStyle w:val="FootnoteReference"/>
              </w:rPr>
              <w:footnoteReference w:id="200"/>
            </w:r>
            <w:r w:rsidRPr="008F4F73">
              <w:t xml:space="preserve"> They also noted that this model can be prone to manipulation. </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1809" w:type="dxa"/>
          </w:tcPr>
          <w:p w:rsidR="008F4F73" w:rsidRPr="008F4F73" w:rsidRDefault="008F4F73" w:rsidP="008F4F73">
            <w:r w:rsidRPr="008F4F73">
              <w:t>The Black CAPM and Fama-French model are well-respected and widely used.</w:t>
            </w:r>
            <w:r w:rsidRPr="008F4F73">
              <w:rPr>
                <w:rStyle w:val="FootnoteReference"/>
              </w:rPr>
              <w:t xml:space="preserve"> </w:t>
            </w:r>
            <w:r w:rsidRPr="008F4F73">
              <w:rPr>
                <w:rStyle w:val="FootnoteReference"/>
              </w:rPr>
              <w:footnoteReference w:id="201"/>
            </w:r>
          </w:p>
        </w:tc>
        <w:tc>
          <w:tcPr>
            <w:tcW w:w="6884" w:type="dxa"/>
          </w:tcPr>
          <w:p w:rsidR="008F4F73" w:rsidRPr="008F4F73" w:rsidRDefault="008F4F73" w:rsidP="008F4F73">
            <w:r w:rsidRPr="008F4F73">
              <w:t>We acknowledge that the Black CAPM and Fama-French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8F4F73">
              <w:rPr>
                <w:rStyle w:val="FootnoteReference"/>
              </w:rPr>
              <w:footnoteReference w:id="202"/>
            </w:r>
            <w:r w:rsidRPr="008F4F73">
              <w:t xml:space="preserve"> but we are not aware of any use of these models by Australian regulators.</w:t>
            </w:r>
          </w:p>
          <w:p w:rsidR="008F4F73" w:rsidRPr="008F4F73" w:rsidRDefault="008F4F73" w:rsidP="008F4F73">
            <w:r w:rsidRPr="008F4F73">
              <w:t>Partington and Satchell also noted that these models are not widely used in practice.</w:t>
            </w:r>
            <w:r w:rsidRPr="008F4F73">
              <w:rPr>
                <w:rStyle w:val="FootnoteReference"/>
              </w:rPr>
              <w:footnoteReference w:id="203"/>
            </w:r>
          </w:p>
        </w:tc>
      </w:tr>
      <w:tr w:rsidR="008F4F73" w:rsidTr="00987A05">
        <w:tc>
          <w:tcPr>
            <w:tcW w:w="1809" w:type="dxa"/>
          </w:tcPr>
          <w:p w:rsidR="008F4F73" w:rsidRPr="008F4F73" w:rsidRDefault="008F4F73" w:rsidP="008F4F73">
            <w:r w:rsidRPr="008F4F73">
              <w:t>Use of the dividend growth model to estimate return on equity provides a better incorporation of prevailing market conditions.</w:t>
            </w:r>
            <w:r w:rsidRPr="008F4F73">
              <w:rPr>
                <w:rStyle w:val="FootnoteReference"/>
              </w:rPr>
              <w:t xml:space="preserve"> </w:t>
            </w:r>
            <w:r w:rsidRPr="008F4F73">
              <w:rPr>
                <w:rStyle w:val="FootnoteReference"/>
              </w:rPr>
              <w:footnoteReference w:id="204"/>
            </w:r>
          </w:p>
        </w:tc>
        <w:tc>
          <w:tcPr>
            <w:tcW w:w="6884" w:type="dxa"/>
          </w:tcPr>
          <w:p w:rsidR="008F4F73" w:rsidRPr="008F4F73" w:rsidRDefault="008F4F73" w:rsidP="008F4F73">
            <w:r w:rsidRPr="008F4F73">
              <w:t>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long-standing concerns on these issues.</w:t>
            </w:r>
            <w:r w:rsidRPr="008F4F73">
              <w:rPr>
                <w:rStyle w:val="FootnoteReference"/>
              </w:rPr>
              <w:footnoteReference w:id="205"/>
            </w:r>
          </w:p>
          <w:p w:rsidR="008F4F73" w:rsidRPr="008F4F73" w:rsidRDefault="008F4F73" w:rsidP="008F4F73">
            <w:r w:rsidRPr="008F4F73">
              <w:t xml:space="preserve">Given these concerns, we do not consider that the dividend growth model at this time provides a more reliable indication of prevailing market conditions than the Sharpe-Lintner CAPM. </w:t>
            </w:r>
          </w:p>
          <w:p w:rsidR="008F4F73" w:rsidRPr="008F4F73" w:rsidRDefault="008F4F73" w:rsidP="0034699D">
            <w:r w:rsidRPr="008F4F73">
              <w:t>More detail of our consideration of the dividend growth model is in section</w:t>
            </w:r>
            <w:r w:rsidR="0034699D">
              <w:t xml:space="preserve"> </w:t>
            </w:r>
            <w:r w:rsidR="0034699D">
              <w:fldChar w:fldCharType="begin"/>
            </w:r>
            <w:r w:rsidR="0034699D">
              <w:instrText xml:space="preserve"> REF _Ref449007421 \r \h </w:instrText>
            </w:r>
            <w:r w:rsidR="0034699D">
              <w:fldChar w:fldCharType="separate"/>
            </w:r>
            <w:r w:rsidR="000230CB">
              <w:t>B.4</w:t>
            </w:r>
            <w:r w:rsidR="0034699D">
              <w:fldChar w:fldCharType="end"/>
            </w:r>
            <w:r w:rsidRPr="008F4F73">
              <w:t xml:space="preserve">.  </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1809" w:type="dxa"/>
          </w:tcPr>
          <w:p w:rsidR="008F4F73" w:rsidRPr="008F4F73" w:rsidRDefault="008F4F73" w:rsidP="008F4F73">
            <w:r w:rsidRPr="008F4F73">
              <w:t>Our foundation model approach prevents other relevant material from being properly considered.</w:t>
            </w:r>
            <w:r w:rsidRPr="008F4F73">
              <w:rPr>
                <w:rStyle w:val="FootnoteReference"/>
              </w:rPr>
              <w:t xml:space="preserve"> </w:t>
            </w:r>
            <w:r w:rsidRPr="008F4F73">
              <w:rPr>
                <w:rStyle w:val="FootnoteReference"/>
              </w:rPr>
              <w:footnoteReference w:id="206"/>
            </w:r>
          </w:p>
        </w:tc>
        <w:tc>
          <w:tcPr>
            <w:tcW w:w="6884" w:type="dxa"/>
          </w:tcPr>
          <w:p w:rsidR="008F4F73" w:rsidRPr="008F4F73" w:rsidRDefault="008F4F73" w:rsidP="008F4F73">
            <w:r w:rsidRPr="008F4F73">
              <w:t>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106ECB" w:rsidRPr="0032489B" w:rsidRDefault="00106ECB" w:rsidP="00106ECB">
      <w:pPr>
        <w:pStyle w:val="HeadingBoldBlue"/>
        <w:numPr>
          <w:ilvl w:val="0"/>
          <w:numId w:val="24"/>
        </w:numPr>
        <w:rPr>
          <w:rStyle w:val="AERtextorange"/>
        </w:rPr>
      </w:pPr>
      <w:bookmarkStart w:id="64" w:name="_Toc443923183"/>
      <w:bookmarkStart w:id="65" w:name="_Ref430958623"/>
      <w:bookmarkStart w:id="66" w:name="_Toc433446504"/>
      <w:r>
        <w:rPr>
          <w:rStyle w:val="AERtextorange"/>
        </w:rPr>
        <w:t>Estimating the market risk premium</w:t>
      </w:r>
      <w:bookmarkEnd w:id="64"/>
    </w:p>
    <w:p w:rsidR="00106ECB" w:rsidRDefault="00106ECB" w:rsidP="00106ECB">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106ECB" w:rsidRDefault="00106ECB" w:rsidP="00106ECB">
      <w:r>
        <w:t xml:space="preserve">We consider 6.5 per cent to be the best estimate of the market risk premium to contribute to the achievement of the </w:t>
      </w:r>
      <w:r w:rsidR="0068661A">
        <w:t xml:space="preserve">ARORO </w:t>
      </w:r>
      <w:r>
        <w:t>because:</w:t>
      </w:r>
    </w:p>
    <w:p w:rsidR="00106ECB" w:rsidRDefault="00106ECB" w:rsidP="00106ECB">
      <w:pPr>
        <w:pStyle w:val="AERbulletlistfirststyle"/>
      </w:pPr>
      <w:r>
        <w:t>it is supported by our consideration of all relevant material submitted to us (following consideration of their relative merits)</w:t>
      </w:r>
    </w:p>
    <w:p w:rsidR="00106ECB" w:rsidRPr="00106ECB" w:rsidRDefault="00106ECB" w:rsidP="00106ECB">
      <w:pPr>
        <w:pStyle w:val="AERbulletlistfirststyle"/>
      </w:pPr>
      <w:r>
        <w:t>it is corroborated</w:t>
      </w:r>
      <w:r w:rsidRPr="00106ECB" w:rsidDel="00DA7338">
        <w:t xml:space="preserve"> </w:t>
      </w:r>
      <w:r w:rsidRPr="00106ECB">
        <w:t>by our cross-checks on the overall return on equity and equity risk premium. This further supports our estimate of the equity risk premium (of which the market risk premium is a component)</w:t>
      </w:r>
    </w:p>
    <w:p w:rsidR="00106ECB" w:rsidRDefault="00106ECB" w:rsidP="00106ECB">
      <w:pPr>
        <w:pStyle w:val="AERbulletlistfirststyle"/>
      </w:pPr>
      <w:r>
        <w:t>it provides a balanced outcome between submissions by service providers and other stakeholders.</w:t>
      </w:r>
    </w:p>
    <w:p w:rsidR="00106ECB" w:rsidRDefault="00106ECB" w:rsidP="00106ECB">
      <w:pPr>
        <w:numPr>
          <w:ilvl w:val="0"/>
          <w:numId w:val="24"/>
        </w:numPr>
      </w:pPr>
      <w:r>
        <w:fldChar w:fldCharType="begin"/>
      </w:r>
      <w:r>
        <w:instrText xml:space="preserve"> REF _Ref446266907 \h </w:instrText>
      </w:r>
      <w:r>
        <w:fldChar w:fldCharType="separate"/>
      </w:r>
      <w:r w:rsidR="000230CB">
        <w:t xml:space="preserve">Figure </w:t>
      </w:r>
      <w:r w:rsidR="000230CB">
        <w:rPr>
          <w:noProof/>
        </w:rPr>
        <w:t>3</w:t>
      </w:r>
      <w:r w:rsidR="000230CB">
        <w:noBreakHyphen/>
      </w:r>
      <w:r w:rsidR="000230CB">
        <w:rPr>
          <w:noProof/>
        </w:rPr>
        <w:t>3</w:t>
      </w:r>
      <w:r>
        <w:fldChar w:fldCharType="end"/>
      </w:r>
      <w:r>
        <w:t xml:space="preserve"> shows the market risk premium estimates from the relevant material that has informed our decision. These estimates range from 4.8 per cent to 8.</w:t>
      </w:r>
      <w:r w:rsidR="00541B9C">
        <w:t>74</w:t>
      </w:r>
      <w:r>
        <w:t xml:space="preserve"> per cent. </w:t>
      </w:r>
    </w:p>
    <w:p w:rsidR="00106ECB" w:rsidRDefault="00106ECB" w:rsidP="00106ECB">
      <w:pPr>
        <w:pStyle w:val="Caption"/>
        <w:numPr>
          <w:ilvl w:val="0"/>
          <w:numId w:val="24"/>
        </w:numPr>
      </w:pPr>
      <w:bookmarkStart w:id="67" w:name="_Ref446266907"/>
      <w:bookmarkStart w:id="68" w:name="_Ref417222210"/>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3</w:t>
      </w:r>
      <w:r w:rsidR="00527450">
        <w:rPr>
          <w:noProof/>
        </w:rPr>
        <w:fldChar w:fldCharType="end"/>
      </w:r>
      <w:bookmarkEnd w:id="67"/>
      <w:r>
        <w:tab/>
        <w:t xml:space="preserve">Comparison of estimates of the market risk premium </w:t>
      </w:r>
    </w:p>
    <w:bookmarkEnd w:id="68"/>
    <w:p w:rsidR="00106ECB" w:rsidRPr="005A629D" w:rsidRDefault="001B39F0" w:rsidP="00106ECB">
      <w:pPr>
        <w:pStyle w:val="AERtablesource"/>
      </w:pPr>
      <w:r w:rsidRPr="001B39F0">
        <w:rPr>
          <w:noProof/>
          <w:lang w:eastAsia="en-AU"/>
        </w:rPr>
        <w:drawing>
          <wp:inline distT="0" distB="0" distL="0" distR="0" wp14:anchorId="7527B573" wp14:editId="0F68F7F6">
            <wp:extent cx="5382895" cy="2890655"/>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2890655"/>
                    </a:xfrm>
                    <a:prstGeom prst="rect">
                      <a:avLst/>
                    </a:prstGeom>
                    <a:noFill/>
                    <a:ln>
                      <a:noFill/>
                    </a:ln>
                  </pic:spPr>
                </pic:pic>
              </a:graphicData>
            </a:graphic>
          </wp:inline>
        </w:drawing>
      </w:r>
    </w:p>
    <w:p w:rsidR="00106ECB" w:rsidRPr="005A629D" w:rsidRDefault="00106ECB" w:rsidP="00106ECB">
      <w:pPr>
        <w:pStyle w:val="AERtablesource"/>
      </w:pPr>
      <w:r w:rsidRPr="005A629D">
        <w:t xml:space="preserve">Source:     AER analysis </w:t>
      </w:r>
    </w:p>
    <w:p w:rsidR="00106ECB" w:rsidRPr="005A629D" w:rsidRDefault="00106ECB" w:rsidP="00106ECB">
      <w:pPr>
        <w:pStyle w:val="AERtablesource"/>
      </w:pPr>
      <w:r w:rsidRPr="003720E1">
        <w:t>Note:         The average of each state r</w:t>
      </w:r>
      <w:r>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t>(</w:t>
      </w:r>
      <w:r w:rsidRPr="003720E1">
        <w:t>7.6 per cent</w:t>
      </w:r>
      <w:r>
        <w:t>) is from the ERA, while the bottom of this range (</w:t>
      </w:r>
      <w:r w:rsidRPr="003720E1">
        <w:t>6.0 per cent</w:t>
      </w:r>
      <w:r>
        <w:t>) is from</w:t>
      </w:r>
      <w:r w:rsidRPr="003720E1">
        <w:t xml:space="preserve"> ESCV, ESCOSA, NTUC, TER and the ACCC.</w:t>
      </w:r>
      <w:r>
        <w:rPr>
          <w:rStyle w:val="FootnoteReference"/>
        </w:rPr>
        <w:footnoteReference w:id="207"/>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08"/>
      </w:r>
      <w:r w:rsidRPr="005A629D">
        <w:t xml:space="preserve"> The bottom and top of the service provider proposed range comes from APTNT's (Amadeus gas pipeline) proposal.</w:t>
      </w:r>
      <w:r>
        <w:rPr>
          <w:rStyle w:val="FootnoteReference"/>
        </w:rPr>
        <w:footnoteReference w:id="209"/>
      </w:r>
    </w:p>
    <w:p w:rsidR="00106ECB" w:rsidRDefault="00106ECB" w:rsidP="00106ECB">
      <w:pPr>
        <w:numPr>
          <w:ilvl w:val="0"/>
          <w:numId w:val="24"/>
        </w:numPr>
      </w:pPr>
      <w:r>
        <w:t xml:space="preserve">We derive our point estimate from within this range by considering the relative merits of all of the relevant material. The application of our approach is set out as follows: </w:t>
      </w:r>
    </w:p>
    <w:p w:rsidR="00106ECB" w:rsidRPr="00106ECB" w:rsidRDefault="00106ECB" w:rsidP="00106ECB">
      <w:pPr>
        <w:pStyle w:val="AERbulletlistfirststyle"/>
      </w:pPr>
      <w:r>
        <w:t>Historical excess returns provide our baseline estimate and indicates a market risk premium of approximately 5.5 to 6.0 per cent from a range of 4.8 per cent to 6.0 per cent. We c</w:t>
      </w:r>
      <w:r w:rsidRPr="00106ECB">
        <w:t>onsider both geometric and arithmetic averages of historical returns. However, we consider there may be evidence of bias in the geometric averages.</w:t>
      </w:r>
      <w:r w:rsidRPr="00106ECB">
        <w:rPr>
          <w:rStyle w:val="FootnoteReference"/>
        </w:rPr>
        <w:footnoteReference w:id="210"/>
      </w:r>
      <w:r w:rsidRPr="00106ECB">
        <w:t xml:space="preserve"> Therefore, our range for historical returns is based on arithmetic averages.</w:t>
      </w:r>
    </w:p>
    <w:p w:rsidR="00106ECB" w:rsidRPr="00106ECB" w:rsidRDefault="00106ECB" w:rsidP="00106ECB">
      <w:pPr>
        <w:pStyle w:val="AERbulletlistfirststyle"/>
      </w:pPr>
      <w:r>
        <w:t>Dividend growth model estimates indicate a market risk premium estimate above this baseline with a range of 7.</w:t>
      </w:r>
      <w:r w:rsidR="00541B9C">
        <w:t>4</w:t>
      </w:r>
      <w:r>
        <w:t>8 to 8.</w:t>
      </w:r>
      <w:r w:rsidR="00541B9C">
        <w:t>74</w:t>
      </w:r>
      <w:r>
        <w:t xml:space="preserve"> </w:t>
      </w:r>
      <w:r w:rsidRPr="00106ECB">
        <w:t>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sidRPr="00106ECB">
        <w:rPr>
          <w:rStyle w:val="FootnoteReference"/>
        </w:rPr>
        <w:footnoteReference w:id="211"/>
      </w:r>
      <w:r w:rsidRPr="00106ECB">
        <w:t xml:space="preserve"> We also consider our, and other, models may not accurately track changes in the return on equity for the market.</w:t>
      </w:r>
      <w:r w:rsidRPr="00106ECB">
        <w:rPr>
          <w:rStyle w:val="FootnoteReference"/>
        </w:rPr>
        <w:footnoteReference w:id="212"/>
      </w:r>
      <w:r w:rsidRPr="00106ECB">
        <w:t xml:space="preserve"> See section </w:t>
      </w:r>
      <w:r w:rsidR="0034699D">
        <w:fldChar w:fldCharType="begin"/>
      </w:r>
      <w:r w:rsidR="0034699D">
        <w:instrText xml:space="preserve"> REF _Ref449007421 \r \h </w:instrText>
      </w:r>
      <w:r w:rsidR="0034699D">
        <w:fldChar w:fldCharType="separate"/>
      </w:r>
      <w:r w:rsidR="000230CB">
        <w:t>B.4</w:t>
      </w:r>
      <w:r w:rsidR="0034699D">
        <w:fldChar w:fldCharType="end"/>
      </w:r>
      <w:r w:rsidR="0034699D">
        <w:t xml:space="preserve"> </w:t>
      </w:r>
      <w:r w:rsidRPr="00106ECB">
        <w:t xml:space="preserve">for more detail these limitations. For these reasons, we do not consider that the dividend growth model estimates are reliable on their own, but that they do provide some support for a point estimate above the range from historical returns. </w:t>
      </w:r>
    </w:p>
    <w:p w:rsidR="00106ECB" w:rsidRPr="00106ECB" w:rsidRDefault="00106ECB" w:rsidP="00106ECB">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draft </w:t>
      </w:r>
      <w:r w:rsidRPr="00106ECB">
        <w:t xml:space="preserve">decision. See sections </w:t>
      </w:r>
      <w:r w:rsidRPr="00106ECB">
        <w:fldChar w:fldCharType="begin"/>
      </w:r>
      <w:r w:rsidRPr="00106ECB">
        <w:instrText xml:space="preserve"> REF _Ref446272549 \r \h </w:instrText>
      </w:r>
      <w:r w:rsidRPr="00106ECB">
        <w:fldChar w:fldCharType="separate"/>
      </w:r>
      <w:r w:rsidR="000230CB">
        <w:t>F.1</w:t>
      </w:r>
      <w:r w:rsidRPr="00106ECB">
        <w:fldChar w:fldCharType="end"/>
      </w:r>
      <w:r w:rsidRPr="00106ECB">
        <w:t xml:space="preserve">, </w:t>
      </w:r>
      <w:r w:rsidR="0034699D">
        <w:fldChar w:fldCharType="begin"/>
      </w:r>
      <w:r w:rsidR="0034699D">
        <w:instrText xml:space="preserve"> REF _Ref451416189 \r \h </w:instrText>
      </w:r>
      <w:r w:rsidR="0034699D">
        <w:fldChar w:fldCharType="separate"/>
      </w:r>
      <w:r w:rsidR="000230CB">
        <w:t>F.4</w:t>
      </w:r>
      <w:r w:rsidR="0034699D">
        <w:fldChar w:fldCharType="end"/>
      </w:r>
      <w:r w:rsidRPr="00106ECB">
        <w:t xml:space="preserve">, and </w:t>
      </w:r>
      <w:r w:rsidR="0034699D">
        <w:fldChar w:fldCharType="begin"/>
      </w:r>
      <w:r w:rsidR="0034699D">
        <w:instrText xml:space="preserve"> REF _Ref451691997 \r \h </w:instrText>
      </w:r>
      <w:r w:rsidR="0034699D">
        <w:fldChar w:fldCharType="separate"/>
      </w:r>
      <w:r w:rsidR="000230CB">
        <w:t>E</w:t>
      </w:r>
      <w:r w:rsidR="0034699D">
        <w:fldChar w:fldCharType="end"/>
      </w:r>
      <w:r w:rsidR="0034699D">
        <w:t xml:space="preserve"> </w:t>
      </w:r>
      <w:r w:rsidRPr="00106ECB">
        <w:t>for more detail on this material.</w:t>
      </w:r>
    </w:p>
    <w:p w:rsidR="00106ECB" w:rsidRDefault="00106ECB" w:rsidP="00106ECB">
      <w:r>
        <w:t>Stakeholder submissions since our draft decision (excluding submissions by service providers) have generally supported a market risk premium at or below the 6.5 per cent which we estimated in our draft decision. For example:</w:t>
      </w:r>
    </w:p>
    <w:p w:rsidR="00106ECB" w:rsidRPr="00106ECB" w:rsidRDefault="00106ECB" w:rsidP="00106ECB">
      <w:pPr>
        <w:pStyle w:val="AERbulletlistfirststyle"/>
      </w:pPr>
      <w:r>
        <w:t xml:space="preserve">The </w:t>
      </w:r>
      <w:r w:rsidRPr="00106ECB">
        <w:t>Victorian Energy Consumer and User Alliance (VECUA) continued to recommend a market risk premium of 5.0 per cent, at the bottom of the range determined in the Guideline.</w:t>
      </w:r>
      <w:r w:rsidRPr="00106ECB">
        <w:rPr>
          <w:rStyle w:val="FootnoteReference"/>
        </w:rPr>
        <w:footnoteReference w:id="213"/>
      </w:r>
      <w:r w:rsidRPr="00106ECB">
        <w:t xml:space="preserve"> VECUA submitted that this appeared to be based on outcome-based considerations regarding the profitability and low risk of service providers and decisions made by other regulators, as well as a view that the AER should exercise its discretion in a more balanced manner.</w:t>
      </w:r>
      <w:r w:rsidRPr="00106ECB">
        <w:rPr>
          <w:rStyle w:val="FootnoteReference"/>
        </w:rPr>
        <w:footnoteReference w:id="214"/>
      </w:r>
    </w:p>
    <w:p w:rsidR="00106ECB" w:rsidRPr="00106ECB" w:rsidRDefault="00106ECB" w:rsidP="00106ECB">
      <w:pPr>
        <w:pStyle w:val="AERbulletlistfirststyle"/>
      </w:pPr>
      <w:r>
        <w:t>The Energy Consumers Coalition of South Australia (ECCSA) commented that</w:t>
      </w:r>
      <w:r w:rsidRPr="00106ECB">
        <w:t xml:space="preserve"> the market risk premium estimate in our </w:t>
      </w:r>
      <w:r>
        <w:t>draft</w:t>
      </w:r>
      <w:r w:rsidRPr="00106ECB">
        <w:t xml:space="preserve"> decision, as it was set at the higher end of the credible range, added ‘considerable conservatism’ into the rate of return calculation.</w:t>
      </w:r>
      <w:r w:rsidRPr="00106ECB">
        <w:rPr>
          <w:rStyle w:val="FootnoteReference"/>
        </w:rPr>
        <w:footnoteReference w:id="215"/>
      </w:r>
    </w:p>
    <w:p w:rsidR="00106ECB" w:rsidRPr="00106ECB" w:rsidRDefault="00106ECB" w:rsidP="00106ECB">
      <w:pPr>
        <w:pStyle w:val="AERbulletlistfirststyle"/>
      </w:pPr>
      <w:r>
        <w:t xml:space="preserve">Origin Energy continued to support our </w:t>
      </w:r>
      <w:r w:rsidRPr="00106ECB">
        <w:t>market risk premium estimate of 6.5 per cent as this better reflects the efficient financing costs of a business exposed to the level of risk that applies to an Australian regulated network business.</w:t>
      </w:r>
      <w:r w:rsidRPr="00106ECB">
        <w:rPr>
          <w:rStyle w:val="FootnoteReference"/>
        </w:rPr>
        <w:footnoteReference w:id="216"/>
      </w:r>
    </w:p>
    <w:p w:rsidR="00106ECB" w:rsidRPr="00106ECB" w:rsidRDefault="00106ECB" w:rsidP="00106ECB">
      <w:pPr>
        <w:pStyle w:val="AERbulletlistfirststyle"/>
      </w:pPr>
      <w:r>
        <w:t>In a separate regulatory process, t</w:t>
      </w:r>
      <w:r w:rsidRPr="00106ECB">
        <w:t>he Consumer Challenge Panel (CCP) advised that we could still set a market risk premium of 6 per cent or below, commenting that a point estimate within our range but lower than those set by us to date would be ‘more in the long term interests of consumers while still meeting investors’ rights to an adequate return on capital invested’.</w:t>
      </w:r>
      <w:r w:rsidRPr="00106ECB">
        <w:rPr>
          <w:rStyle w:val="FootnoteReference"/>
        </w:rPr>
        <w:footnoteReference w:id="217"/>
      </w:r>
    </w:p>
    <w:p w:rsidR="00106ECB" w:rsidRDefault="00106ECB" w:rsidP="00106ECB">
      <w:r>
        <w:t xml:space="preserve">Most service providers proposed a </w:t>
      </w:r>
      <w:r w:rsidRPr="00707D90">
        <w:t xml:space="preserve">market risk premium </w:t>
      </w:r>
      <w:r>
        <w:t>of 7.8 to 7.9 per cent, based on SFG’s</w:t>
      </w:r>
      <w:r>
        <w:rPr>
          <w:rStyle w:val="FootnoteReference"/>
        </w:rPr>
        <w:footnoteReference w:id="218"/>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19"/>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0"/>
      </w:r>
    </w:p>
    <w:p w:rsidR="00106ECB" w:rsidRDefault="00106ECB" w:rsidP="00106ECB">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0230CB">
        <w:t xml:space="preserve">Table </w:t>
      </w:r>
      <w:r w:rsidR="000230CB">
        <w:rPr>
          <w:noProof/>
        </w:rPr>
        <w:t>3</w:t>
      </w:r>
      <w:r w:rsidR="000230CB">
        <w:noBreakHyphen/>
      </w:r>
      <w:r w:rsidR="000230CB">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68661A">
        <w:t xml:space="preserve">ARORO </w:t>
      </w:r>
      <w:r>
        <w:t xml:space="preserve">and the National </w:t>
      </w:r>
      <w:r w:rsidR="00456727">
        <w:t>Gas</w:t>
      </w:r>
      <w:r>
        <w:t xml:space="preserve"> Objective</w:t>
      </w:r>
      <w:r w:rsidRPr="00B005DF">
        <w:t xml:space="preserve">. </w:t>
      </w:r>
      <w:r>
        <w:t xml:space="preserve"> </w:t>
      </w:r>
    </w:p>
    <w:p w:rsidR="00106ECB" w:rsidRDefault="00106ECB" w:rsidP="00106ECB"/>
    <w:p w:rsidR="00106ECB" w:rsidRPr="005F7128" w:rsidRDefault="00106ECB" w:rsidP="00106ECB">
      <w:pPr>
        <w:pStyle w:val="Caption"/>
      </w:pPr>
      <w:bookmarkStart w:id="69" w:name="_Ref446275314"/>
      <w:bookmarkStart w:id="70" w:name="_Ref444171050"/>
      <w:r>
        <w:t xml:space="preserve">Table </w:t>
      </w:r>
      <w:r w:rsidRPr="009D786E">
        <w:fldChar w:fldCharType="begin"/>
      </w:r>
      <w:r>
        <w:instrText xml:space="preserve"> STYLEREF 1 \s </w:instrText>
      </w:r>
      <w:r w:rsidRPr="009D786E">
        <w:fldChar w:fldCharType="separate"/>
      </w:r>
      <w:r w:rsidR="000230CB">
        <w:rPr>
          <w:noProof/>
        </w:rPr>
        <w:t>3</w:t>
      </w:r>
      <w:r w:rsidRPr="009D786E">
        <w:fldChar w:fldCharType="end"/>
      </w:r>
      <w:r>
        <w:noBreakHyphen/>
      </w:r>
      <w:r w:rsidRPr="009D786E">
        <w:fldChar w:fldCharType="begin"/>
      </w:r>
      <w:r>
        <w:instrText xml:space="preserve"> SEQ Table \* ARABIC \s 1 </w:instrText>
      </w:r>
      <w:r w:rsidRPr="009D786E">
        <w:fldChar w:fldCharType="separate"/>
      </w:r>
      <w:r w:rsidR="000230CB">
        <w:rPr>
          <w:noProof/>
        </w:rPr>
        <w:t>5</w:t>
      </w:r>
      <w:r w:rsidRPr="009D786E">
        <w:fldChar w:fldCharType="end"/>
      </w:r>
      <w:bookmarkEnd w:id="69"/>
      <w:r>
        <w:tab/>
        <w:t>Issues raised about estimating market risk premium</w:t>
      </w:r>
      <w:bookmarkEnd w:id="70"/>
    </w:p>
    <w:tbl>
      <w:tblPr>
        <w:tblStyle w:val="AERtable-text0"/>
        <w:tblW w:w="0" w:type="auto"/>
        <w:tblLook w:val="04A0" w:firstRow="1" w:lastRow="0" w:firstColumn="1" w:lastColumn="0" w:noHBand="0" w:noVBand="1"/>
      </w:tblPr>
      <w:tblGrid>
        <w:gridCol w:w="1951"/>
        <w:gridCol w:w="6742"/>
      </w:tblGrid>
      <w:tr w:rsidR="00106ECB" w:rsidTr="00DB4FCE">
        <w:trPr>
          <w:cnfStyle w:val="100000000000" w:firstRow="1" w:lastRow="0" w:firstColumn="0" w:lastColumn="0" w:oddVBand="0" w:evenVBand="0" w:oddHBand="0" w:evenHBand="0" w:firstRowFirstColumn="0" w:firstRowLastColumn="0" w:lastRowFirstColumn="0" w:lastRowLastColumn="0"/>
          <w:tblHeader/>
        </w:trPr>
        <w:tc>
          <w:tcPr>
            <w:tcW w:w="1951" w:type="dxa"/>
          </w:tcPr>
          <w:p w:rsidR="00106ECB" w:rsidRPr="00106ECB" w:rsidRDefault="00106ECB" w:rsidP="00106ECB">
            <w:r>
              <w:t>Issue</w:t>
            </w:r>
          </w:p>
        </w:tc>
        <w:tc>
          <w:tcPr>
            <w:tcW w:w="6742" w:type="dxa"/>
          </w:tcPr>
          <w:p w:rsidR="00106ECB" w:rsidRPr="00106ECB" w:rsidRDefault="00106ECB" w:rsidP="00106ECB">
            <w:r>
              <w:t>O</w:t>
            </w:r>
            <w:r w:rsidRPr="00106ECB">
              <w:t>ur response</w:t>
            </w:r>
          </w:p>
        </w:tc>
      </w:tr>
      <w:tr w:rsidR="00106ECB" w:rsidTr="009A39AD">
        <w:tc>
          <w:tcPr>
            <w:tcW w:w="1951" w:type="dxa"/>
          </w:tcPr>
          <w:p w:rsidR="00106ECB" w:rsidRPr="00106ECB" w:rsidRDefault="00106ECB" w:rsidP="00106ECB">
            <w:pPr>
              <w:rPr>
                <w:rStyle w:val="AERtextsize8"/>
              </w:rPr>
            </w:pPr>
            <w:r>
              <w:rPr>
                <w:rStyle w:val="AERtextsize8"/>
              </w:rPr>
              <w:t xml:space="preserve">Our approach </w:t>
            </w:r>
            <w:r w:rsidRPr="00106ECB">
              <w:rPr>
                <w:rStyle w:val="AERtextsize8"/>
              </w:rPr>
              <w:t>provides no real regard to the dividend growth model</w:t>
            </w:r>
          </w:p>
        </w:tc>
        <w:tc>
          <w:tcPr>
            <w:tcW w:w="6742" w:type="dxa"/>
          </w:tcPr>
          <w:p w:rsidR="00106ECB" w:rsidRPr="00106ECB" w:rsidRDefault="00106ECB" w:rsidP="00012F9E">
            <w:pPr>
              <w:rPr>
                <w:rStyle w:val="AERtextsize8"/>
              </w:rPr>
            </w:pPr>
            <w:r w:rsidRPr="00133A9B">
              <w:t xml:space="preserve">Consistent </w:t>
            </w:r>
            <w:r w:rsidRPr="00106ECB">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106ECB">
              <w:rPr>
                <w:rStyle w:val="AERtextsize8"/>
              </w:rPr>
              <w:t xml:space="preserve">See </w:t>
            </w:r>
            <w:r w:rsidR="00012F9E">
              <w:rPr>
                <w:rStyle w:val="AERtextsize8"/>
              </w:rPr>
              <w:t xml:space="preserve">section </w:t>
            </w:r>
            <w:r w:rsidR="00012F9E">
              <w:rPr>
                <w:rStyle w:val="AERtextsize8"/>
              </w:rPr>
              <w:fldChar w:fldCharType="begin"/>
            </w:r>
            <w:r w:rsidR="00012F9E">
              <w:rPr>
                <w:rStyle w:val="AERtextsize8"/>
              </w:rPr>
              <w:instrText xml:space="preserve"> REF _Ref449007421 \r \h </w:instrText>
            </w:r>
            <w:r w:rsidR="00012F9E">
              <w:rPr>
                <w:rStyle w:val="AERtextsize8"/>
              </w:rPr>
            </w:r>
            <w:r w:rsidR="00012F9E">
              <w:rPr>
                <w:rStyle w:val="AERtextsize8"/>
              </w:rPr>
              <w:fldChar w:fldCharType="separate"/>
            </w:r>
            <w:r w:rsidR="000230CB">
              <w:rPr>
                <w:rStyle w:val="AERtextsize8"/>
              </w:rPr>
              <w:t>B.4</w:t>
            </w:r>
            <w:r w:rsidR="00012F9E">
              <w:rPr>
                <w:rStyle w:val="AERtextsize8"/>
              </w:rPr>
              <w:fldChar w:fldCharType="end"/>
            </w:r>
            <w:r w:rsidRPr="00106ECB">
              <w:rPr>
                <w:rStyle w:val="AERtextsize8"/>
              </w:rPr>
              <w:t xml:space="preserve"> for details on the models limitations. </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pPr>
              <w:rPr>
                <w:rStyle w:val="AERtextsize8"/>
              </w:rPr>
            </w:pPr>
            <w:r w:rsidRPr="007C153E">
              <w:rPr>
                <w:rStyle w:val="AERtextsize8"/>
              </w:rPr>
              <w:t>The Wright approach to estimating historical stock returns is useful for estimating market risk premium</w:t>
            </w:r>
          </w:p>
        </w:tc>
        <w:tc>
          <w:tcPr>
            <w:tcW w:w="6742" w:type="dxa"/>
          </w:tcPr>
          <w:p w:rsidR="00106ECB" w:rsidRPr="007C153E" w:rsidRDefault="00106ECB" w:rsidP="0034699D">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1"/>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sidR="0034699D">
              <w:rPr>
                <w:rStyle w:val="AERtextsize8"/>
              </w:rPr>
              <w:fldChar w:fldCharType="begin"/>
            </w:r>
            <w:r w:rsidR="0034699D">
              <w:rPr>
                <w:rStyle w:val="AERtextsize8"/>
              </w:rPr>
              <w:instrText xml:space="preserve"> REF _Ref449018117 \r \h </w:instrText>
            </w:r>
            <w:r w:rsidR="0034699D">
              <w:rPr>
                <w:rStyle w:val="AERtextsize8"/>
              </w:rPr>
            </w:r>
            <w:r w:rsidR="0034699D">
              <w:rPr>
                <w:rStyle w:val="AERtextsize8"/>
              </w:rPr>
              <w:fldChar w:fldCharType="separate"/>
            </w:r>
            <w:r w:rsidR="000230CB">
              <w:rPr>
                <w:rStyle w:val="AERtextsize8"/>
              </w:rPr>
              <w:t>B.5</w:t>
            </w:r>
            <w:r w:rsidR="0034699D">
              <w:rPr>
                <w:rStyle w:val="AERtextsize8"/>
              </w:rPr>
              <w:fldChar w:fldCharType="end"/>
            </w:r>
            <w:r w:rsidR="0034699D">
              <w:rPr>
                <w:rStyle w:val="AERtextsize8"/>
              </w:rPr>
              <w:t xml:space="preserve"> </w:t>
            </w:r>
            <w:r>
              <w:rPr>
                <w:rStyle w:val="AERtextsize8"/>
              </w:rPr>
              <w:t>of this attachment.</w:t>
            </w:r>
          </w:p>
        </w:tc>
      </w:tr>
      <w:tr w:rsidR="00106ECB" w:rsidTr="009A39AD">
        <w:tc>
          <w:tcPr>
            <w:tcW w:w="1951" w:type="dxa"/>
          </w:tcPr>
          <w:p w:rsidR="00106ECB" w:rsidRPr="00106ECB" w:rsidRDefault="00106ECB" w:rsidP="00106ECB">
            <w:pPr>
              <w:rPr>
                <w:rStyle w:val="AERtextsize8"/>
              </w:rPr>
            </w:pPr>
            <w:r w:rsidRPr="007C153E">
              <w:rPr>
                <w:rStyle w:val="AERtextsize8"/>
              </w:rPr>
              <w:t>Information from valuation reports is useful for estimating market risk premium</w:t>
            </w:r>
          </w:p>
        </w:tc>
        <w:tc>
          <w:tcPr>
            <w:tcW w:w="6742" w:type="dxa"/>
          </w:tcPr>
          <w:p w:rsidR="00106ECB" w:rsidRPr="00106ECB" w:rsidRDefault="00106ECB" w:rsidP="00106ECB">
            <w:pPr>
              <w:rPr>
                <w:rStyle w:val="AERtextsize8"/>
              </w:rPr>
            </w:pPr>
            <w:r>
              <w:rPr>
                <w:rStyle w:val="AERtextsize8"/>
              </w:rPr>
              <w:t>Our consideration of valuation reports is informative of our market risk premium estimate: as a cross-check on our overall ret</w:t>
            </w:r>
            <w:r w:rsidRPr="00106ECB">
              <w:rPr>
                <w:rStyle w:val="AERtextsize8"/>
              </w:rPr>
              <w:t xml:space="preserve">urn on equity, they are a cross-check on our return on equity parameters, including the market risk premium. </w:t>
            </w:r>
            <w:r w:rsidRPr="00106ECB">
              <w:t xml:space="preserve">Valuation reports have a different objective to the </w:t>
            </w:r>
            <w:r w:rsidR="0068661A">
              <w:t>ARORO</w:t>
            </w:r>
            <w:r w:rsidRPr="00106ECB">
              <w:t xml:space="preserve">,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 </w:t>
            </w:r>
            <w:r w:rsidRPr="00106ECB">
              <w:fldChar w:fldCharType="begin"/>
            </w:r>
            <w:r w:rsidRPr="00106ECB">
              <w:instrText xml:space="preserve"> REF _Ref446280177 \r \h </w:instrText>
            </w:r>
            <w:r w:rsidRPr="00106ECB">
              <w:fldChar w:fldCharType="separate"/>
            </w:r>
            <w:r w:rsidR="000230CB">
              <w:t>F.5</w:t>
            </w:r>
            <w:r w:rsidRPr="00106ECB">
              <w:fldChar w:fldCharType="end"/>
            </w:r>
            <w:r w:rsidRPr="00106ECB">
              <w:t>.</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pPr>
              <w:rPr>
                <w:rStyle w:val="AERtextsize8"/>
              </w:rPr>
            </w:pPr>
            <w:r w:rsidRPr="007C153E">
              <w:rPr>
                <w:rStyle w:val="AERtextsize8"/>
              </w:rPr>
              <w:t>Surveys should not be relied upon</w:t>
            </w:r>
            <w:r w:rsidRPr="00106ECB">
              <w:rPr>
                <w:rStyle w:val="AERtextsize8"/>
              </w:rPr>
              <w:t xml:space="preserve"> as survey responses are unlikely to be independent</w:t>
            </w:r>
          </w:p>
        </w:tc>
        <w:tc>
          <w:tcPr>
            <w:tcW w:w="6742" w:type="dxa"/>
          </w:tcPr>
          <w:p w:rsidR="00106ECB" w:rsidRPr="00106ECB" w:rsidRDefault="00106ECB" w:rsidP="00106ECB">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106ECB">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106ECB" w:rsidTr="009A39AD">
        <w:trPr>
          <w:trHeight w:val="1274"/>
        </w:trPr>
        <w:tc>
          <w:tcPr>
            <w:tcW w:w="1951" w:type="dxa"/>
          </w:tcPr>
          <w:p w:rsidR="00106ECB" w:rsidRPr="00106ECB" w:rsidRDefault="00106ECB" w:rsidP="00106ECB">
            <w:pPr>
              <w:rPr>
                <w:rStyle w:val="AERtextsize8"/>
              </w:rPr>
            </w:pPr>
            <w:r w:rsidRPr="00F825D9">
              <w:rPr>
                <w:rStyle w:val="AERtextsize8"/>
              </w:rPr>
              <w:t xml:space="preserve">HoustonKemp's analysis of valuation reports </w:t>
            </w:r>
            <w:r w:rsidRPr="00106ECB">
              <w:rPr>
                <w:rStyle w:val="AERtextsize8"/>
              </w:rPr>
              <w:t>indicates an inverse relationship between the risk free rate and the market risk premium</w:t>
            </w:r>
          </w:p>
        </w:tc>
        <w:tc>
          <w:tcPr>
            <w:tcW w:w="6742" w:type="dxa"/>
          </w:tcPr>
          <w:p w:rsidR="00106ECB" w:rsidRPr="00106ECB" w:rsidRDefault="00106ECB" w:rsidP="00106ECB">
            <w:r>
              <w:t xml:space="preserve">The relationship found by HoustonKemp is driven by the difference between the valuer's chosen risk free rate and the yield on </w:t>
            </w:r>
            <w:r w:rsidRPr="00106ECB">
              <w:t>Australian government securities.</w:t>
            </w:r>
            <w:r w:rsidRPr="00106ECB">
              <w:rPr>
                <w:rStyle w:val="FootnoteReference"/>
              </w:rPr>
              <w:footnoteReference w:id="222"/>
            </w:r>
            <w:r w:rsidRPr="00106ECB">
              <w:t xml:space="preserve"> We continue to be unsatisfied that this difference reflects uplift to the market risk premium, or is a widespread and persistent practice. Further detail of our reasons are in section </w:t>
            </w:r>
            <w:r w:rsidRPr="00106ECB">
              <w:fldChar w:fldCharType="begin"/>
            </w:r>
            <w:r w:rsidRPr="00106ECB">
              <w:instrText xml:space="preserve"> REF _Ref446278671 \r \h </w:instrText>
            </w:r>
            <w:r w:rsidRPr="00106ECB">
              <w:fldChar w:fldCharType="separate"/>
            </w:r>
            <w:r w:rsidR="000230CB">
              <w:t>F.5</w:t>
            </w:r>
            <w:r w:rsidRPr="00106ECB">
              <w:fldChar w:fldCharType="end"/>
            </w:r>
            <w:r w:rsidRPr="00106ECB">
              <w:t xml:space="preserve"> of this attachment.</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pPr>
              <w:rPr>
                <w:rStyle w:val="AERtextsize8"/>
              </w:rPr>
            </w:pPr>
            <w:r w:rsidRPr="00F825D9">
              <w:rPr>
                <w:rStyle w:val="AERtextsize8"/>
              </w:rPr>
              <w:t xml:space="preserve">Our concern about sticky dividends creating bias in the dividend growth model is not material in the current </w:t>
            </w:r>
            <w:r w:rsidRPr="00106ECB">
              <w:rPr>
                <w:rStyle w:val="AERtextsize8"/>
              </w:rPr>
              <w:t>market as dividends are forecast to grow from 2015 to 2017</w:t>
            </w:r>
            <w:r w:rsidRPr="00106ECB">
              <w:rPr>
                <w:rStyle w:val="FootnoteReference"/>
              </w:rPr>
              <w:footnoteReference w:id="223"/>
            </w:r>
          </w:p>
        </w:tc>
        <w:tc>
          <w:tcPr>
            <w:tcW w:w="6742" w:type="dxa"/>
          </w:tcPr>
          <w:p w:rsidR="00106ECB" w:rsidRPr="00106ECB" w:rsidRDefault="00106ECB" w:rsidP="00106ECB">
            <w:r>
              <w:t xml:space="preserve">We consider that sticky dividends </w:t>
            </w:r>
            <w:r w:rsidRPr="00106ECB">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106ECB">
              <w:rPr>
                <w:rStyle w:val="FootnoteReference"/>
              </w:rPr>
              <w:footnoteReference w:id="224"/>
            </w:r>
            <w:r w:rsidRPr="00106ECB">
              <w:t xml:space="preserve"> We do not consider it is certain that investors expect positive growth in dividends per share post-2017.</w:t>
            </w:r>
          </w:p>
        </w:tc>
      </w:tr>
      <w:tr w:rsidR="00106ECB" w:rsidTr="009A39AD">
        <w:tc>
          <w:tcPr>
            <w:tcW w:w="1951" w:type="dxa"/>
          </w:tcPr>
          <w:p w:rsidR="00106ECB" w:rsidRPr="00106ECB" w:rsidRDefault="00106ECB" w:rsidP="00106ECB">
            <w:pPr>
              <w:rPr>
                <w:rStyle w:val="AERtextsize8"/>
              </w:rPr>
            </w:pPr>
            <w:r w:rsidRPr="00F825D9">
              <w:rPr>
                <w:rStyle w:val="AERtextsize8"/>
              </w:rPr>
              <w:t>Our concern about upwards bias in analysts' dividend forecasts is not material in the current market</w:t>
            </w:r>
          </w:p>
        </w:tc>
        <w:tc>
          <w:tcPr>
            <w:tcW w:w="6742" w:type="dxa"/>
          </w:tcPr>
          <w:p w:rsidR="00106ECB" w:rsidRPr="001135E9" w:rsidRDefault="00106ECB" w:rsidP="00106ECB">
            <w:pPr>
              <w:numPr>
                <w:ilvl w:val="0"/>
                <w:numId w:val="24"/>
              </w:numPr>
            </w:pPr>
            <w:r w:rsidRPr="00B4711B">
              <w:t>Analyst forecasts are well understood to be upward</w:t>
            </w:r>
            <w:r>
              <w:t>ly</w:t>
            </w:r>
            <w:r w:rsidRPr="00B4711B">
              <w:t xml:space="preserve"> biased.</w:t>
            </w:r>
            <w:r>
              <w:rPr>
                <w:rStyle w:val="FootnoteReference"/>
              </w:rPr>
              <w:footnoteReference w:id="225"/>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0230CB">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106ECB" w:rsidRPr="001566F2" w:rsidRDefault="00106ECB" w:rsidP="00106ECB">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2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106ECB" w:rsidTr="009A39AD">
        <w:tc>
          <w:tcPr>
            <w:tcW w:w="1951" w:type="dxa"/>
          </w:tcPr>
          <w:p w:rsidR="00106ECB" w:rsidRPr="00106ECB" w:rsidRDefault="00106ECB" w:rsidP="00106ECB">
            <w:pPr>
              <w:rPr>
                <w:rStyle w:val="AERtextsize8"/>
              </w:rPr>
            </w:pPr>
            <w:r w:rsidRPr="00F825D9">
              <w:rPr>
                <w:rStyle w:val="AERtextsize8"/>
              </w:rPr>
              <w:t>NERA's adjustment to historical stock returns is more reliable than the ASX's adjustment</w:t>
            </w:r>
          </w:p>
        </w:tc>
        <w:tc>
          <w:tcPr>
            <w:tcW w:w="6742" w:type="dxa"/>
          </w:tcPr>
          <w:p w:rsidR="00106ECB" w:rsidRPr="00106ECB" w:rsidRDefault="00106ECB" w:rsidP="00106ECB">
            <w:r>
              <w:rPr>
                <w:rStyle w:val="AERtextsize8"/>
              </w:rPr>
              <w:t xml:space="preserve">We do not consider </w:t>
            </w:r>
            <w:r w:rsidRPr="00106ECB">
              <w:rPr>
                <w:rStyle w:val="AERtextsize8"/>
              </w:rPr>
              <w:t>NERA's adjustment, which is based on less than ten data points out of 300, represents a material improvement in reliability</w:t>
            </w:r>
            <w:r w:rsidRPr="00106ECB">
              <w:t xml:space="preserve">. NERA has also not reconciled the data it uses for its adjustment to the data of the original series. Further details of our reasons are in section B.4 of this attachment.   </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r>
              <w:t>Arithmetic averaging of historical stock returns is more appropriate than geometric averaging</w:t>
            </w:r>
          </w:p>
        </w:tc>
        <w:tc>
          <w:tcPr>
            <w:tcW w:w="6742" w:type="dxa"/>
          </w:tcPr>
          <w:p w:rsidR="00106ECB" w:rsidRPr="00106ECB" w:rsidRDefault="00106ECB" w:rsidP="00106ECB">
            <w:pPr>
              <w:rPr>
                <w:rStyle w:val="AERtextsize8"/>
              </w:rPr>
            </w:pPr>
            <w:r>
              <w:t xml:space="preserve">In estimating the </w:t>
            </w:r>
            <w:r w:rsidRPr="00106ECB">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106ECB">
              <w:rPr>
                <w:rStyle w:val="FootnoteReference"/>
              </w:rPr>
              <w:footnoteReference w:id="227"/>
            </w:r>
            <w:r w:rsidRPr="00106ECB">
              <w:t xml:space="preserve"> Also, they supported this position in their most recent 2016 report.</w:t>
            </w:r>
            <w:r w:rsidRPr="00106ECB">
              <w:rPr>
                <w:rStyle w:val="FootnoteReference"/>
              </w:rPr>
              <w:footnoteReference w:id="228"/>
            </w:r>
            <w:r w:rsidRPr="00106ECB">
              <w:t xml:space="preserve"> Further details of our reasons are in section C.3 of this attachment.   </w:t>
            </w:r>
          </w:p>
        </w:tc>
      </w:tr>
      <w:tr w:rsidR="00106ECB" w:rsidTr="009A39AD">
        <w:tc>
          <w:tcPr>
            <w:tcW w:w="1951" w:type="dxa"/>
          </w:tcPr>
          <w:p w:rsidR="00106ECB" w:rsidRPr="00106ECB" w:rsidRDefault="00106ECB" w:rsidP="00106ECB">
            <w:r>
              <w:t xml:space="preserve">We should </w:t>
            </w:r>
            <w:r w:rsidRPr="00106ECB">
              <w:t>use only the longest sample period, and we should not use overlapping sample periods, when estimating historical stock returns</w:t>
            </w:r>
          </w:p>
        </w:tc>
        <w:tc>
          <w:tcPr>
            <w:tcW w:w="6742" w:type="dxa"/>
          </w:tcPr>
          <w:p w:rsidR="00106ECB" w:rsidRPr="00106ECB" w:rsidRDefault="00106ECB" w:rsidP="00106ECB">
            <w:pPr>
              <w:rPr>
                <w:rStyle w:val="AERtextsize8"/>
              </w:rPr>
            </w:pPr>
            <w:r w:rsidRPr="006B7989">
              <w:rPr>
                <w:rStyle w:val="AERtextsize8"/>
              </w:rPr>
              <w:t xml:space="preserve">Partington and Satchell </w:t>
            </w:r>
            <w:r w:rsidRPr="00106ECB">
              <w:rPr>
                <w:rStyle w:val="AERtextsize8"/>
              </w:rPr>
              <w:t>considered that, although it reduces the precision of the estimates, there are reasons for using multiple sampling periods, such as possible structural breaks in the data and issues regarding data quality.</w:t>
            </w:r>
            <w:r w:rsidRPr="00106ECB">
              <w:rPr>
                <w:rStyle w:val="FootnoteReference"/>
              </w:rPr>
              <w:footnoteReference w:id="229"/>
            </w:r>
            <w:r w:rsidRPr="00106ECB">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w:t>
            </w:r>
            <w:r>
              <w:rPr>
                <w:rStyle w:val="AERtextsize8"/>
              </w:rPr>
              <w:t>draft</w:t>
            </w:r>
            <w:r w:rsidRPr="00106ECB">
              <w:rPr>
                <w:rStyle w:val="AERtextsize8"/>
              </w:rPr>
              <w:t xml:space="preserve"> decision.</w:t>
            </w:r>
          </w:p>
        </w:tc>
      </w:tr>
      <w:tr w:rsidR="00106ECB" w:rsidTr="009A39AD">
        <w:trPr>
          <w:cnfStyle w:val="000000010000" w:firstRow="0" w:lastRow="0" w:firstColumn="0" w:lastColumn="0" w:oddVBand="0" w:evenVBand="0" w:oddHBand="0" w:evenHBand="1" w:firstRowFirstColumn="0" w:firstRowLastColumn="0" w:lastRowFirstColumn="0" w:lastRowLastColumn="0"/>
        </w:trPr>
        <w:tc>
          <w:tcPr>
            <w:tcW w:w="1951" w:type="dxa"/>
          </w:tcPr>
          <w:p w:rsidR="00106ECB" w:rsidRPr="00106ECB" w:rsidRDefault="00106ECB" w:rsidP="00106ECB">
            <w:r>
              <w:t xml:space="preserve">SFG's method for adjusting dividend imputation </w:t>
            </w:r>
            <w:r w:rsidRPr="00106ECB">
              <w:t xml:space="preserve">is </w:t>
            </w:r>
            <w:r w:rsidRPr="00106ECB">
              <w:rPr>
                <w:rStyle w:val="AERtextsize8"/>
              </w:rPr>
              <w:t>more consistent with how we adjust for imputation credits in the post-tax revenue model.</w:t>
            </w:r>
            <w:r w:rsidRPr="00106ECB">
              <w:rPr>
                <w:rStyle w:val="FootnoteReference"/>
              </w:rPr>
              <w:footnoteReference w:id="230"/>
            </w:r>
          </w:p>
        </w:tc>
        <w:tc>
          <w:tcPr>
            <w:tcW w:w="6742" w:type="dxa"/>
          </w:tcPr>
          <w:p w:rsidR="00106ECB" w:rsidRPr="00DB0499" w:rsidRDefault="00106ECB" w:rsidP="00106ECB">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draft decision.</w:t>
            </w:r>
            <w:r w:rsidRPr="00952754">
              <w:rPr>
                <w:rStyle w:val="AERtextsize8"/>
              </w:rPr>
              <w:t xml:space="preserve"> </w:t>
            </w:r>
          </w:p>
        </w:tc>
      </w:tr>
      <w:tr w:rsidR="00106ECB" w:rsidTr="009A39AD">
        <w:tc>
          <w:tcPr>
            <w:tcW w:w="1951" w:type="dxa"/>
          </w:tcPr>
          <w:p w:rsidR="00106ECB" w:rsidRPr="00106ECB" w:rsidRDefault="00106ECB" w:rsidP="00106ECB">
            <w:r>
              <w:t>We arbitrarily adjust</w:t>
            </w:r>
            <w:r w:rsidRPr="00106ECB">
              <w:t xml:space="preserve"> the long-term dividend growth rate used in our dividend growth model</w:t>
            </w:r>
          </w:p>
        </w:tc>
        <w:tc>
          <w:tcPr>
            <w:tcW w:w="6742" w:type="dxa"/>
          </w:tcPr>
          <w:p w:rsidR="00106ECB" w:rsidRPr="00106ECB" w:rsidRDefault="00106ECB" w:rsidP="00106ECB">
            <w:r>
              <w:t xml:space="preserve">We use the long-term growth rate in real </w:t>
            </w:r>
            <w:r w:rsidRPr="00106ECB">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106ECB">
              <w:rPr>
                <w:rStyle w:val="AERtextsize8"/>
              </w:rPr>
              <w:t xml:space="preserve">urther detail of our reasons can be found in section B.2.1 of Attachment 3 to our </w:t>
            </w:r>
            <w:r>
              <w:rPr>
                <w:rStyle w:val="AERtextsize8"/>
              </w:rPr>
              <w:t>draft</w:t>
            </w:r>
            <w:r w:rsidRPr="00106ECB">
              <w:rPr>
                <w:rStyle w:val="AERtextsize8"/>
              </w:rPr>
              <w:t xml:space="preserve"> decision.</w:t>
            </w:r>
          </w:p>
        </w:tc>
      </w:tr>
    </w:tbl>
    <w:p w:rsidR="00FF645A" w:rsidRPr="0032489B" w:rsidRDefault="00FF645A" w:rsidP="00FF645A">
      <w:pPr>
        <w:pStyle w:val="HeadingBoldBlue"/>
        <w:numPr>
          <w:ilvl w:val="0"/>
          <w:numId w:val="24"/>
        </w:numPr>
        <w:rPr>
          <w:rStyle w:val="AERtextorange"/>
        </w:rPr>
      </w:pPr>
      <w:bookmarkStart w:id="71" w:name="_Toc443923184"/>
      <w:r>
        <w:rPr>
          <w:rStyle w:val="AERtextorange"/>
        </w:rPr>
        <w:t>Estimating equity beta</w:t>
      </w:r>
      <w:bookmarkEnd w:id="71"/>
    </w:p>
    <w:p w:rsidR="00FF645A" w:rsidRDefault="00FF645A" w:rsidP="00FF645A">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1"/>
      </w:r>
      <w:r>
        <w:t xml:space="preserve"> </w:t>
      </w:r>
    </w:p>
    <w:p w:rsidR="00FF645A" w:rsidRDefault="00FF645A" w:rsidP="00FF645A">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AGN's provision of regulated gas pipeline services.</w:t>
      </w:r>
      <w:r>
        <w:rPr>
          <w:rStyle w:val="FootnoteReference"/>
        </w:rPr>
        <w:footnoteReference w:id="232"/>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AGN</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FF645A" w:rsidRPr="00176D8B" w:rsidRDefault="00FF645A" w:rsidP="00FF645A">
      <w:pPr>
        <w:pStyle w:val="AERbulletlistfirststyle"/>
      </w:pPr>
      <w:r>
        <w:t xml:space="preserve">Our range and point estimate are based on direct measurements (that is, empirical estimates) of the equity beta that businesses with a similar degree of risk as AGN </w:t>
      </w:r>
      <w:r w:rsidRPr="00176D8B">
        <w:t xml:space="preserve">have exhibited in the past. We consider these are reliable indicators of the prevailing, forward-looking equity beta for an efficient business (or benchmark efficient entity) with a similar degree of risk as </w:t>
      </w:r>
      <w:r>
        <w:t>AGN</w:t>
      </w:r>
      <w:r w:rsidRPr="00176D8B">
        <w:t xml:space="preserve">. </w:t>
      </w:r>
    </w:p>
    <w:p w:rsidR="00FF645A" w:rsidRPr="00176D8B" w:rsidRDefault="00FF645A" w:rsidP="00FF645A">
      <w:pPr>
        <w:pStyle w:val="AERbulletlistfirststyle"/>
        <w:rPr>
          <w:rStyle w:val="AERbody"/>
        </w:rPr>
      </w:pPr>
      <w:r>
        <w:t>Our range</w:t>
      </w:r>
      <w:r w:rsidRPr="00176D8B">
        <w:rPr>
          <w:rStyle w:val="AERbody"/>
        </w:rPr>
        <w:t xml:space="preserve"> and point estimate are consistent with our conceptual analysis. This suggests the systematic risk of </w:t>
      </w:r>
      <w:r>
        <w:rPr>
          <w:rStyle w:val="AERbody"/>
        </w:rPr>
        <w:t>AGN</w:t>
      </w:r>
      <w:r w:rsidRPr="00176D8B">
        <w:rPr>
          <w:rStyle w:val="FootnoteReference"/>
        </w:rPr>
        <w:footnoteReference w:id="233"/>
      </w:r>
      <w:r w:rsidRPr="00176D8B">
        <w:rPr>
          <w:rStyle w:val="AERbody"/>
        </w:rPr>
        <w:t xml:space="preserve"> would be less than the systematic risk of the market as a whole (that is, its equity beta would be less than 1.0). Our conceptual analysis is supported by McKenzie and Partington.</w:t>
      </w:r>
      <w:r w:rsidRPr="00176D8B">
        <w:rPr>
          <w:rStyle w:val="FootnoteReference"/>
        </w:rPr>
        <w:footnoteReference w:id="234"/>
      </w:r>
    </w:p>
    <w:p w:rsidR="00FF645A" w:rsidRPr="00176D8B" w:rsidRDefault="00FF645A" w:rsidP="00FF645A">
      <w:pPr>
        <w:pStyle w:val="AERbulletlistfirststyle"/>
        <w:rPr>
          <w:rStyle w:val="AERbody"/>
        </w:rPr>
      </w:pPr>
      <w:r>
        <w:rPr>
          <w:rStyle w:val="AERbody"/>
        </w:rPr>
        <w:t xml:space="preserve">The </w:t>
      </w:r>
      <w:r w:rsidRPr="00176D8B">
        <w:rPr>
          <w:rStyle w:val="AERbody"/>
        </w:rPr>
        <w:t xml:space="preserve">theoretical principles underpinning the Black CAPM are reasonably consistent with an equity beta towards the upper end of our range. For firms with an equity beta below 1.0, the Black CAPM theory may support using a higher equity beta than those estimated from businesses with a similar degree of risk as </w:t>
      </w:r>
      <w:r>
        <w:rPr>
          <w:rStyle w:val="AERbody"/>
        </w:rPr>
        <w:t>AGN</w:t>
      </w:r>
      <w:r w:rsidRPr="00176D8B">
        <w:rPr>
          <w:rStyle w:val="AERbody"/>
        </w:rPr>
        <w:t xml:space="preserve"> when used within a Sharpe-Lintner CAPM. This is a result of the Black CAPM relaxing an assumption underlying the Sharpe-Lintner CAPM, which allows for unlimited borrowing and lending at the risk free rate.</w:t>
      </w:r>
      <w:r w:rsidRPr="00176D8B">
        <w:rPr>
          <w:rStyle w:val="FootnoteReference"/>
        </w:rPr>
        <w:footnoteReference w:id="235"/>
      </w:r>
      <w:r w:rsidRPr="00176D8B">
        <w:rPr>
          <w:rStyle w:val="AERbody"/>
        </w:rPr>
        <w:t xml:space="preserve"> However, we do not consider the theory underlying the Black CAPM warrants a specific uplift or adjustment to the equity beta point estimate. The reasons for our use of the Black CAPM theory are set out in more detail in section</w:t>
      </w:r>
      <w:r w:rsidR="0034699D">
        <w:rPr>
          <w:rStyle w:val="AERbody"/>
        </w:rPr>
        <w:t xml:space="preserve"> </w:t>
      </w:r>
      <w:r w:rsidR="0034699D">
        <w:rPr>
          <w:rStyle w:val="AERbody"/>
        </w:rPr>
        <w:fldChar w:fldCharType="begin"/>
      </w:r>
      <w:r w:rsidR="0034699D">
        <w:rPr>
          <w:rStyle w:val="AERbody"/>
        </w:rPr>
        <w:instrText xml:space="preserve"> REF _Ref448924785 \r \h </w:instrText>
      </w:r>
      <w:r w:rsidR="0034699D">
        <w:rPr>
          <w:rStyle w:val="AERbody"/>
        </w:rPr>
      </w:r>
      <w:r w:rsidR="0034699D">
        <w:rPr>
          <w:rStyle w:val="AERbody"/>
        </w:rPr>
        <w:fldChar w:fldCharType="separate"/>
      </w:r>
      <w:r w:rsidR="000230CB">
        <w:rPr>
          <w:rStyle w:val="AERbody"/>
        </w:rPr>
        <w:t>B.2.3</w:t>
      </w:r>
      <w:r w:rsidR="0034699D">
        <w:rPr>
          <w:rStyle w:val="AERbody"/>
        </w:rPr>
        <w:fldChar w:fldCharType="end"/>
      </w:r>
      <w:r w:rsidRPr="00176D8B">
        <w:rPr>
          <w:rStyle w:val="AERbody"/>
        </w:rPr>
        <w:t>.</w:t>
      </w:r>
    </w:p>
    <w:p w:rsidR="00FF645A" w:rsidRPr="00176D8B" w:rsidRDefault="00FF645A" w:rsidP="00FF645A">
      <w:pPr>
        <w:pStyle w:val="AERbulletlistfirststyle"/>
      </w:pPr>
      <w:r>
        <w:rPr>
          <w:rStyle w:val="AERbody"/>
        </w:rPr>
        <w:t>W</w:t>
      </w:r>
      <w:r w:rsidRPr="00176D8B">
        <w:rPr>
          <w:rStyle w:val="AERbody"/>
        </w:rPr>
        <w:t xml:space="preserve">e recognise the importance of providing stakeholders with transparency and predictability in our rate of return decisions, which we consider is consistent with the achievement of the </w:t>
      </w:r>
      <w:r w:rsidR="0068661A">
        <w:t>ARORO</w:t>
      </w:r>
      <w:r w:rsidRPr="00176D8B">
        <w:rPr>
          <w:rStyle w:val="AERbody"/>
        </w:rPr>
        <w:t>.</w:t>
      </w:r>
      <w:r w:rsidRPr="00176D8B">
        <w:rPr>
          <w:rStyle w:val="FootnoteReference"/>
        </w:rPr>
        <w:footnoteReference w:id="236"/>
      </w:r>
      <w:r w:rsidRPr="00176D8B">
        <w:rPr>
          <w:rStyle w:val="AERbody"/>
        </w:rPr>
        <w:t xml:space="preserve"> In this context, a point estimate of 0.7 is consistent with our Guideline (which was developed following extensive consultation) and is a modest step down from previous regulatory determinations.</w:t>
      </w:r>
      <w:r w:rsidRPr="00176D8B">
        <w:rPr>
          <w:rStyle w:val="FootnoteReference"/>
        </w:rPr>
        <w:footnoteReference w:id="237"/>
      </w:r>
      <w:r w:rsidRPr="00176D8B">
        <w:rPr>
          <w:rStyle w:val="AERbody"/>
        </w:rPr>
        <w:t xml:space="preserve"> It also recognises the uncertainty inherent in estimating unobservable parameters, such as the equity beta for a benchmark efficient entity.</w:t>
      </w:r>
    </w:p>
    <w:p w:rsidR="00FF645A" w:rsidRDefault="00FF645A" w:rsidP="00FF645A">
      <w:r>
        <w:t xml:space="preserve">Our direct measurements of the equity beta for businesses with a similar degree of risk as AGN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38"/>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39"/>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AGN. More information on empirical estimates can be found in section</w:t>
      </w:r>
      <w:r w:rsidR="0034699D">
        <w:t xml:space="preserve"> </w:t>
      </w:r>
      <w:r w:rsidR="0034699D">
        <w:fldChar w:fldCharType="begin"/>
      </w:r>
      <w:r w:rsidR="0034699D">
        <w:instrText xml:space="preserve"> REF _Ref451692093 \r \h </w:instrText>
      </w:r>
      <w:r w:rsidR="0034699D">
        <w:fldChar w:fldCharType="separate"/>
      </w:r>
      <w:r w:rsidR="000230CB">
        <w:t>G</w:t>
      </w:r>
      <w:r w:rsidR="0034699D">
        <w:fldChar w:fldCharType="end"/>
      </w:r>
      <w:r>
        <w:t>.</w:t>
      </w:r>
    </w:p>
    <w:p w:rsidR="00FF645A" w:rsidRPr="002D3111" w:rsidRDefault="00FF645A" w:rsidP="00FF645A">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0"/>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0230CB">
        <w:t xml:space="preserve">figure </w:t>
      </w:r>
      <w:r w:rsidR="000230CB">
        <w:rPr>
          <w:noProof/>
        </w:rPr>
        <w:t>3</w:t>
      </w:r>
      <w:r w:rsidR="000230CB">
        <w:noBreakHyphen/>
      </w:r>
      <w:r w:rsidR="000230CB">
        <w:rPr>
          <w:noProof/>
        </w:rPr>
        <w:t>4</w:t>
      </w:r>
      <w:r>
        <w:fldChar w:fldCharType="end"/>
      </w:r>
      <w:r>
        <w:t xml:space="preserve">. </w:t>
      </w:r>
    </w:p>
    <w:p w:rsidR="00FF645A" w:rsidRDefault="00FF645A" w:rsidP="000230CB">
      <w:pPr>
        <w:pStyle w:val="Caption"/>
      </w:pPr>
      <w:bookmarkStart w:id="72" w:name="_Ref401235334"/>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4</w:t>
      </w:r>
      <w:r w:rsidR="00527450">
        <w:rPr>
          <w:noProof/>
        </w:rPr>
        <w:fldChar w:fldCharType="end"/>
      </w:r>
      <w:bookmarkEnd w:id="72"/>
      <w:r>
        <w:tab/>
        <w:t xml:space="preserve">Submissions on the value of the equity beta </w:t>
      </w:r>
    </w:p>
    <w:p w:rsidR="00FF645A" w:rsidRPr="00812033" w:rsidRDefault="00FF645A" w:rsidP="00DB4FCE">
      <w:pPr>
        <w:keepNext/>
        <w:numPr>
          <w:ilvl w:val="0"/>
          <w:numId w:val="24"/>
        </w:numPr>
        <w:rPr>
          <w:rStyle w:val="AERbody"/>
          <w:b/>
          <w:bCs/>
          <w:szCs w:val="18"/>
        </w:rPr>
      </w:pPr>
      <w:r w:rsidRPr="00176D8B">
        <w:rPr>
          <w:noProof/>
          <w:lang w:eastAsia="en-AU"/>
        </w:rPr>
        <w:drawing>
          <wp:inline distT="0" distB="0" distL="0" distR="0" wp14:anchorId="48FD6385" wp14:editId="3BDFC646">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FF645A" w:rsidRPr="00F474B9" w:rsidRDefault="00FF645A" w:rsidP="00DB4FCE">
      <w:pPr>
        <w:pStyle w:val="AERtablesource"/>
        <w:keepNext/>
      </w:pPr>
      <w:r>
        <w:t>Source:</w:t>
      </w:r>
      <w:r>
        <w:tab/>
      </w:r>
      <w:r w:rsidRPr="00F474B9">
        <w:t>AER analysis</w:t>
      </w:r>
      <w:r w:rsidRPr="00F474B9">
        <w:rPr>
          <w:rStyle w:val="FootnoteReference"/>
        </w:rPr>
        <w:footnoteReference w:id="241"/>
      </w:r>
    </w:p>
    <w:p w:rsidR="00FF645A" w:rsidRDefault="00FF645A" w:rsidP="00DB4FCE">
      <w:pPr>
        <w:pStyle w:val="AERtablesource"/>
        <w:keepNext/>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FF645A" w:rsidRDefault="00FF645A" w:rsidP="00FF645A">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0230CB">
        <w:t xml:space="preserve">Table </w:t>
      </w:r>
      <w:r w:rsidR="000230CB">
        <w:rPr>
          <w:noProof/>
        </w:rPr>
        <w:t>3</w:t>
      </w:r>
      <w:r w:rsidR="000230CB">
        <w:noBreakHyphen/>
      </w:r>
      <w:r w:rsidR="000230CB">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2"/>
      </w:r>
      <w:r>
        <w:t xml:space="preserve"> </w:t>
      </w:r>
    </w:p>
    <w:p w:rsidR="00FF645A" w:rsidRDefault="00FF645A" w:rsidP="00FF645A">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68661A">
        <w:t>ARORO</w:t>
      </w:r>
      <w:r w:rsidRPr="00B005DF">
        <w:t xml:space="preserve">. </w:t>
      </w:r>
      <w:r>
        <w:t xml:space="preserve"> We are satisfied that an equity beta of 0.7 will contribute to the achievement of the </w:t>
      </w:r>
      <w:r w:rsidR="0068661A">
        <w:t xml:space="preserve">ARORO </w:t>
      </w:r>
      <w:r>
        <w:t>and the NGO.</w:t>
      </w:r>
      <w:r>
        <w:rPr>
          <w:rStyle w:val="FootnoteReference"/>
        </w:rPr>
        <w:footnoteReference w:id="243"/>
      </w:r>
    </w:p>
    <w:p w:rsidR="00FF645A" w:rsidRDefault="00FF645A" w:rsidP="00FF645A">
      <w:pPr>
        <w:pStyle w:val="Caption"/>
      </w:pPr>
      <w:bookmarkStart w:id="73" w:name="_Ref446189883"/>
      <w:r>
        <w:t xml:space="preserve">Table </w:t>
      </w:r>
      <w:r w:rsidRPr="00245C96">
        <w:fldChar w:fldCharType="begin"/>
      </w:r>
      <w:r>
        <w:instrText xml:space="preserve"> STYLEREF 1 \s </w:instrText>
      </w:r>
      <w:r w:rsidRPr="00245C96">
        <w:fldChar w:fldCharType="separate"/>
      </w:r>
      <w:r w:rsidR="000230CB">
        <w:rPr>
          <w:noProof/>
        </w:rPr>
        <w:t>3</w:t>
      </w:r>
      <w:r w:rsidRPr="00245C96">
        <w:fldChar w:fldCharType="end"/>
      </w:r>
      <w:r>
        <w:noBreakHyphen/>
      </w:r>
      <w:r w:rsidRPr="00245C96">
        <w:fldChar w:fldCharType="begin"/>
      </w:r>
      <w:r>
        <w:instrText xml:space="preserve"> SEQ Table \* ARABIC \s 1 </w:instrText>
      </w:r>
      <w:r w:rsidRPr="00245C96">
        <w:fldChar w:fldCharType="separate"/>
      </w:r>
      <w:r w:rsidR="000230CB">
        <w:rPr>
          <w:noProof/>
        </w:rPr>
        <w:t>6</w:t>
      </w:r>
      <w:r w:rsidRPr="00245C96">
        <w:fldChar w:fldCharType="end"/>
      </w:r>
      <w:bookmarkEnd w:id="73"/>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FF645A" w:rsidTr="00DB4FCE">
        <w:trPr>
          <w:cnfStyle w:val="100000000000" w:firstRow="1" w:lastRow="0" w:firstColumn="0" w:lastColumn="0" w:oddVBand="0" w:evenVBand="0" w:oddHBand="0" w:evenHBand="0" w:firstRowFirstColumn="0" w:firstRowLastColumn="0" w:lastRowFirstColumn="0" w:lastRowLastColumn="0"/>
          <w:tblHeader/>
        </w:trPr>
        <w:tc>
          <w:tcPr>
            <w:tcW w:w="3510" w:type="dxa"/>
          </w:tcPr>
          <w:p w:rsidR="00FF645A" w:rsidRPr="00FF645A" w:rsidRDefault="00FF645A" w:rsidP="00FF645A">
            <w:r>
              <w:t>Issue</w:t>
            </w:r>
          </w:p>
        </w:tc>
        <w:tc>
          <w:tcPr>
            <w:tcW w:w="5183" w:type="dxa"/>
          </w:tcPr>
          <w:p w:rsidR="00FF645A" w:rsidRPr="00FF645A" w:rsidRDefault="00FF645A" w:rsidP="00FF645A">
            <w:r>
              <w:t>Our response</w:t>
            </w:r>
          </w:p>
        </w:tc>
      </w:tr>
      <w:tr w:rsidR="00FF645A" w:rsidTr="009A39AD">
        <w:tc>
          <w:tcPr>
            <w:tcW w:w="8693" w:type="dxa"/>
            <w:gridSpan w:val="2"/>
          </w:tcPr>
          <w:p w:rsidR="00FF645A" w:rsidRPr="00FF645A" w:rsidRDefault="00FF645A" w:rsidP="00FF645A">
            <w:pPr>
              <w:rPr>
                <w:rStyle w:val="AERtextsize8"/>
              </w:rPr>
            </w:pPr>
            <w:r>
              <w:rPr>
                <w:rStyle w:val="Strong"/>
              </w:rPr>
              <w:t>E</w:t>
            </w:r>
            <w:r w:rsidRPr="00FF645A">
              <w:rPr>
                <w:rStyle w:val="Strong"/>
              </w:rPr>
              <w:t>mpirical analysis</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Our comparator set of Australian energy network firms is too small and results in unreliable equity beta estimates</w:t>
            </w:r>
            <w:r w:rsidRPr="00FF645A">
              <w:rPr>
                <w:rStyle w:val="FootnoteReference"/>
              </w:rPr>
              <w:footnoteReference w:id="244"/>
            </w:r>
          </w:p>
        </w:tc>
        <w:tc>
          <w:tcPr>
            <w:tcW w:w="5183" w:type="dxa"/>
          </w:tcPr>
          <w:p w:rsidR="00FF645A" w:rsidRDefault="00FF645A" w:rsidP="00FF645A">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FF645A" w:rsidRDefault="00FF645A" w:rsidP="00FF645A">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rsidR="0068661A">
              <w:t>ARORO</w:t>
            </w:r>
            <w:r w:rsidRPr="00DF4B12">
              <w:rPr>
                <w:rStyle w:val="AERtextsize8"/>
              </w:rPr>
              <w:t>.</w:t>
            </w:r>
            <w:r>
              <w:t xml:space="preserve"> The comparator set contains firms with a similar degree of risk as that which applies to AGN's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FF645A" w:rsidRPr="007C153E" w:rsidRDefault="00FF645A" w:rsidP="00FF645A">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0230CB">
              <w:rPr>
                <w:rStyle w:val="AERtextsize8"/>
              </w:rPr>
              <w:t>G.4.2</w:t>
            </w:r>
            <w:r>
              <w:rPr>
                <w:rStyle w:val="AERtextsize8"/>
              </w:rPr>
              <w:fldChar w:fldCharType="end"/>
            </w:r>
            <w:r>
              <w:rPr>
                <w:rStyle w:val="AERtextsize8"/>
              </w:rPr>
              <w:t xml:space="preserve"> of this attachment. We also considered this issue in detail in sections D.2.1, D.2.3, and D.5.1 of Attachment 3 to AGN's draft decision and that reasoning remains relevant.</w:t>
            </w:r>
          </w:p>
        </w:tc>
      </w:tr>
      <w:tr w:rsidR="00FF645A" w:rsidTr="009A39AD">
        <w:tc>
          <w:tcPr>
            <w:tcW w:w="3510" w:type="dxa"/>
          </w:tcPr>
          <w:p w:rsidR="00FF645A" w:rsidRPr="00FF645A" w:rsidRDefault="00FF645A" w:rsidP="00FF645A">
            <w:pPr>
              <w:rPr>
                <w:rStyle w:val="AERtextsize8"/>
              </w:rPr>
            </w:pPr>
            <w:r>
              <w:rPr>
                <w:rStyle w:val="AERtextsize8"/>
              </w:rPr>
              <w:t>Our comparator set should include international energy firms</w:t>
            </w:r>
            <w:r w:rsidRPr="00FF645A">
              <w:rPr>
                <w:rStyle w:val="AERtextsize8"/>
              </w:rPr>
              <w:t xml:space="preserve"> (specifically, 56 US firms) and Australian non-energy infrastructure firms</w:t>
            </w:r>
            <w:r w:rsidRPr="00FF645A">
              <w:rPr>
                <w:rStyle w:val="FootnoteReference"/>
              </w:rPr>
              <w:footnoteReference w:id="245"/>
            </w:r>
          </w:p>
        </w:tc>
        <w:tc>
          <w:tcPr>
            <w:tcW w:w="5183" w:type="dxa"/>
          </w:tcPr>
          <w:p w:rsidR="00FF645A" w:rsidRPr="00FF645A" w:rsidRDefault="00FF645A" w:rsidP="00FF645A">
            <w:pPr>
              <w:rPr>
                <w:rStyle w:val="AERtextsize8"/>
              </w:rPr>
            </w:pPr>
            <w:r w:rsidRPr="00DF4B12">
              <w:rPr>
                <w:rStyle w:val="AERtextsize8"/>
              </w:rPr>
              <w:t xml:space="preserve">We consider international energy firms are </w:t>
            </w:r>
            <w:r w:rsidRPr="00FF645A">
              <w:rPr>
                <w:rStyle w:val="AERtextsize8"/>
              </w:rPr>
              <w:t xml:space="preserve">unlikely to have a similar degree of risk as </w:t>
            </w:r>
            <w:r>
              <w:rPr>
                <w:rStyle w:val="AERtextsize8"/>
              </w:rPr>
              <w:t>AGN</w:t>
            </w:r>
            <w:r w:rsidRPr="00FF645A">
              <w:rPr>
                <w:rStyle w:val="AERtextsize8"/>
              </w:rPr>
              <w:t xml:space="preserve"> (in the provision of regulated services), for several reasons set out in section </w:t>
            </w:r>
            <w:r w:rsidRPr="00FF645A">
              <w:rPr>
                <w:rStyle w:val="AERtextsize8"/>
              </w:rPr>
              <w:fldChar w:fldCharType="begin"/>
            </w:r>
            <w:r w:rsidRPr="00FF645A">
              <w:rPr>
                <w:rStyle w:val="AERtextsize8"/>
              </w:rPr>
              <w:instrText xml:space="preserve"> REF _Ref446254445 \r \h </w:instrText>
            </w:r>
            <w:r w:rsidRPr="00FF645A">
              <w:rPr>
                <w:rStyle w:val="AERtextsize8"/>
              </w:rPr>
            </w:r>
            <w:r w:rsidRPr="00FF645A">
              <w:rPr>
                <w:rStyle w:val="AERtextsize8"/>
              </w:rPr>
              <w:fldChar w:fldCharType="separate"/>
            </w:r>
            <w:r w:rsidR="000230CB">
              <w:rPr>
                <w:rStyle w:val="AERtextsize8"/>
              </w:rPr>
              <w:t>G.4.3</w:t>
            </w:r>
            <w:r w:rsidRPr="00FF645A">
              <w:rPr>
                <w:rStyle w:val="AERtextsize8"/>
              </w:rPr>
              <w:fldChar w:fldCharType="end"/>
            </w:r>
            <w:r w:rsidRPr="00FF645A">
              <w:rPr>
                <w:rStyle w:val="AERtextsize8"/>
              </w:rPr>
              <w:t xml:space="preserve"> of this attachment. We also considered this issue in detail in section D.2.1 of Attachment 3 to </w:t>
            </w:r>
            <w:r>
              <w:rPr>
                <w:rStyle w:val="AERtextsize8"/>
              </w:rPr>
              <w:t>AGN's</w:t>
            </w:r>
            <w:r w:rsidRPr="00FF645A">
              <w:rPr>
                <w:rStyle w:val="AERtextsize8"/>
              </w:rPr>
              <w:t xml:space="preserve"> draft decision.</w:t>
            </w:r>
            <w:r w:rsidRPr="00FF645A">
              <w:rPr>
                <w:rStyle w:val="CommentReference"/>
              </w:rPr>
              <w:t xml:space="preserve"> </w:t>
            </w:r>
          </w:p>
          <w:p w:rsidR="00FF645A" w:rsidRPr="00FF645A" w:rsidRDefault="00FF645A" w:rsidP="00FF645A">
            <w:pPr>
              <w:rPr>
                <w:rStyle w:val="AERtextsize8"/>
              </w:rPr>
            </w:pPr>
            <w:r>
              <w:rPr>
                <w:rStyle w:val="AERtextsize8"/>
              </w:rPr>
              <w:t>W</w:t>
            </w:r>
            <w:r w:rsidRPr="00FF645A">
              <w:rPr>
                <w:rStyle w:val="AERtextsize8"/>
              </w:rPr>
              <w:t xml:space="preserve">e also consider other (Australian) infrastructure firms are not suitable comparators to the benchmark efficient entity in this case, for several reasons set out in section </w:t>
            </w:r>
            <w:r w:rsidRPr="00FF645A">
              <w:rPr>
                <w:rStyle w:val="AERtextsize8"/>
              </w:rPr>
              <w:fldChar w:fldCharType="begin"/>
            </w:r>
            <w:r w:rsidRPr="00FF645A">
              <w:rPr>
                <w:rStyle w:val="AERtextsize8"/>
              </w:rPr>
              <w:instrText xml:space="preserve"> REF _Ref446254437 \r \h </w:instrText>
            </w:r>
            <w:r w:rsidRPr="00FF645A">
              <w:rPr>
                <w:rStyle w:val="AERtextsize8"/>
              </w:rPr>
            </w:r>
            <w:r w:rsidRPr="00FF645A">
              <w:rPr>
                <w:rStyle w:val="AERtextsize8"/>
              </w:rPr>
              <w:fldChar w:fldCharType="separate"/>
            </w:r>
            <w:r w:rsidR="000230CB">
              <w:rPr>
                <w:rStyle w:val="AERtextsize8"/>
              </w:rPr>
              <w:t>G.4.4</w:t>
            </w:r>
            <w:r w:rsidRPr="00FF645A">
              <w:rPr>
                <w:rStyle w:val="AERtextsize8"/>
              </w:rPr>
              <w:fldChar w:fldCharType="end"/>
            </w:r>
            <w:r w:rsidRPr="00FF645A">
              <w:rPr>
                <w:rStyle w:val="AERtextsize8"/>
              </w:rPr>
              <w:t xml:space="preserve"> of this attachment. </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 xml:space="preserve">Our comparator set should not be restricted to regulated entities as the benchmark efficient entity should </w:t>
            </w:r>
            <w:r w:rsidRPr="00FF645A">
              <w:rPr>
                <w:rStyle w:val="AERtextsize8"/>
              </w:rPr>
              <w:t>be defined as an unregulated entity operating in a workably competitive market</w:t>
            </w:r>
            <w:r w:rsidRPr="00FF645A">
              <w:rPr>
                <w:rStyle w:val="FootnoteReference"/>
              </w:rPr>
              <w:footnoteReference w:id="246"/>
            </w:r>
            <w:r w:rsidRPr="00FF645A">
              <w:rPr>
                <w:rStyle w:val="AERtextsize8"/>
              </w:rPr>
              <w:t xml:space="preserve"> </w:t>
            </w:r>
          </w:p>
        </w:tc>
        <w:tc>
          <w:tcPr>
            <w:tcW w:w="5183" w:type="dxa"/>
          </w:tcPr>
          <w:p w:rsidR="00FF645A" w:rsidRPr="00FF645A" w:rsidRDefault="00FF645A" w:rsidP="003F399F">
            <w:pPr>
              <w:rPr>
                <w:rStyle w:val="AERtextsize8"/>
              </w:rPr>
            </w:pPr>
            <w:r w:rsidRPr="00FB32AD">
              <w:rPr>
                <w:rStyle w:val="AERtextsize8"/>
              </w:rPr>
              <w:t>We do not agree</w:t>
            </w:r>
            <w:r w:rsidRPr="00FF645A">
              <w:rPr>
                <w:rStyle w:val="AERtextsize8"/>
              </w:rPr>
              <w:t xml:space="preserve">. </w:t>
            </w:r>
            <w:r w:rsidRPr="00FF645A">
              <w:t>We consider the regulatory framework for the provision of reference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FF645A" w:rsidTr="009A39AD">
        <w:tc>
          <w:tcPr>
            <w:tcW w:w="3510" w:type="dxa"/>
          </w:tcPr>
          <w:p w:rsidR="00FF645A" w:rsidRPr="00FF645A" w:rsidRDefault="00FF645A" w:rsidP="00FF645A">
            <w:pPr>
              <w:rPr>
                <w:rStyle w:val="AERtextsize8"/>
              </w:rPr>
            </w:pPr>
            <w:r>
              <w:rPr>
                <w:rStyle w:val="AERtextsize8"/>
              </w:rPr>
              <w:t xml:space="preserve">Our comparator set should exclude firms that are less comparable to the benchmark efficient </w:t>
            </w:r>
            <w:r w:rsidRPr="00FF645A">
              <w:rPr>
                <w:rStyle w:val="AERtextsize8"/>
              </w:rPr>
              <w:t>entity (e.g. have a low proportion of regulated assets)</w:t>
            </w:r>
            <w:r w:rsidRPr="00FF645A">
              <w:rPr>
                <w:rStyle w:val="FootnoteReference"/>
              </w:rPr>
              <w:footnoteReference w:id="247"/>
            </w:r>
          </w:p>
        </w:tc>
        <w:tc>
          <w:tcPr>
            <w:tcW w:w="5183" w:type="dxa"/>
          </w:tcPr>
          <w:p w:rsidR="00FF645A" w:rsidRPr="00FF645A" w:rsidRDefault="00FF645A" w:rsidP="00FF645A">
            <w:pPr>
              <w:rPr>
                <w:rStyle w:val="AERtextsize8"/>
              </w:rPr>
            </w:pPr>
            <w:r w:rsidRPr="00FB32AD">
              <w:rPr>
                <w:rStyle w:val="AERtextsize8"/>
              </w:rPr>
              <w:t xml:space="preserve">We are satisfied, at this time, that our comparator set is sufficiently reflective of the benchmark efficient entity, given </w:t>
            </w:r>
            <w:r w:rsidRPr="00FF645A">
              <w:rPr>
                <w:rStyle w:val="AERtextsize8"/>
              </w:rPr>
              <w:t xml:space="preserve">the trade-off between increased statistical precision from a larger comparator set and comparability of the firms to the benchmark efficient entity. For more detail, see section D.2.1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 xml:space="preserve">Our comparator set should exclude delisted </w:t>
            </w:r>
            <w:r w:rsidRPr="00FF645A">
              <w:rPr>
                <w:rStyle w:val="AERtextsize8"/>
              </w:rPr>
              <w:t>firms whose data are outdated</w:t>
            </w:r>
            <w:r w:rsidRPr="00FF645A">
              <w:rPr>
                <w:rStyle w:val="FootnoteReference"/>
              </w:rPr>
              <w:footnoteReference w:id="248"/>
            </w:r>
          </w:p>
        </w:tc>
        <w:tc>
          <w:tcPr>
            <w:tcW w:w="5183" w:type="dxa"/>
          </w:tcPr>
          <w:p w:rsidR="00FF645A" w:rsidRPr="00FF645A" w:rsidRDefault="00FF645A" w:rsidP="00FF645A">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FF645A">
              <w:t xml:space="preserve">d and GasNet (who only have relevant data to 2006 or 2007). The average estimate from this estimation period is not substantially different from the longer estimation periods (in fact, it is slightly lower, see </w:t>
            </w:r>
            <w:r w:rsidRPr="00FF645A">
              <w:fldChar w:fldCharType="begin"/>
            </w:r>
            <w:r w:rsidRPr="00FF645A">
              <w:instrText xml:space="preserve"> REF _Ref446197185 \h </w:instrText>
            </w:r>
            <w:r w:rsidRPr="00FF645A">
              <w:fldChar w:fldCharType="separate"/>
            </w:r>
            <w:r w:rsidR="000230CB">
              <w:t xml:space="preserve">Table </w:t>
            </w:r>
            <w:r w:rsidR="000230CB">
              <w:rPr>
                <w:noProof/>
              </w:rPr>
              <w:t>3</w:t>
            </w:r>
            <w:r w:rsidR="000230CB">
              <w:noBreakHyphen/>
            </w:r>
            <w:r w:rsidR="000230CB">
              <w:rPr>
                <w:noProof/>
              </w:rPr>
              <w:t>35</w:t>
            </w:r>
            <w:r w:rsidRPr="00FF645A">
              <w:fldChar w:fldCharType="end"/>
            </w:r>
            <w:r w:rsidRPr="00FF645A">
              <w:t xml:space="preserve">). The two most recent portfolios we consider (P4 and P5) also provide estimates that are, overall, not substantially different from the portfolios that include older data (see </w:t>
            </w:r>
            <w:r w:rsidRPr="00FF645A">
              <w:fldChar w:fldCharType="begin"/>
            </w:r>
            <w:r w:rsidRPr="00FF645A">
              <w:instrText xml:space="preserve"> REF _Ref446197176 \h </w:instrText>
            </w:r>
            <w:r w:rsidRPr="00FF645A">
              <w:fldChar w:fldCharType="separate"/>
            </w:r>
            <w:r w:rsidR="000230CB">
              <w:t xml:space="preserve">Table </w:t>
            </w:r>
            <w:r w:rsidR="000230CB">
              <w:rPr>
                <w:noProof/>
              </w:rPr>
              <w:t>3</w:t>
            </w:r>
            <w:r w:rsidR="000230CB">
              <w:noBreakHyphen/>
            </w:r>
            <w:r w:rsidR="000230CB">
              <w:rPr>
                <w:noProof/>
              </w:rPr>
              <w:t>36</w:t>
            </w:r>
            <w:r w:rsidRPr="00FF645A">
              <w:fldChar w:fldCharType="end"/>
            </w:r>
            <w:r w:rsidRPr="00FF645A">
              <w:t>). We consider these results suggest that including older data in our empirical analysis (which increases the size of our dataset) does not bias the results.</w:t>
            </w:r>
          </w:p>
        </w:tc>
      </w:tr>
      <w:tr w:rsidR="00FF645A" w:rsidTr="009A39AD">
        <w:tc>
          <w:tcPr>
            <w:tcW w:w="3510" w:type="dxa"/>
          </w:tcPr>
          <w:p w:rsidR="00FF645A" w:rsidRPr="00FF645A" w:rsidRDefault="00FF645A" w:rsidP="00FF645A">
            <w:pPr>
              <w:rPr>
                <w:rStyle w:val="AERtextsize8"/>
              </w:rPr>
            </w:pPr>
            <w:r>
              <w:rPr>
                <w:rStyle w:val="AERtextsize8"/>
              </w:rPr>
              <w:t xml:space="preserve">The </w:t>
            </w:r>
            <w:r w:rsidRPr="00FF645A">
              <w:rPr>
                <w:rStyle w:val="AERtextsize8"/>
              </w:rPr>
              <w:t>Least Absolute Deviations (LAD) estimation method produces systematically downward biased equity beta estimates and should not be used</w:t>
            </w:r>
            <w:r w:rsidRPr="00FF645A">
              <w:rPr>
                <w:rStyle w:val="FootnoteReference"/>
              </w:rPr>
              <w:footnoteReference w:id="249"/>
            </w:r>
          </w:p>
        </w:tc>
        <w:tc>
          <w:tcPr>
            <w:tcW w:w="5183" w:type="dxa"/>
          </w:tcPr>
          <w:p w:rsidR="00FF645A" w:rsidRPr="00FF645A" w:rsidRDefault="00FF645A" w:rsidP="00FF645A">
            <w:pPr>
              <w:rPr>
                <w:rStyle w:val="AERtextsize8"/>
              </w:rPr>
            </w:pPr>
            <w:r>
              <w:t>We are not satisfied that SFG has produced compelling evidence to infer the LAD estimator produces systematically downward biased estimates of equity beta.</w:t>
            </w:r>
            <w:r w:rsidRPr="00FF645A">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FF645A">
              <w:rPr>
                <w:rStyle w:val="AERtextsize8"/>
              </w:rPr>
              <w:t xml:space="preserve">We considered this issue in section D.2.2 of Attachment 3 to </w:t>
            </w:r>
            <w:r>
              <w:rPr>
                <w:rStyle w:val="AERtextsize8"/>
              </w:rPr>
              <w:t>AGN's</w:t>
            </w:r>
            <w:r w:rsidRPr="00FF645A">
              <w:rPr>
                <w:rStyle w:val="AERtextsize8"/>
              </w:rPr>
              <w:t xml:space="preserve"> draft decision and that reasoning remains relevant.</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The mining boom should be excluded from the estimation periods</w:t>
            </w:r>
            <w:r w:rsidRPr="00FF645A">
              <w:rPr>
                <w:rStyle w:val="FootnoteReference"/>
              </w:rPr>
              <w:footnoteReference w:id="250"/>
            </w:r>
          </w:p>
        </w:tc>
        <w:tc>
          <w:tcPr>
            <w:tcW w:w="5183" w:type="dxa"/>
          </w:tcPr>
          <w:p w:rsidR="00FF645A" w:rsidRPr="00FF645A" w:rsidRDefault="00FF645A" w:rsidP="00FF645A">
            <w:pPr>
              <w:rPr>
                <w:rStyle w:val="AERtextsize8"/>
              </w:rPr>
            </w:pPr>
            <w:r>
              <w:rPr>
                <w:rStyle w:val="AERtextsize8"/>
              </w:rPr>
              <w:t>W</w:t>
            </w:r>
            <w:r w:rsidRPr="00FF645A">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 xml:space="preserve">We do not </w:t>
            </w:r>
            <w:r w:rsidRPr="00FF645A">
              <w:rPr>
                <w:rStyle w:val="AERtextsize8"/>
              </w:rPr>
              <w:t>account for variation in equity beta estimates based on how the return interval is defined (in particular, what reference day is chosen to calculate weekly or monthly returns)</w:t>
            </w:r>
            <w:r w:rsidRPr="00FF645A">
              <w:rPr>
                <w:rStyle w:val="FootnoteReference"/>
              </w:rPr>
              <w:footnoteReference w:id="251"/>
            </w:r>
          </w:p>
        </w:tc>
        <w:tc>
          <w:tcPr>
            <w:tcW w:w="5183" w:type="dxa"/>
          </w:tcPr>
          <w:p w:rsidR="00FF645A" w:rsidRPr="00FF645A" w:rsidRDefault="00FF645A" w:rsidP="00FF645A">
            <w:pPr>
              <w:rPr>
                <w:rStyle w:val="AERtextsize8"/>
              </w:rPr>
            </w:pPr>
            <w:r w:rsidRPr="00F62774">
              <w:rPr>
                <w:rStyle w:val="AERtextsize8"/>
              </w:rPr>
              <w:t xml:space="preserve">We do not consider that SFG has provided any basis to expect that returns based </w:t>
            </w:r>
            <w:r w:rsidRPr="00FF645A">
              <w:rPr>
                <w:rStyle w:val="AERtextsize8"/>
              </w:rPr>
              <w:t xml:space="preserve">on a particular day of the week will underestimate or overestimate equity beta for the benchmark efficient entity. For more detail see section D.2.2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Only re-levered equity beta estimates should be relied on</w:t>
            </w:r>
            <w:r w:rsidRPr="00FF645A">
              <w:rPr>
                <w:rStyle w:val="FootnoteReference"/>
              </w:rPr>
              <w:footnoteReference w:id="252"/>
            </w:r>
          </w:p>
        </w:tc>
        <w:tc>
          <w:tcPr>
            <w:tcW w:w="5183" w:type="dxa"/>
          </w:tcPr>
          <w:p w:rsidR="00FF645A" w:rsidRPr="00FF645A" w:rsidRDefault="00FF645A" w:rsidP="00FF645A">
            <w:pPr>
              <w:rPr>
                <w:rStyle w:val="AERtextsize8"/>
              </w:rPr>
            </w:pPr>
            <w:r>
              <w:rPr>
                <w:rStyle w:val="AERtextsize8"/>
              </w:rPr>
              <w:t xml:space="preserve">We consider </w:t>
            </w:r>
            <w:r w:rsidRPr="00FF645A">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Pr>
                <w:rStyle w:val="AERtextsize8"/>
              </w:rPr>
              <w:t>AGN's</w:t>
            </w:r>
            <w:r w:rsidRPr="00FF645A">
              <w:rPr>
                <w:rStyle w:val="AERtextsize8"/>
              </w:rPr>
              <w:t xml:space="preserve"> draft decision. In their most recent report, Partington and Satchell reiterate their view that re-levering equity betas is problematic.</w:t>
            </w:r>
            <w:r w:rsidRPr="00FF645A">
              <w:rPr>
                <w:rStyle w:val="FootnoteReference"/>
              </w:rPr>
              <w:footnoteReference w:id="253"/>
            </w:r>
          </w:p>
        </w:tc>
      </w:tr>
      <w:tr w:rsidR="00FF645A" w:rsidTr="009A39AD">
        <w:tc>
          <w:tcPr>
            <w:tcW w:w="3510" w:type="dxa"/>
          </w:tcPr>
          <w:p w:rsidR="00FF645A" w:rsidRPr="00FF645A" w:rsidRDefault="00FF645A" w:rsidP="00FF645A">
            <w:pPr>
              <w:rPr>
                <w:rStyle w:val="AERtextsize8"/>
              </w:rPr>
            </w:pPr>
            <w:r>
              <w:rPr>
                <w:rStyle w:val="AERtextsize8"/>
              </w:rPr>
              <w:t>Averages of individual firm estimates are largely meaningless</w:t>
            </w:r>
            <w:r w:rsidRPr="00FF645A">
              <w:rPr>
                <w:rStyle w:val="FootnoteReference"/>
              </w:rPr>
              <w:footnoteReference w:id="254"/>
            </w:r>
            <w:r w:rsidRPr="00FF645A">
              <w:rPr>
                <w:rStyle w:val="AERtextsize8"/>
              </w:rPr>
              <w:t xml:space="preserve"> </w:t>
            </w:r>
          </w:p>
        </w:tc>
        <w:tc>
          <w:tcPr>
            <w:tcW w:w="5183" w:type="dxa"/>
          </w:tcPr>
          <w:p w:rsidR="00FF645A" w:rsidRPr="00FF645A" w:rsidRDefault="00FF645A" w:rsidP="00FF645A">
            <w:pPr>
              <w:rPr>
                <w:rStyle w:val="AERtextsize8"/>
              </w:rPr>
            </w:pPr>
            <w:r w:rsidRPr="00B14F38">
              <w:rPr>
                <w:rStyle w:val="AERtextsize8"/>
              </w:rPr>
              <w:t xml:space="preserve">Because no one comparator firm is perfectly reflective of </w:t>
            </w:r>
            <w:r w:rsidRPr="00FF645A">
              <w:rPr>
                <w:rStyle w:val="AERtextsize8"/>
              </w:rPr>
              <w:t xml:space="preserve">a benchmark efficient entity with a similar degree of risk as that which applies to </w:t>
            </w:r>
            <w:r>
              <w:rPr>
                <w:rStyle w:val="AERtextsize8"/>
              </w:rPr>
              <w:t>AGN</w:t>
            </w:r>
            <w:r w:rsidRPr="00FF645A">
              <w:rPr>
                <w:rStyle w:val="AERtextsize8"/>
              </w:rPr>
              <w:t xml:space="preserve"> in providing regulated services, we rely on averages of individual firm estimates to determine an equity beta range. SFG, Frontier Economics, CEG and NERA, in their reports for several service providers, also rely on averages of individual firm estimates.</w:t>
            </w:r>
            <w:r w:rsidRPr="00FF645A">
              <w:rPr>
                <w:rStyle w:val="FootnoteReference"/>
              </w:rPr>
              <w:footnoteReference w:id="255"/>
            </w:r>
            <w:r w:rsidRPr="00FF645A">
              <w:rPr>
                <w:rStyle w:val="AERtextsize8"/>
              </w:rPr>
              <w:t xml:space="preserve"> For more detail see section D.2.2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The basis of the portfolio formations in Henry's 2014 report is unclear</w:t>
            </w:r>
            <w:r w:rsidRPr="00FF645A">
              <w:rPr>
                <w:rStyle w:val="FootnoteReference"/>
              </w:rPr>
              <w:footnoteReference w:id="256"/>
            </w:r>
          </w:p>
        </w:tc>
        <w:tc>
          <w:tcPr>
            <w:tcW w:w="5183" w:type="dxa"/>
          </w:tcPr>
          <w:p w:rsidR="00FF645A" w:rsidRPr="00FF645A" w:rsidRDefault="00FF645A" w:rsidP="00FF645A">
            <w:pPr>
              <w:rPr>
                <w:rStyle w:val="AERtextsize8"/>
              </w:rPr>
            </w:pPr>
            <w:r w:rsidRPr="00B428B6">
              <w:rPr>
                <w:rStyle w:val="AERtextsize8"/>
              </w:rPr>
              <w:t xml:space="preserve">Each firm </w:t>
            </w:r>
            <w:r w:rsidRPr="00FF645A">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FF645A" w:rsidRPr="00FF645A" w:rsidRDefault="00FF645A" w:rsidP="00FF645A">
            <w:pPr>
              <w:rPr>
                <w:rStyle w:val="AERtextsize8"/>
              </w:rPr>
            </w:pPr>
            <w:r>
              <w:rPr>
                <w:rStyle w:val="AERtextsize8"/>
              </w:rPr>
              <w:t>T</w:t>
            </w:r>
            <w:r w:rsidRPr="00FF645A">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FF645A">
              <w:rPr>
                <w:rStyle w:val="FootnoteReference"/>
              </w:rPr>
              <w:footnoteReference w:id="257"/>
            </w:r>
          </w:p>
        </w:tc>
      </w:tr>
      <w:tr w:rsidR="00FF645A" w:rsidTr="009A39AD">
        <w:tc>
          <w:tcPr>
            <w:tcW w:w="3510" w:type="dxa"/>
          </w:tcPr>
          <w:p w:rsidR="00FF645A" w:rsidRPr="00FF645A" w:rsidRDefault="00FF645A" w:rsidP="00FF645A">
            <w:pPr>
              <w:rPr>
                <w:rStyle w:val="AERtextsize8"/>
              </w:rPr>
            </w:pPr>
            <w:r>
              <w:rPr>
                <w:rStyle w:val="AERtextsize8"/>
              </w:rPr>
              <w:t>The Vasicek adjustment mitigates systematic estimation error</w:t>
            </w:r>
            <w:r w:rsidRPr="00FF645A">
              <w:rPr>
                <w:rStyle w:val="FootnoteReference"/>
              </w:rPr>
              <w:footnoteReference w:id="258"/>
            </w:r>
          </w:p>
        </w:tc>
        <w:tc>
          <w:tcPr>
            <w:tcW w:w="5183" w:type="dxa"/>
          </w:tcPr>
          <w:p w:rsidR="00FF645A" w:rsidRPr="00FF645A" w:rsidRDefault="00FF645A" w:rsidP="00FF645A">
            <w:pPr>
              <w:rPr>
                <w:rStyle w:val="AERtextsize8"/>
              </w:rPr>
            </w:pPr>
            <w:r w:rsidRPr="00A357BE">
              <w:rPr>
                <w:rStyle w:val="AERtextsize8"/>
              </w:rPr>
              <w:t xml:space="preserve">We do not apply </w:t>
            </w:r>
            <w:r w:rsidRPr="00FF645A">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Strong"/>
              </w:rPr>
            </w:pPr>
            <w:r w:rsidRPr="007353C8">
              <w:rPr>
                <w:rStyle w:val="Strong"/>
              </w:rPr>
              <w:t>Australian empirical estimates</w:t>
            </w:r>
          </w:p>
        </w:tc>
        <w:tc>
          <w:tcPr>
            <w:tcW w:w="5183" w:type="dxa"/>
          </w:tcPr>
          <w:p w:rsidR="00FF645A" w:rsidRDefault="00FF645A" w:rsidP="00FF645A">
            <w:pPr>
              <w:rPr>
                <w:rStyle w:val="AERtextsize8"/>
              </w:rPr>
            </w:pPr>
          </w:p>
        </w:tc>
      </w:tr>
      <w:tr w:rsidR="00FF645A" w:rsidTr="009A39AD">
        <w:tc>
          <w:tcPr>
            <w:tcW w:w="3510" w:type="dxa"/>
          </w:tcPr>
          <w:p w:rsidR="00FF645A" w:rsidRPr="00FF645A" w:rsidRDefault="00FF645A" w:rsidP="00FF645A">
            <w:pPr>
              <w:rPr>
                <w:rStyle w:val="AERtextsize8"/>
              </w:rPr>
            </w:pPr>
            <w:r>
              <w:rPr>
                <w:rStyle w:val="AERtextsize8"/>
              </w:rPr>
              <w:t>Our range derived from Australian empirical estimates (0.4 to 0.7) is incorrect and inconsistent with Henry's 2014 report</w:t>
            </w:r>
            <w:r w:rsidRPr="00FF645A">
              <w:rPr>
                <w:rStyle w:val="FootnoteReference"/>
              </w:rPr>
              <w:footnoteReference w:id="259"/>
            </w:r>
          </w:p>
        </w:tc>
        <w:tc>
          <w:tcPr>
            <w:tcW w:w="5183" w:type="dxa"/>
          </w:tcPr>
          <w:p w:rsidR="00FF645A" w:rsidRPr="00FF645A" w:rsidRDefault="00FF645A" w:rsidP="00FF645A">
            <w:pPr>
              <w:rPr>
                <w:rStyle w:val="AERtextsize8"/>
              </w:rPr>
            </w:pPr>
            <w:r>
              <w:rPr>
                <w:rStyle w:val="AERtextsize8"/>
              </w:rPr>
              <w:t xml:space="preserve">We recognise </w:t>
            </w:r>
            <w:r w:rsidRPr="00FF645A">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sidRPr="00AD5FDC">
              <w:rPr>
                <w:rStyle w:val="AERtextsize8"/>
              </w:rPr>
              <w:t>Serv</w:t>
            </w:r>
            <w:r w:rsidRPr="00FF645A">
              <w:rPr>
                <w:rStyle w:val="AERtextsize8"/>
              </w:rPr>
              <w:t>ice providers submit that the equity beta estimates in Henry's 2014 report are highly variable and imprecise</w:t>
            </w:r>
            <w:r w:rsidRPr="00FF645A">
              <w:rPr>
                <w:rStyle w:val="FootnoteReference"/>
              </w:rPr>
              <w:footnoteReference w:id="260"/>
            </w:r>
          </w:p>
          <w:p w:rsidR="00FF645A" w:rsidRPr="00FF645A" w:rsidRDefault="00FF645A" w:rsidP="00FF645A">
            <w:pPr>
              <w:rPr>
                <w:rStyle w:val="AERtextsize8"/>
              </w:rPr>
            </w:pPr>
            <w:r>
              <w:rPr>
                <w:rStyle w:val="AERtextsize8"/>
              </w:rPr>
              <w:t>Other stakeholders submit that t</w:t>
            </w:r>
            <w:r w:rsidRPr="00FF645A">
              <w:rPr>
                <w:rStyle w:val="AERtextsize8"/>
              </w:rPr>
              <w:t>he equity beta estimates in Henry's 2014 report are clustered around a range of 0.3 to 0.5</w:t>
            </w:r>
            <w:r w:rsidRPr="00FF645A">
              <w:rPr>
                <w:rStyle w:val="FootnoteReference"/>
              </w:rPr>
              <w:footnoteReference w:id="261"/>
            </w:r>
          </w:p>
        </w:tc>
        <w:tc>
          <w:tcPr>
            <w:tcW w:w="5183" w:type="dxa"/>
          </w:tcPr>
          <w:p w:rsidR="00FF645A" w:rsidRPr="00FF645A" w:rsidRDefault="00FF645A" w:rsidP="00FF645A">
            <w:pPr>
              <w:rPr>
                <w:rStyle w:val="AERtextsize8"/>
              </w:rPr>
            </w:pPr>
            <w:r>
              <w:rPr>
                <w:rStyle w:val="AERtextsize8"/>
              </w:rPr>
              <w:t>Both</w:t>
            </w:r>
            <w:r w:rsidRPr="00FF645A">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 xml:space="preserve">Australian empirical estimates support an equity beta </w:t>
            </w:r>
            <w:r w:rsidRPr="00FF645A">
              <w:rPr>
                <w:rStyle w:val="AERtextsize8"/>
              </w:rPr>
              <w:t>within the range of 0.5 to 0.6</w:t>
            </w:r>
            <w:r w:rsidRPr="00FF645A">
              <w:rPr>
                <w:rStyle w:val="FootnoteReference"/>
              </w:rPr>
              <w:footnoteReference w:id="262"/>
            </w:r>
          </w:p>
        </w:tc>
        <w:tc>
          <w:tcPr>
            <w:tcW w:w="5183" w:type="dxa"/>
          </w:tcPr>
          <w:p w:rsidR="00FF645A" w:rsidRPr="00FF645A" w:rsidRDefault="00FF645A" w:rsidP="00FF645A">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FF645A">
              <w:rPr>
                <w:rStyle w:val="AERtextsize8"/>
              </w:rPr>
              <w:t xml:space="preserve"> This includes the ERA's 2013 study, which appears to contain the same estimates as the Vo, Mero and Gellard study discussed in the Consumer Challenge Panel's report.</w:t>
            </w:r>
            <w:r w:rsidRPr="00FF645A">
              <w:rPr>
                <w:rStyle w:val="FootnoteReference"/>
              </w:rPr>
              <w:footnoteReference w:id="263"/>
            </w:r>
            <w:r w:rsidRPr="00FF645A">
              <w:rPr>
                <w:rStyle w:val="AERtextsize8"/>
              </w:rPr>
              <w:t xml:space="preserve"> See sections </w:t>
            </w:r>
            <w:r w:rsidRPr="00FF645A">
              <w:rPr>
                <w:rStyle w:val="AERtextsize8"/>
              </w:rPr>
              <w:fldChar w:fldCharType="begin"/>
            </w:r>
            <w:r w:rsidRPr="00FF645A">
              <w:rPr>
                <w:rStyle w:val="AERtextsize8"/>
              </w:rPr>
              <w:instrText xml:space="preserve"> REF _Ref446255169 \r \h </w:instrText>
            </w:r>
            <w:r w:rsidRPr="00FF645A">
              <w:rPr>
                <w:rStyle w:val="AERtextsize8"/>
              </w:rPr>
            </w:r>
            <w:r w:rsidRPr="00FF645A">
              <w:rPr>
                <w:rStyle w:val="AERtextsize8"/>
              </w:rPr>
              <w:fldChar w:fldCharType="separate"/>
            </w:r>
            <w:r w:rsidR="000230CB">
              <w:rPr>
                <w:rStyle w:val="AERtextsize8"/>
              </w:rPr>
              <w:t>G.1</w:t>
            </w:r>
            <w:r w:rsidRPr="00FF645A">
              <w:rPr>
                <w:rStyle w:val="AERtextsize8"/>
              </w:rPr>
              <w:fldChar w:fldCharType="end"/>
            </w:r>
            <w:r w:rsidRPr="00FF645A">
              <w:rPr>
                <w:rStyle w:val="AERtextsize8"/>
              </w:rPr>
              <w:t xml:space="preserve"> and </w:t>
            </w:r>
            <w:r w:rsidRPr="00FF645A">
              <w:rPr>
                <w:rStyle w:val="AERtextsize8"/>
              </w:rPr>
              <w:fldChar w:fldCharType="begin"/>
            </w:r>
            <w:r w:rsidRPr="00FF645A">
              <w:rPr>
                <w:rStyle w:val="AERtextsize8"/>
              </w:rPr>
              <w:instrText xml:space="preserve"> REF _Ref446255164 \r \h </w:instrText>
            </w:r>
            <w:r w:rsidRPr="00FF645A">
              <w:rPr>
                <w:rStyle w:val="AERtextsize8"/>
              </w:rPr>
            </w:r>
            <w:r w:rsidRPr="00FF645A">
              <w:rPr>
                <w:rStyle w:val="AERtextsize8"/>
              </w:rPr>
              <w:fldChar w:fldCharType="separate"/>
            </w:r>
            <w:r w:rsidR="000230CB">
              <w:rPr>
                <w:rStyle w:val="AERtextsize8"/>
              </w:rPr>
              <w:t>G.2</w:t>
            </w:r>
            <w:r w:rsidRPr="00FF645A">
              <w:rPr>
                <w:rStyle w:val="AERtextsize8"/>
              </w:rPr>
              <w:fldChar w:fldCharType="end"/>
            </w:r>
            <w:r w:rsidRPr="00FF645A">
              <w:rPr>
                <w:rStyle w:val="AERtextsize8"/>
              </w:rPr>
              <w:t>.</w:t>
            </w:r>
          </w:p>
          <w:p w:rsidR="00FF645A" w:rsidRPr="00FF645A" w:rsidRDefault="00FF645A" w:rsidP="00FF645A">
            <w:pPr>
              <w:rPr>
                <w:rStyle w:val="AERtextsize8"/>
              </w:rPr>
            </w:pPr>
            <w:r>
              <w:rPr>
                <w:rStyle w:val="AERtextsize8"/>
              </w:rPr>
              <w:t xml:space="preserve">We have regard to other information when selecting our equity beta point estimate from within this range. </w:t>
            </w:r>
            <w:r w:rsidRPr="00FF645A">
              <w:rPr>
                <w:rStyle w:val="AERtextsize8"/>
              </w:rPr>
              <w:t xml:space="preserve">This includes international empirical estimates and the theoretical principles underpinning the Black CAPM. See section D.5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sidRPr="00AD5FDC">
              <w:rPr>
                <w:rStyle w:val="AERtextsize8"/>
              </w:rPr>
              <w:t xml:space="preserve">We have incorrectly analysed the </w:t>
            </w:r>
            <w:r w:rsidRPr="00FF645A">
              <w:rPr>
                <w:rStyle w:val="AERtextsize8"/>
              </w:rPr>
              <w:t>equity beta estimates in Grant Samuel's 2014 independent expert report</w:t>
            </w:r>
            <w:r w:rsidRPr="00FF645A">
              <w:rPr>
                <w:rStyle w:val="FootnoteReference"/>
              </w:rPr>
              <w:footnoteReference w:id="264"/>
            </w:r>
          </w:p>
        </w:tc>
        <w:tc>
          <w:tcPr>
            <w:tcW w:w="5183" w:type="dxa"/>
          </w:tcPr>
          <w:p w:rsidR="00FF645A" w:rsidRPr="00FF645A" w:rsidRDefault="00FF645A" w:rsidP="00FF645A">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FF645A">
              <w:rPr>
                <w:rStyle w:val="AERtextsize8"/>
              </w:rPr>
              <w:t xml:space="preserve">. For more detail see section D.2.4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Strong"/>
              </w:rPr>
            </w:pPr>
            <w:r w:rsidRPr="007353C8">
              <w:rPr>
                <w:rStyle w:val="Strong"/>
              </w:rPr>
              <w:t>International empirical estimates</w:t>
            </w:r>
          </w:p>
        </w:tc>
        <w:tc>
          <w:tcPr>
            <w:tcW w:w="5183" w:type="dxa"/>
          </w:tcPr>
          <w:p w:rsidR="00FF645A" w:rsidRPr="0084394E" w:rsidRDefault="00FF645A" w:rsidP="00FF645A">
            <w:pPr>
              <w:rPr>
                <w:rStyle w:val="AERtextsize8"/>
              </w:rPr>
            </w:pP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Our analysis of international empirical estimates is incorrect</w:t>
            </w:r>
            <w:r w:rsidRPr="00FF645A">
              <w:rPr>
                <w:rStyle w:val="AERtextsize8"/>
              </w:rPr>
              <w:t xml:space="preserve"> because we do not consider the relative reliability of different studies</w:t>
            </w:r>
            <w:r w:rsidRPr="00FF645A">
              <w:rPr>
                <w:rStyle w:val="FootnoteReference"/>
              </w:rPr>
              <w:footnoteReference w:id="265"/>
            </w:r>
          </w:p>
        </w:tc>
        <w:tc>
          <w:tcPr>
            <w:tcW w:w="5183" w:type="dxa"/>
          </w:tcPr>
          <w:p w:rsidR="00FF645A" w:rsidRPr="00FF645A" w:rsidRDefault="00FF645A" w:rsidP="00FF645A">
            <w:pPr>
              <w:rPr>
                <w:rStyle w:val="AERtextsize8"/>
              </w:rPr>
            </w:pPr>
            <w:r w:rsidRPr="0084394E">
              <w:rPr>
                <w:rStyle w:val="AERtextsize8"/>
              </w:rPr>
              <w:t>The reports we review above are from reputable sources.</w:t>
            </w:r>
            <w:r w:rsidRPr="00FF645A">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 xml:space="preserve">The international empirical estimates we </w:t>
            </w:r>
            <w:r w:rsidRPr="00FF645A">
              <w:rPr>
                <w:rStyle w:val="AERtextsize8"/>
              </w:rPr>
              <w:t>consider (correctly analysed) are consistent with an equity beta estimate materially above 0.7</w:t>
            </w:r>
            <w:r w:rsidRPr="00FF645A">
              <w:rPr>
                <w:rStyle w:val="FootnoteReference"/>
              </w:rPr>
              <w:footnoteReference w:id="266"/>
            </w:r>
          </w:p>
        </w:tc>
        <w:tc>
          <w:tcPr>
            <w:tcW w:w="5183" w:type="dxa"/>
          </w:tcPr>
          <w:p w:rsidR="00FF645A" w:rsidRPr="00FF645A" w:rsidRDefault="00FF645A" w:rsidP="00FF645A">
            <w:pPr>
              <w:rPr>
                <w:rStyle w:val="AERtextsize8"/>
              </w:rPr>
            </w:pPr>
            <w:r w:rsidRPr="006A40BF">
              <w:rPr>
                <w:rStyle w:val="AERtextsize8"/>
              </w:rPr>
              <w:t xml:space="preserve">We do not agree with SFG's interpretation of the international evidence we </w:t>
            </w:r>
            <w:r w:rsidRPr="00FF645A">
              <w:rPr>
                <w:rStyle w:val="AERtextsize8"/>
              </w:rPr>
              <w:t xml:space="preserve">consider. We do not consider this evidence implies an equity beta estimate materially above 0.7 for the benchmark efficient entity. For more detail see section D.3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FF645A" w:rsidRPr="00FF645A" w:rsidRDefault="00FF645A" w:rsidP="00FF645A">
            <w:pPr>
              <w:rPr>
                <w:rStyle w:val="Strong"/>
              </w:rPr>
            </w:pPr>
            <w:r w:rsidRPr="00835F59">
              <w:rPr>
                <w:rStyle w:val="Strong"/>
              </w:rPr>
              <w:t>Theoretical principles underpinning the Black CAPM</w:t>
            </w:r>
          </w:p>
        </w:tc>
      </w:tr>
      <w:tr w:rsidR="00FF645A" w:rsidTr="009A39AD">
        <w:tc>
          <w:tcPr>
            <w:tcW w:w="3510" w:type="dxa"/>
          </w:tcPr>
          <w:p w:rsidR="00FF645A" w:rsidRPr="00FF645A" w:rsidRDefault="00FF645A" w:rsidP="00FF645A">
            <w:pPr>
              <w:rPr>
                <w:rStyle w:val="AERtextsize8"/>
              </w:rPr>
            </w:pPr>
            <w:r>
              <w:rPr>
                <w:rStyle w:val="AERtextsize8"/>
              </w:rPr>
              <w:t>W</w:t>
            </w:r>
            <w:r w:rsidRPr="00FF645A">
              <w:rPr>
                <w:rStyle w:val="AERtextsize8"/>
              </w:rPr>
              <w:t>e use the theory of the Black CAPM to apply a specific uplift to equity beta to correct for 'low beta bias'—however, the adjustment is insufficient to correct for this bias in the Sharpe-Lintner CAPM</w:t>
            </w:r>
            <w:r w:rsidRPr="00FF645A">
              <w:rPr>
                <w:rStyle w:val="FootnoteReference"/>
              </w:rPr>
              <w:footnoteReference w:id="267"/>
            </w:r>
          </w:p>
        </w:tc>
        <w:tc>
          <w:tcPr>
            <w:tcW w:w="5183" w:type="dxa"/>
          </w:tcPr>
          <w:p w:rsidR="00FF645A" w:rsidRPr="00FF645A" w:rsidRDefault="00FF645A" w:rsidP="00FF645A">
            <w:pPr>
              <w:rPr>
                <w:rStyle w:val="AERtextsize8"/>
              </w:rPr>
            </w:pPr>
            <w:r w:rsidRPr="006A40BF">
              <w:rPr>
                <w:rStyle w:val="AERtextsize8"/>
              </w:rPr>
              <w:t xml:space="preserve">We do not use the theory underlying the Black CAPM to apply a specific </w:t>
            </w:r>
            <w:r w:rsidRPr="00FF645A">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Our use of the theory of the Black CAPM to inform the equity beta point estimate is arbitrary</w:t>
            </w:r>
            <w:r w:rsidRPr="00FF645A">
              <w:rPr>
                <w:rStyle w:val="AERtextsize8"/>
              </w:rPr>
              <w:t xml:space="preserve"> and/or convoluted.</w:t>
            </w:r>
            <w:r w:rsidRPr="00FF645A">
              <w:rPr>
                <w:rStyle w:val="FootnoteReference"/>
              </w:rPr>
              <w:footnoteReference w:id="268"/>
            </w:r>
            <w:r w:rsidRPr="00FF645A">
              <w:rPr>
                <w:rStyle w:val="AERtextsize8"/>
              </w:rPr>
              <w:t xml:space="preserve"> The correct use of the Black CAPM (under our foundation model approach) is to use it empirically—this results in an equity beta estimate materially higher than 0.7</w:t>
            </w:r>
            <w:r w:rsidRPr="00FF645A">
              <w:rPr>
                <w:rStyle w:val="FootnoteReference"/>
              </w:rPr>
              <w:footnoteReference w:id="269"/>
            </w:r>
          </w:p>
        </w:tc>
        <w:tc>
          <w:tcPr>
            <w:tcW w:w="5183" w:type="dxa"/>
          </w:tcPr>
          <w:p w:rsidR="00FF645A" w:rsidRPr="00FF645A" w:rsidRDefault="00FF645A" w:rsidP="00FF645A">
            <w:pPr>
              <w:rPr>
                <w:rStyle w:val="AERtextsize8"/>
              </w:rPr>
            </w:pPr>
            <w:r>
              <w:rPr>
                <w:rStyle w:val="AERtextsize8"/>
              </w:rPr>
              <w:t>We consider</w:t>
            </w:r>
            <w:r w:rsidRPr="00FF645A">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Neither the</w:t>
            </w:r>
            <w:r w:rsidRPr="00FF645A">
              <w:rPr>
                <w:rStyle w:val="AERtextsize8"/>
              </w:rPr>
              <w:t xml:space="preserve"> theory nor empirical evidence from the Black CAPM should be used to inform the equity beta point estimate</w:t>
            </w:r>
            <w:r w:rsidRPr="00FF645A">
              <w:rPr>
                <w:rStyle w:val="FootnoteReference"/>
              </w:rPr>
              <w:footnoteReference w:id="270"/>
            </w:r>
          </w:p>
        </w:tc>
        <w:tc>
          <w:tcPr>
            <w:tcW w:w="5183" w:type="dxa"/>
          </w:tcPr>
          <w:p w:rsidR="00FF645A" w:rsidRPr="00FF645A" w:rsidRDefault="00FF645A" w:rsidP="00FF645A">
            <w:pPr>
              <w:rPr>
                <w:rStyle w:val="AERtextsize8"/>
              </w:rPr>
            </w:pPr>
            <w:r w:rsidRPr="00AC0ACE">
              <w:rPr>
                <w:rStyle w:val="AERtextsize8"/>
              </w:rPr>
              <w:t>We consider there are merits to the theoretical principles underpinning the Black CAPM</w:t>
            </w:r>
            <w:r w:rsidRPr="00FF645A">
              <w:rPr>
                <w:rStyle w:val="AERtextsize8"/>
              </w:rPr>
              <w:t xml:space="preserve"> (for example, it relaxes an assumption underlying the Sharpe-Lintner CAPM),</w:t>
            </w:r>
            <w:r w:rsidRPr="00FF645A">
              <w:rPr>
                <w:rStyle w:val="FootnoteReference"/>
              </w:rPr>
              <w:footnoteReference w:id="271"/>
            </w:r>
            <w:r w:rsidRPr="00FF645A">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Pr>
                <w:rStyle w:val="AERtextsize8"/>
              </w:rPr>
              <w:t>AGN's</w:t>
            </w:r>
            <w:r w:rsidRPr="00FF645A">
              <w:rPr>
                <w:rStyle w:val="AERtextsize8"/>
              </w:rPr>
              <w:t xml:space="preserve"> draft decision and section </w:t>
            </w:r>
            <w:r w:rsidRPr="00FF645A">
              <w:rPr>
                <w:rStyle w:val="AERtextsize8"/>
              </w:rPr>
              <w:fldChar w:fldCharType="begin"/>
            </w:r>
            <w:r w:rsidRPr="00FF645A">
              <w:rPr>
                <w:rStyle w:val="AERtextsize8"/>
              </w:rPr>
              <w:instrText xml:space="preserve"> REF _Ref448924785 \r \h </w:instrText>
            </w:r>
            <w:r w:rsidRPr="00FF645A">
              <w:rPr>
                <w:rStyle w:val="AERtextsize8"/>
              </w:rPr>
            </w:r>
            <w:r w:rsidRPr="00FF645A">
              <w:rPr>
                <w:rStyle w:val="AERtextsize8"/>
              </w:rPr>
              <w:fldChar w:fldCharType="separate"/>
            </w:r>
            <w:r w:rsidR="000230CB">
              <w:rPr>
                <w:rStyle w:val="AERtextsize8"/>
              </w:rPr>
              <w:t>B.2.3</w:t>
            </w:r>
            <w:r w:rsidRPr="00FF645A">
              <w:rPr>
                <w:rStyle w:val="AERtextsize8"/>
              </w:rPr>
              <w:fldChar w:fldCharType="end"/>
            </w:r>
            <w:r w:rsidRPr="00FF645A">
              <w:rPr>
                <w:rStyle w:val="AERtextsize8"/>
              </w:rPr>
              <w:t xml:space="preserve"> of this decision. </w:t>
            </w:r>
          </w:p>
          <w:p w:rsidR="00FF645A" w:rsidRPr="00FF645A" w:rsidRDefault="00FF645A" w:rsidP="00FF645A">
            <w:pPr>
              <w:rPr>
                <w:rStyle w:val="AERtextsize8"/>
              </w:rPr>
            </w:pPr>
            <w:r>
              <w:rPr>
                <w:rStyle w:val="AERtextsize8"/>
              </w:rPr>
              <w:t xml:space="preserve">We </w:t>
            </w:r>
            <w:r w:rsidRPr="00FF645A">
              <w:rPr>
                <w:rStyle w:val="AERtextsize8"/>
              </w:rPr>
              <w:t>also do not consider our consultants disagree with our use of this information. In fact, Partington and Handley have both provided support for our foundation model approach.</w:t>
            </w:r>
            <w:r w:rsidRPr="00FF645A">
              <w:rPr>
                <w:rStyle w:val="FootnoteReference"/>
              </w:rPr>
              <w:footnoteReference w:id="272"/>
            </w:r>
            <w:r w:rsidRPr="00FF645A">
              <w:rPr>
                <w:rStyle w:val="AERtextsize8"/>
              </w:rPr>
              <w:t xml:space="preserve"> Our foundation model approach includes our use of the theory of the Black CAPM to inform the equity beta point estimate</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FF645A" w:rsidRPr="00FF645A" w:rsidRDefault="00FF645A" w:rsidP="00FF645A">
            <w:pPr>
              <w:rPr>
                <w:rStyle w:val="AERtextsize8"/>
              </w:rPr>
            </w:pPr>
            <w:r w:rsidRPr="00835F59">
              <w:rPr>
                <w:rStyle w:val="Strong"/>
              </w:rPr>
              <w:t>Conceptual analysis</w:t>
            </w:r>
          </w:p>
        </w:tc>
      </w:tr>
      <w:tr w:rsidR="00FF645A" w:rsidTr="009A39AD">
        <w:tc>
          <w:tcPr>
            <w:tcW w:w="3510" w:type="dxa"/>
          </w:tcPr>
          <w:p w:rsidR="00FF645A" w:rsidRPr="00FF645A" w:rsidRDefault="00FF645A" w:rsidP="00FF645A">
            <w:pPr>
              <w:rPr>
                <w:rStyle w:val="AERtextsize8"/>
              </w:rPr>
            </w:pPr>
            <w:r>
              <w:rPr>
                <w:rStyle w:val="AERtextsize8"/>
              </w:rPr>
              <w:t>T</w:t>
            </w:r>
            <w:r w:rsidRPr="00FF645A">
              <w:rPr>
                <w:rStyle w:val="AERtextsize8"/>
              </w:rPr>
              <w:t>he reduction in systematic risk (specifically, demand risk) from a recent transition to a revenue cap from a price cap should be reflected in the equity beta</w:t>
            </w:r>
            <w:r w:rsidRPr="00FF645A">
              <w:rPr>
                <w:rStyle w:val="FootnoteReference"/>
              </w:rPr>
              <w:footnoteReference w:id="273"/>
            </w:r>
            <w:r w:rsidRPr="00FF645A">
              <w:rPr>
                <w:rStyle w:val="AERtextsize8"/>
              </w:rPr>
              <w:t xml:space="preserve"> </w:t>
            </w:r>
          </w:p>
        </w:tc>
        <w:tc>
          <w:tcPr>
            <w:tcW w:w="5183" w:type="dxa"/>
          </w:tcPr>
          <w:p w:rsidR="00FF645A" w:rsidRPr="00FF645A" w:rsidRDefault="00FF645A" w:rsidP="00FF645A">
            <w:pPr>
              <w:rPr>
                <w:rStyle w:val="AERtextsize8"/>
              </w:rPr>
            </w:pPr>
            <w:r>
              <w:rPr>
                <w:rStyle w:val="AERtextsize8"/>
              </w:rPr>
              <w:t>W</w:t>
            </w:r>
            <w:r w:rsidRPr="00FF645A">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FF645A">
              <w:rPr>
                <w:rStyle w:val="FootnoteReference"/>
              </w:rPr>
              <w:footnoteReference w:id="274"/>
            </w:r>
            <w:r w:rsidRPr="00FF645A">
              <w:t xml:space="preserve"> </w:t>
            </w:r>
            <w:r w:rsidRPr="00FF645A">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 xml:space="preserve">Our </w:t>
            </w:r>
            <w:r w:rsidRPr="00FF645A">
              <w:rPr>
                <w:rStyle w:val="AERtextsize8"/>
              </w:rPr>
              <w:t>assessment of financial risk and its impact on overall systematic risk is incorrect</w:t>
            </w:r>
            <w:r w:rsidRPr="00FF645A">
              <w:rPr>
                <w:rStyle w:val="FootnoteReference"/>
              </w:rPr>
              <w:footnoteReference w:id="275"/>
            </w:r>
          </w:p>
        </w:tc>
        <w:tc>
          <w:tcPr>
            <w:tcW w:w="5183" w:type="dxa"/>
          </w:tcPr>
          <w:p w:rsidR="00FF645A" w:rsidRPr="00FF645A" w:rsidRDefault="00FF645A" w:rsidP="00FF645A">
            <w:pPr>
              <w:rPr>
                <w:rStyle w:val="AERtextsize8"/>
              </w:rPr>
            </w:pPr>
            <w:r>
              <w:rPr>
                <w:rStyle w:val="AERtextsize8"/>
              </w:rPr>
              <w:t>We disagree. We</w:t>
            </w:r>
            <w:r w:rsidRPr="00FF645A">
              <w:t xml:space="preserve"> consider </w:t>
            </w:r>
            <w:r w:rsidRPr="00FF645A">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FF645A">
              <w:t xml:space="preserve"> However, </w:t>
            </w:r>
            <w:r w:rsidRPr="00FF645A">
              <w:rPr>
                <w:rStyle w:val="AERtextsize8"/>
              </w:rPr>
              <w:t>the exact relationship between financial risk and financial leverage is not straightforward.</w:t>
            </w:r>
          </w:p>
          <w:p w:rsidR="00FF645A" w:rsidRPr="00FF645A" w:rsidRDefault="00FF645A" w:rsidP="00FF645A">
            <w:pPr>
              <w:rPr>
                <w:rStyle w:val="AERtextsize8"/>
              </w:rPr>
            </w:pPr>
            <w:r>
              <w:rPr>
                <w:rStyle w:val="AERtextsize8"/>
              </w:rPr>
              <w:t xml:space="preserve">We consider our conceptual analysis </w:t>
            </w:r>
            <w:r w:rsidRPr="00FF645A">
              <w:rPr>
                <w:rStyle w:val="AERtextsize8"/>
              </w:rPr>
              <w:t xml:space="preserve">suggests the intrinsic business risk of a firm is the main driver of its systematic risk. We expect a business with a similar degree of risk as </w:t>
            </w:r>
            <w:r>
              <w:rPr>
                <w:rStyle w:val="AERtextsize8"/>
              </w:rPr>
              <w:t>AGN</w:t>
            </w:r>
            <w:r w:rsidRPr="00FF645A">
              <w:rPr>
                <w:rStyle w:val="AERtextsize8"/>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Pr>
                <w:rStyle w:val="AERtextsize8"/>
              </w:rPr>
              <w:t>AGN</w:t>
            </w:r>
            <w:r w:rsidRPr="00FF645A">
              <w:rPr>
                <w:rStyle w:val="AERtextsize8"/>
              </w:rPr>
              <w:t xml:space="preserve"> to be below that of the market average firm. Our views are supported by</w:t>
            </w:r>
            <w:r w:rsidRPr="00FF645A">
              <w:t xml:space="preserve"> </w:t>
            </w:r>
            <w:r w:rsidRPr="00FF645A">
              <w:rPr>
                <w:rStyle w:val="AERtextsize8"/>
              </w:rPr>
              <w:t xml:space="preserve">McKenzie and Partington. For more detail see section D.1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W</w:t>
            </w:r>
            <w:r w:rsidRPr="00FF645A">
              <w:rPr>
                <w:rStyle w:val="AERtextsize8"/>
              </w:rPr>
              <w:t xml:space="preserve">e have misinterpreted the empirical evidence and expert reports we rely on (including Frontier </w:t>
            </w:r>
            <w:r w:rsidR="0095169E" w:rsidRPr="00FF645A">
              <w:rPr>
                <w:rStyle w:val="AERtextsize8"/>
              </w:rPr>
              <w:t>Economics'</w:t>
            </w:r>
            <w:r w:rsidRPr="00FF645A">
              <w:rPr>
                <w:rStyle w:val="AERtextsize8"/>
              </w:rPr>
              <w:t xml:space="preserve"> 2013 report to the AER)</w:t>
            </w:r>
            <w:r w:rsidRPr="00FF645A">
              <w:rPr>
                <w:rStyle w:val="FootnoteReference"/>
              </w:rPr>
              <w:footnoteReference w:id="276"/>
            </w:r>
          </w:p>
        </w:tc>
        <w:tc>
          <w:tcPr>
            <w:tcW w:w="5183" w:type="dxa"/>
          </w:tcPr>
          <w:p w:rsidR="00FF645A" w:rsidRPr="00FF645A" w:rsidRDefault="00FF645A" w:rsidP="00FF645A">
            <w:pPr>
              <w:rPr>
                <w:rStyle w:val="AERtextsize8"/>
              </w:rPr>
            </w:pPr>
            <w:r>
              <w:rPr>
                <w:rStyle w:val="AERtextsize8"/>
              </w:rPr>
              <w:t>W</w:t>
            </w:r>
            <w:r w:rsidRPr="00FF645A">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Our conceptual analys</w:t>
            </w:r>
            <w:r w:rsidRPr="00FF645A">
              <w:rPr>
                <w:rStyle w:val="AERtextsize8"/>
              </w:rPr>
              <w:t>is is unclear and likely to be counterproductive to good regulatory decisions</w:t>
            </w:r>
            <w:r w:rsidRPr="00FF645A">
              <w:rPr>
                <w:rStyle w:val="FootnoteReference"/>
              </w:rPr>
              <w:footnoteReference w:id="277"/>
            </w:r>
          </w:p>
        </w:tc>
        <w:tc>
          <w:tcPr>
            <w:tcW w:w="5183" w:type="dxa"/>
          </w:tcPr>
          <w:p w:rsidR="00FF645A" w:rsidRPr="00FF645A" w:rsidRDefault="00FF645A" w:rsidP="00FF645A">
            <w:pPr>
              <w:rPr>
                <w:rStyle w:val="AERtextsize8"/>
              </w:rPr>
            </w:pPr>
            <w:r w:rsidRPr="00635805">
              <w:rPr>
                <w:rStyle w:val="AERtextsize8"/>
              </w:rPr>
              <w:t>We disagree with this view. Frontier's analysis appears to be based on a misunderstanding of the role of our conceptual analysis</w:t>
            </w:r>
            <w:r w:rsidRPr="00FF645A">
              <w:rPr>
                <w:rStyle w:val="AERtextsize8"/>
              </w:rPr>
              <w:t xml:space="preserve">. For more detail see section D.1.3 of Attachment 3 to </w:t>
            </w:r>
            <w:r>
              <w:rPr>
                <w:rStyle w:val="AERtextsize8"/>
              </w:rPr>
              <w:t>AGN's</w:t>
            </w:r>
            <w:r w:rsidRPr="00FF645A">
              <w:rPr>
                <w:rStyle w:val="AERtextsize8"/>
              </w:rPr>
              <w:t xml:space="preserve"> draft decision.</w:t>
            </w:r>
          </w:p>
        </w:tc>
      </w:tr>
      <w:tr w:rsidR="00FF645A" w:rsidTr="009A39AD">
        <w:tc>
          <w:tcPr>
            <w:tcW w:w="3510" w:type="dxa"/>
          </w:tcPr>
          <w:p w:rsidR="00FF645A" w:rsidRPr="00FF645A" w:rsidRDefault="00FF645A" w:rsidP="00FF645A">
            <w:pPr>
              <w:rPr>
                <w:rStyle w:val="AERtextsize8"/>
              </w:rPr>
            </w:pPr>
            <w:r>
              <w:rPr>
                <w:rStyle w:val="AERtextsize8"/>
              </w:rPr>
              <w:t>We have not adequately accounted for the recent risks arising from disruptive technologies</w:t>
            </w:r>
            <w:r w:rsidRPr="00FF645A">
              <w:rPr>
                <w:rStyle w:val="FootnoteReference"/>
              </w:rPr>
              <w:footnoteReference w:id="278"/>
            </w:r>
          </w:p>
        </w:tc>
        <w:tc>
          <w:tcPr>
            <w:tcW w:w="5183" w:type="dxa"/>
          </w:tcPr>
          <w:p w:rsidR="00FF645A" w:rsidRPr="00FF645A" w:rsidRDefault="00FF645A" w:rsidP="00FF645A">
            <w:pPr>
              <w:rPr>
                <w:rStyle w:val="AERtextsize8"/>
              </w:rPr>
            </w:pPr>
            <w:r w:rsidRPr="00CB54D7">
              <w:rPr>
                <w:rStyle w:val="AERtextsize8"/>
              </w:rPr>
              <w:t>We do not consider the risk arising from disruptive technologies can be reasonably classified as systematic risk</w:t>
            </w:r>
            <w:r w:rsidRPr="00FF645A">
              <w:rPr>
                <w:rStyle w:val="AERtextsize8"/>
              </w:rPr>
              <w:t xml:space="preserve">, and so should not be compensated for in the return on equity. For more detail see section D.1.4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FF645A" w:rsidRPr="00FF645A" w:rsidRDefault="00FF645A" w:rsidP="00FF645A">
            <w:pPr>
              <w:rPr>
                <w:rStyle w:val="AERtextsize8"/>
              </w:rPr>
            </w:pPr>
            <w:r w:rsidRPr="00835F59">
              <w:rPr>
                <w:rStyle w:val="Strong"/>
              </w:rPr>
              <w:t>Other</w:t>
            </w:r>
          </w:p>
        </w:tc>
      </w:tr>
      <w:tr w:rsidR="00FF645A" w:rsidTr="009A39AD">
        <w:tc>
          <w:tcPr>
            <w:tcW w:w="3510" w:type="dxa"/>
          </w:tcPr>
          <w:p w:rsidR="00FF645A" w:rsidRPr="00FF645A" w:rsidRDefault="00FF645A" w:rsidP="00FF645A">
            <w:pPr>
              <w:rPr>
                <w:rStyle w:val="AERtextsize8"/>
              </w:rPr>
            </w:pPr>
            <w:r>
              <w:rPr>
                <w:rStyle w:val="AERtextsize8"/>
              </w:rPr>
              <w:t>O</w:t>
            </w:r>
            <w:r w:rsidRPr="00FF645A">
              <w:rPr>
                <w:rStyle w:val="AERtextsize8"/>
              </w:rPr>
              <w:t>ur approach is inconsistent with the approach we used to estimate equity beta in the 2009 WACC review because we have selected a different point estimate from the same range</w:t>
            </w:r>
            <w:r w:rsidRPr="00FF645A">
              <w:rPr>
                <w:rStyle w:val="FootnoteReference"/>
              </w:rPr>
              <w:footnoteReference w:id="279"/>
            </w:r>
          </w:p>
        </w:tc>
        <w:tc>
          <w:tcPr>
            <w:tcW w:w="5183" w:type="dxa"/>
          </w:tcPr>
          <w:p w:rsidR="00FF645A" w:rsidRPr="00FF645A" w:rsidRDefault="00FF645A" w:rsidP="00FF645A">
            <w:pPr>
              <w:rPr>
                <w:rStyle w:val="AERtextsize8"/>
              </w:rPr>
            </w:pPr>
            <w:r>
              <w:rPr>
                <w:rStyle w:val="AERtextsize8"/>
              </w:rPr>
              <w:t xml:space="preserve">We disagree. </w:t>
            </w:r>
            <w:r w:rsidRPr="00FF645A">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FF645A">
              <w:rPr>
                <w:rStyle w:val="FootnoteReference"/>
              </w:rPr>
              <w:footnoteReference w:id="280"/>
            </w:r>
            <w:r w:rsidRPr="00FF645A">
              <w:rPr>
                <w:rStyle w:val="AERtextsize8"/>
              </w:rPr>
              <w:t xml:space="preserve"> For more detail see section D.5.2 of Attachment 3 to </w:t>
            </w:r>
            <w:r>
              <w:rPr>
                <w:rStyle w:val="AERtextsize8"/>
              </w:rPr>
              <w:t>AGN's</w:t>
            </w:r>
            <w:r w:rsidRPr="00FF645A">
              <w:rPr>
                <w:rStyle w:val="AERtextsize8"/>
              </w:rPr>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Our multi-stage approach to estimating the equity beta</w:t>
            </w:r>
            <w:r w:rsidRPr="00FF645A">
              <w:t xml:space="preserve"> </w:t>
            </w:r>
            <w:r w:rsidRPr="00FF645A">
              <w:rPr>
                <w:rStyle w:val="AERtextsize8"/>
              </w:rPr>
              <w:t>pre-emptively dilutes or eliminates the impact of other relevant evidence</w:t>
            </w:r>
            <w:r w:rsidRPr="00FF645A">
              <w:rPr>
                <w:rStyle w:val="FootnoteReference"/>
              </w:rPr>
              <w:footnoteReference w:id="281"/>
            </w:r>
          </w:p>
        </w:tc>
        <w:tc>
          <w:tcPr>
            <w:tcW w:w="5183" w:type="dxa"/>
          </w:tcPr>
          <w:p w:rsidR="00FF645A" w:rsidRPr="00FF645A" w:rsidRDefault="00FF645A" w:rsidP="00FF645A">
            <w:pPr>
              <w:rPr>
                <w:rStyle w:val="AERtextsize8"/>
              </w:rPr>
            </w:pPr>
            <w:r>
              <w:rPr>
                <w:rStyle w:val="AERtextsize8"/>
              </w:rPr>
              <w:t>O</w:t>
            </w:r>
            <w:r w:rsidRPr="00FF645A">
              <w:rPr>
                <w:rStyle w:val="AERtextsize8"/>
              </w:rPr>
              <w:t xml:space="preserve">ur use of relevant material is based on their relative merits (see section D.5.3 of Attachment 3 to </w:t>
            </w:r>
            <w:r>
              <w:rPr>
                <w:rStyle w:val="AERtextsize8"/>
              </w:rPr>
              <w:t>AGN's</w:t>
            </w:r>
            <w:r w:rsidRPr="00FF645A">
              <w:rPr>
                <w:rStyle w:val="AERtextsize8"/>
              </w:rPr>
              <w:t xml:space="preserve"> draft decision</w:t>
            </w:r>
            <w:r w:rsidRPr="00FF645A">
              <w:t>)</w:t>
            </w:r>
            <w:r w:rsidRPr="00FF645A">
              <w:rPr>
                <w:rStyle w:val="AERtextsize8"/>
              </w:rPr>
              <w:t>.</w:t>
            </w:r>
          </w:p>
        </w:tc>
      </w:tr>
      <w:tr w:rsidR="00FF645A" w:rsidTr="009A39AD">
        <w:tc>
          <w:tcPr>
            <w:tcW w:w="3510" w:type="dxa"/>
          </w:tcPr>
          <w:p w:rsidR="00FF645A" w:rsidRPr="00FF645A" w:rsidRDefault="00FF645A" w:rsidP="00FF645A">
            <w:pPr>
              <w:rPr>
                <w:rStyle w:val="AERtextsize8"/>
              </w:rPr>
            </w:pPr>
            <w:r>
              <w:rPr>
                <w:rStyle w:val="AERtextsize8"/>
              </w:rPr>
              <w:t>O</w:t>
            </w:r>
            <w:r w:rsidRPr="00FF645A">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FF645A">
              <w:rPr>
                <w:rStyle w:val="FootnoteReference"/>
              </w:rPr>
              <w:footnoteReference w:id="282"/>
            </w:r>
          </w:p>
        </w:tc>
        <w:tc>
          <w:tcPr>
            <w:tcW w:w="5183" w:type="dxa"/>
          </w:tcPr>
          <w:p w:rsidR="00FF645A" w:rsidRPr="00FF645A" w:rsidRDefault="00FF645A" w:rsidP="00CD50B0">
            <w:pPr>
              <w:rPr>
                <w:rStyle w:val="AERtextsize8"/>
              </w:rPr>
            </w:pPr>
            <w:r w:rsidRPr="00245C96">
              <w:rPr>
                <w:rStyle w:val="AERtextsize8"/>
              </w:rPr>
              <w:t>We do not consider our use of the S</w:t>
            </w:r>
            <w:r w:rsidRPr="00FF645A">
              <w:rPr>
                <w:rStyle w:val="AERtextsize8"/>
              </w:rPr>
              <w:t>harpe-Lintner CAPM in our foundation model approach will result in a downward biased estimate of the return on equity.</w:t>
            </w:r>
            <w:r w:rsidRPr="00FF645A">
              <w:t xml:space="preserve"> </w:t>
            </w:r>
            <w:r w:rsidRPr="00FF645A">
              <w:rPr>
                <w:rStyle w:val="AERtextsize8"/>
              </w:rPr>
              <w:t xml:space="preserve">We provide extensive reasoning for these views in the 'service providers' proposed multi-model approach' subsection in section </w:t>
            </w:r>
            <w:r w:rsidR="00CD50B0">
              <w:rPr>
                <w:rStyle w:val="AERtextsize8"/>
              </w:rPr>
              <w:fldChar w:fldCharType="begin"/>
            </w:r>
            <w:r w:rsidR="00CD50B0">
              <w:rPr>
                <w:rStyle w:val="AERtextsize8"/>
              </w:rPr>
              <w:instrText xml:space="preserve"> REF _Ref430958591 \r \h </w:instrText>
            </w:r>
            <w:r w:rsidR="00CD50B0">
              <w:rPr>
                <w:rStyle w:val="AERtextsize8"/>
              </w:rPr>
            </w:r>
            <w:r w:rsidR="00CD50B0">
              <w:rPr>
                <w:rStyle w:val="AERtextsize8"/>
              </w:rPr>
              <w:fldChar w:fldCharType="separate"/>
            </w:r>
            <w:r w:rsidR="000230CB">
              <w:rPr>
                <w:rStyle w:val="AERtextsize8"/>
              </w:rPr>
              <w:t>3.4.1</w:t>
            </w:r>
            <w:r w:rsidR="00CD50B0">
              <w:rPr>
                <w:rStyle w:val="AERtextsize8"/>
              </w:rPr>
              <w:fldChar w:fldCharType="end"/>
            </w:r>
            <w:r w:rsidR="00CD50B0">
              <w:rPr>
                <w:rStyle w:val="AERtextsize8"/>
              </w:rPr>
              <w:t xml:space="preserve"> </w:t>
            </w:r>
            <w:r w:rsidRPr="00FF645A">
              <w:rPr>
                <w:rStyle w:val="AERtextsize8"/>
              </w:rPr>
              <w:t xml:space="preserve">of this attachment. Also see sections </w:t>
            </w:r>
            <w:r w:rsidRPr="00FF645A">
              <w:t xml:space="preserve">D.5.3, A.2, A.3 of Attachment 3 to </w:t>
            </w:r>
            <w:r>
              <w:t>AGN's</w:t>
            </w:r>
            <w:r w:rsidRPr="00FF645A">
              <w:t xml:space="preserve"> draft decision.</w:t>
            </w:r>
          </w:p>
        </w:tc>
      </w:tr>
      <w:tr w:rsidR="00FF645A" w:rsidTr="009A39AD">
        <w:trPr>
          <w:cnfStyle w:val="000000010000" w:firstRow="0" w:lastRow="0" w:firstColumn="0" w:lastColumn="0" w:oddVBand="0" w:evenVBand="0" w:oddHBand="0" w:evenHBand="1" w:firstRowFirstColumn="0" w:firstRowLastColumn="0" w:lastRowFirstColumn="0" w:lastRowLastColumn="0"/>
        </w:trPr>
        <w:tc>
          <w:tcPr>
            <w:tcW w:w="3510" w:type="dxa"/>
          </w:tcPr>
          <w:p w:rsidR="00FF645A" w:rsidRPr="00FF645A" w:rsidRDefault="00FF645A" w:rsidP="00FF645A">
            <w:pPr>
              <w:rPr>
                <w:rStyle w:val="AERtextsize8"/>
              </w:rPr>
            </w:pPr>
            <w:r>
              <w:rPr>
                <w:rStyle w:val="AERtextsize8"/>
              </w:rPr>
              <w:t xml:space="preserve">An equity beta estimate </w:t>
            </w:r>
            <w:r w:rsidRPr="00FF645A">
              <w:rPr>
                <w:rStyle w:val="AERtextsize8"/>
              </w:rPr>
              <w:t>implied from SFG's construction of the dividend growth model should be used as a cross check on our foundation model equity beta estimate</w:t>
            </w:r>
            <w:r w:rsidRPr="00FF645A">
              <w:rPr>
                <w:rStyle w:val="FootnoteReference"/>
              </w:rPr>
              <w:footnoteReference w:id="283"/>
            </w:r>
          </w:p>
        </w:tc>
        <w:tc>
          <w:tcPr>
            <w:tcW w:w="5183" w:type="dxa"/>
          </w:tcPr>
          <w:p w:rsidR="00FF645A" w:rsidRPr="00FF645A" w:rsidRDefault="00FF645A" w:rsidP="00FF645A">
            <w:pPr>
              <w:rPr>
                <w:rStyle w:val="AERtextsize8"/>
              </w:rPr>
            </w:pPr>
            <w:r w:rsidRPr="00716187">
              <w:rPr>
                <w:rStyle w:val="AERtextsize8"/>
              </w:rPr>
              <w:t xml:space="preserve">SFG's </w:t>
            </w:r>
            <w:r w:rsidRPr="00FF645A">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FF645A">
              <w:t xml:space="preserve"> </w:t>
            </w:r>
            <w:r w:rsidRPr="00FF645A">
              <w:rPr>
                <w:rStyle w:val="AERtextsize8"/>
              </w:rPr>
              <w:t xml:space="preserve">weightings in the estimation process. For more detail see sections B.3 and D.5.3 of Attachment 3 to </w:t>
            </w:r>
            <w:r>
              <w:rPr>
                <w:rStyle w:val="AERtextsize8"/>
              </w:rPr>
              <w:t>AGN's</w:t>
            </w:r>
            <w:r w:rsidRPr="00FF645A">
              <w:rPr>
                <w:rStyle w:val="AERtextsize8"/>
              </w:rPr>
              <w:t xml:space="preserve"> draft decision.</w:t>
            </w:r>
          </w:p>
        </w:tc>
      </w:tr>
      <w:tr w:rsidR="00FF645A" w:rsidRPr="00245C96" w:rsidTr="009A39AD">
        <w:tc>
          <w:tcPr>
            <w:tcW w:w="3510" w:type="dxa"/>
          </w:tcPr>
          <w:p w:rsidR="00FF645A" w:rsidRPr="00FF645A" w:rsidRDefault="00FF645A" w:rsidP="00FF645A">
            <w:pPr>
              <w:rPr>
                <w:rStyle w:val="AERtextsize8"/>
              </w:rPr>
            </w:pPr>
            <w:r>
              <w:rPr>
                <w:rStyle w:val="AERtextsize8"/>
              </w:rPr>
              <w:t>The equity beta should be 0.8 because a change from our previous estimate is not warranted</w:t>
            </w:r>
            <w:r w:rsidRPr="00FF645A">
              <w:rPr>
                <w:rStyle w:val="FootnoteReference"/>
              </w:rPr>
              <w:footnoteReference w:id="284"/>
            </w:r>
          </w:p>
        </w:tc>
        <w:tc>
          <w:tcPr>
            <w:tcW w:w="5183" w:type="dxa"/>
          </w:tcPr>
          <w:p w:rsidR="00FF645A" w:rsidRPr="00FF645A" w:rsidRDefault="00FF645A" w:rsidP="00FF645A">
            <w:pPr>
              <w:rPr>
                <w:rStyle w:val="AERtextsize8"/>
              </w:rPr>
            </w:pPr>
            <w:r>
              <w:rPr>
                <w:rStyle w:val="AERtextsize8"/>
              </w:rPr>
              <w:t xml:space="preserve">We do have regard to our previous beta estimates </w:t>
            </w:r>
            <w:r w:rsidRPr="00FF645A">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FF645A">
              <w:t xml:space="preserve"> </w:t>
            </w:r>
          </w:p>
        </w:tc>
      </w:tr>
    </w:tbl>
    <w:p w:rsidR="00FF645A" w:rsidRDefault="00FF645A" w:rsidP="007E5A4F">
      <w:pPr>
        <w:pStyle w:val="AERtablesource"/>
      </w:pPr>
      <w:r>
        <w:t>Source:</w:t>
      </w:r>
      <w:r>
        <w:tab/>
        <w:t>AER analysis; numerous stakeholder submissions.</w:t>
      </w:r>
    </w:p>
    <w:p w:rsidR="008F4F73" w:rsidRPr="008F4F73" w:rsidRDefault="008F4F73" w:rsidP="008F4F73">
      <w:pPr>
        <w:pStyle w:val="HeadingBoldBlue"/>
        <w:numPr>
          <w:ilvl w:val="0"/>
          <w:numId w:val="24"/>
        </w:numPr>
        <w:rPr>
          <w:rStyle w:val="AERtextorange"/>
        </w:rPr>
      </w:pPr>
      <w:bookmarkStart w:id="74" w:name="_Ref446347167"/>
      <w:r w:rsidRPr="008F4F73">
        <w:rPr>
          <w:rStyle w:val="AERtextorange"/>
        </w:rPr>
        <w:t>The overall return on equity</w:t>
      </w:r>
      <w:bookmarkEnd w:id="74"/>
    </w:p>
    <w:p w:rsidR="008F4F73" w:rsidRPr="008F4F73" w:rsidRDefault="008F4F73" w:rsidP="008F4F73">
      <w:r w:rsidRPr="008F4F73">
        <w:t>To inform the reasonableness of the foundation model return on equity estimate, we estimate and evaluate values from other relevant sources of information (steps four and five of the foundation model approach).</w:t>
      </w:r>
      <w:r w:rsidRPr="008F4F73">
        <w:rPr>
          <w:rStyle w:val="FootnoteReference"/>
        </w:rPr>
        <w:footnoteReference w:id="285"/>
      </w:r>
      <w:r w:rsidRPr="008F4F73">
        <w:t xml:space="preserve"> In having regard to prevailing market conditions we have also examined recent movements in the relevant material. </w:t>
      </w:r>
    </w:p>
    <w:p w:rsidR="008F4F73" w:rsidRPr="008F4F73" w:rsidRDefault="008F4F73" w:rsidP="008F4F73">
      <w:r w:rsidRPr="008F4F73">
        <w:t xml:space="preserve">Our task is to set the allowed rate of return to be commensurate with a similar degree of risk as that which applies to </w:t>
      </w:r>
      <w:r w:rsidR="00A37246" w:rsidRPr="00A37246">
        <w:t>AGN</w:t>
      </w:r>
      <w:r w:rsidR="00A37246">
        <w:rPr>
          <w:rStyle w:val="AERbody"/>
        </w:rPr>
        <w:t xml:space="preserve"> </w:t>
      </w:r>
      <w:r w:rsidRPr="008F4F73">
        <w:t xml:space="preserve"> with respect to the provision of reference services.</w:t>
      </w:r>
      <w:r w:rsidRPr="008F4F73">
        <w:rPr>
          <w:rStyle w:val="FootnoteReference"/>
        </w:rPr>
        <w:footnoteReference w:id="286"/>
      </w:r>
      <w:r w:rsidRPr="008F4F73">
        <w:t xml:space="preserve"> This requires us to consider the additional riskiness of </w:t>
      </w:r>
      <w:r w:rsidR="00A37246" w:rsidRPr="00A37246">
        <w:t>AGN</w:t>
      </w:r>
      <w:r w:rsidRPr="008F4F73">
        <w:rPr>
          <w:rStyle w:val="FootnoteReference"/>
        </w:rPr>
        <w:footnoteReference w:id="287"/>
      </w:r>
      <w:r w:rsidRPr="008F4F73">
        <w:t xml:space="preserve"> relative to the risk free asset, and the commensurate return that equity investors require to take on this additional risk. Hence, the critical allowance is the allowed equity risk premium over and above the estimated risk free rate at a given time. </w:t>
      </w:r>
      <w:r w:rsidRPr="008F4F73">
        <w:fldChar w:fldCharType="begin"/>
      </w:r>
      <w:r w:rsidRPr="008F4F73">
        <w:instrText xml:space="preserve"> REF _Ref445923478 \h </w:instrText>
      </w:r>
      <w:r w:rsidRPr="008F4F73">
        <w:fldChar w:fldCharType="separate"/>
      </w:r>
      <w:r w:rsidR="000230CB" w:rsidRPr="008F4F73">
        <w:t xml:space="preserve">Figure </w:t>
      </w:r>
      <w:r w:rsidR="000230CB">
        <w:rPr>
          <w:noProof/>
        </w:rPr>
        <w:t>3</w:t>
      </w:r>
      <w:r w:rsidR="000230CB">
        <w:noBreakHyphen/>
      </w:r>
      <w:r w:rsidR="000230CB">
        <w:rPr>
          <w:noProof/>
        </w:rPr>
        <w:t>5</w:t>
      </w:r>
      <w:r w:rsidRPr="008F4F73">
        <w:fldChar w:fldCharType="end"/>
      </w:r>
      <w:r w:rsidRPr="008F4F73">
        <w:t xml:space="preserve"> compares our foundation model equity risk premium to other relevant material</w:t>
      </w:r>
      <w:r w:rsidRPr="008F4F73">
        <w:rPr>
          <w:rStyle w:val="FootnoteReference"/>
        </w:rPr>
        <w:footnoteReference w:id="288"/>
      </w:r>
      <w:r w:rsidRPr="008F4F73">
        <w:t xml:space="preserve"> that can inform our estimate of return on equity and equity risk premium. </w:t>
      </w:r>
    </w:p>
    <w:p w:rsidR="008F4F73" w:rsidRPr="008F4F73" w:rsidRDefault="008F4F73" w:rsidP="008F4F73">
      <w:r w:rsidRPr="008F4F73">
        <w:t>We consider that, on the whole, the other material</w:t>
      </w:r>
      <w:r w:rsidRPr="008F4F73">
        <w:rPr>
          <w:rStyle w:val="FootnoteReference"/>
        </w:rPr>
        <w:footnoteReference w:id="289"/>
      </w:r>
      <w:r w:rsidRPr="008F4F73">
        <w:t xml:space="preserve"> broadly supports our foundation model estimate of the return on equity. Overall, we find that this information does not indicate a material, sustained change in market conditions since our draft decision sufficient to cause us to move away from our foundation model estimate.  </w:t>
      </w:r>
    </w:p>
    <w:p w:rsidR="008F4F73" w:rsidRPr="008F4F73" w:rsidRDefault="008F4F73" w:rsidP="008F4F73">
      <w:pPr>
        <w:pStyle w:val="Caption"/>
      </w:pPr>
      <w:bookmarkStart w:id="75" w:name="_Ref445923478"/>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5</w:t>
      </w:r>
      <w:r w:rsidR="00527450">
        <w:rPr>
          <w:noProof/>
        </w:rPr>
        <w:fldChar w:fldCharType="end"/>
      </w:r>
      <w:bookmarkEnd w:id="75"/>
      <w:r w:rsidRPr="008F4F73">
        <w:tab/>
        <w:t>Comparison of our foundation model equity risk premium</w:t>
      </w:r>
    </w:p>
    <w:p w:rsidR="008F4F73" w:rsidRPr="008F4F73" w:rsidRDefault="0068661A" w:rsidP="008F4F73">
      <w:r w:rsidRPr="0068661A">
        <w:rPr>
          <w:noProof/>
          <w:lang w:eastAsia="en-AU"/>
        </w:rPr>
        <w:drawing>
          <wp:inline distT="0" distB="0" distL="0" distR="0" wp14:anchorId="12C646EC" wp14:editId="5B9B76E4">
            <wp:extent cx="5369560" cy="57308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560" cy="5730875"/>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AER analysis and various submissions and reports.</w:t>
      </w:r>
    </w:p>
    <w:p w:rsidR="008F4F73" w:rsidRPr="008F4F73" w:rsidRDefault="008F4F73" w:rsidP="008F4F73">
      <w:pPr>
        <w:pStyle w:val="AERtablesource"/>
      </w:pPr>
      <w:r w:rsidRPr="008F4F73">
        <w:t xml:space="preserve">Notes: </w:t>
      </w:r>
      <w:r w:rsidRPr="008F4F73">
        <w:tab/>
        <w:t xml:space="preserve">The AER foundation model equity risk premium (ERP) range uses the range and point estimate for market risk premium and equity beta. The calculation of the Wright approach is set out in section </w:t>
      </w:r>
      <w:r w:rsidRPr="008F4F73">
        <w:fldChar w:fldCharType="begin"/>
      </w:r>
      <w:r w:rsidRPr="008F4F73">
        <w:instrText xml:space="preserve"> REF _Ref449053064 \r \h </w:instrText>
      </w:r>
      <w:r w:rsidRPr="008F4F73">
        <w:fldChar w:fldCharType="separate"/>
      </w:r>
      <w:r w:rsidR="000230CB">
        <w:t>C.2</w:t>
      </w:r>
      <w:r w:rsidRPr="008F4F73">
        <w:fldChar w:fldCharType="end"/>
      </w:r>
      <w:r w:rsidRPr="008F4F73">
        <w:t>.  The calculation of brokers and other regulators ranges is outlined in Appendix F. The calculation of debt risk premium is in Appendix E.3.</w:t>
      </w:r>
    </w:p>
    <w:p w:rsidR="008F4F73" w:rsidRPr="008F4F73" w:rsidRDefault="008F4F73" w:rsidP="008F4F73">
      <w:pPr>
        <w:pStyle w:val="AERtablesource"/>
      </w:pPr>
      <w:r w:rsidRPr="008F4F73">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8F4F73">
        <w:rPr>
          <w:rStyle w:val="FootnoteReference"/>
        </w:rPr>
        <w:footnoteReference w:id="290"/>
      </w:r>
      <w:r w:rsidRPr="008F4F73">
        <w:t xml:space="preserve"> </w:t>
      </w:r>
    </w:p>
    <w:p w:rsidR="008F4F73" w:rsidRPr="008F4F73" w:rsidRDefault="008F4F73" w:rsidP="008F4F73">
      <w:pPr>
        <w:pStyle w:val="AERtablesource"/>
      </w:pPr>
      <w:r w:rsidRPr="008F4F73">
        <w:tab/>
        <w:t>The shaded portion of the other regulators range represents the impact of rail, transport and retail gas decisions on the range. We consider these industries are unlikely to be comparable to the benchmark efficient entity.</w:t>
      </w:r>
    </w:p>
    <w:p w:rsidR="008F4F73" w:rsidRPr="008F4F73" w:rsidRDefault="008F4F73" w:rsidP="008F4F73">
      <w:pPr>
        <w:pStyle w:val="AERtablesource"/>
      </w:pPr>
      <w:r w:rsidRPr="008F4F73">
        <w:tab/>
        <w:t>The service provider proposals range is based on the proposals from businesses for which we are making decisions in May 2016.</w:t>
      </w:r>
      <w:r w:rsidRPr="008F4F73">
        <w:rPr>
          <w:rStyle w:val="FootnoteReference"/>
        </w:rPr>
        <w:footnoteReference w:id="291"/>
      </w:r>
      <w:r w:rsidRPr="008F4F73">
        <w:t xml:space="preserve"> The lower bound of the CCP/stakeholder range is based on the VECUA submission, </w:t>
      </w:r>
      <w:r w:rsidRPr="008F4F73">
        <w:rPr>
          <w:rStyle w:val="FootnoteReference"/>
        </w:rPr>
        <w:footnoteReference w:id="292"/>
      </w:r>
      <w:r w:rsidRPr="008F4F73">
        <w:t xml:space="preserve"> the upper bound is based on Origin Energy’s submission.</w:t>
      </w:r>
      <w:r w:rsidRPr="008F4F73">
        <w:rPr>
          <w:rStyle w:val="FootnoteReference"/>
        </w:rPr>
        <w:footnoteReference w:id="293"/>
      </w:r>
    </w:p>
    <w:p w:rsidR="008F4F73" w:rsidRPr="008F4F73" w:rsidRDefault="008F4F73" w:rsidP="008F4F73">
      <w:r w:rsidRPr="008F4F73">
        <w:t>Our implementation of the foundation model approach results in a return on equity of 7.</w:t>
      </w:r>
      <w:r w:rsidR="00526720">
        <w:t>1</w:t>
      </w:r>
      <w:r w:rsidRPr="008F4F73">
        <w:t xml:space="preserve"> per cent and an equity risk premium of 4.55 per cent. This is consistent with equity risk premium ranges from broker reports, valuation reports, other regulators' decisions, and the Wright approach as shown in </w:t>
      </w:r>
      <w:r w:rsidRPr="008F4F73">
        <w:fldChar w:fldCharType="begin"/>
      </w:r>
      <w:r w:rsidRPr="008F4F73">
        <w:instrText xml:space="preserve"> REF _Ref445923478 \h </w:instrText>
      </w:r>
      <w:r w:rsidRPr="008F4F73">
        <w:fldChar w:fldCharType="separate"/>
      </w:r>
      <w:r w:rsidR="000230CB" w:rsidRPr="008F4F73">
        <w:t xml:space="preserve">Figure </w:t>
      </w:r>
      <w:r w:rsidR="000230CB">
        <w:rPr>
          <w:noProof/>
        </w:rPr>
        <w:t>3</w:t>
      </w:r>
      <w:r w:rsidR="000230CB">
        <w:noBreakHyphen/>
      </w:r>
      <w:r w:rsidR="000230CB">
        <w:rPr>
          <w:noProof/>
        </w:rPr>
        <w:t>5</w:t>
      </w:r>
      <w:r w:rsidRPr="008F4F73">
        <w:fldChar w:fldCharType="end"/>
      </w:r>
      <w:r w:rsidRPr="008F4F73">
        <w:t>.</w:t>
      </w:r>
      <w:r w:rsidRPr="008F4F73">
        <w:rPr>
          <w:rStyle w:val="FootnoteReference"/>
        </w:rPr>
        <w:footnoteReference w:id="294"/>
      </w:r>
      <w:r w:rsidRPr="008F4F73">
        <w:t xml:space="preserve">  The range of equity risk premium estimates from valuation reports and other regulators' decisions have not materially changed since our draft decision. The estimated equity risk premium range from the Wright approach has increased since our draft decision as the risk free rate has fallen. As set out in section</w:t>
      </w:r>
      <w:r w:rsidR="00526720">
        <w:t xml:space="preserve"> </w:t>
      </w:r>
      <w:r w:rsidR="00526720">
        <w:fldChar w:fldCharType="begin"/>
      </w:r>
      <w:r w:rsidR="00526720">
        <w:instrText xml:space="preserve"> REF _Ref449018117 \r \h </w:instrText>
      </w:r>
      <w:r w:rsidR="00526720">
        <w:fldChar w:fldCharType="separate"/>
      </w:r>
      <w:r w:rsidR="000230CB">
        <w:t>B.5</w:t>
      </w:r>
      <w:r w:rsidR="00526720">
        <w:fldChar w:fldCharType="end"/>
      </w:r>
      <w:r w:rsidRPr="008F4F73">
        <w:t>, we do not agree with the underlying premise of the Wright CAPM that there is a clear inverse relationship between movements in the risk free rate and market risk premium. Consequently we place limited reliance on the Wright approach.</w:t>
      </w:r>
    </w:p>
    <w:p w:rsidR="008F4F73" w:rsidRPr="008F4F73" w:rsidRDefault="008F4F73" w:rsidP="008F4F73">
      <w:r w:rsidRPr="008F4F73">
        <w:t xml:space="preserve">The return on debt material shown in </w:t>
      </w:r>
      <w:r w:rsidRPr="008F4F73">
        <w:fldChar w:fldCharType="begin"/>
      </w:r>
      <w:r w:rsidRPr="008F4F73">
        <w:instrText xml:space="preserve"> REF _Ref445923478 \h </w:instrText>
      </w:r>
      <w:r w:rsidRPr="008F4F73">
        <w:fldChar w:fldCharType="separate"/>
      </w:r>
      <w:r w:rsidR="000230CB" w:rsidRPr="008F4F73">
        <w:t xml:space="preserve">Figure </w:t>
      </w:r>
      <w:r w:rsidR="000230CB">
        <w:rPr>
          <w:noProof/>
        </w:rPr>
        <w:t>3</w:t>
      </w:r>
      <w:r w:rsidR="000230CB">
        <w:noBreakHyphen/>
      </w:r>
      <w:r w:rsidR="000230CB">
        <w:rPr>
          <w:noProof/>
        </w:rPr>
        <w:t>5</w:t>
      </w:r>
      <w:r w:rsidRPr="008F4F73">
        <w:fldChar w:fldCharType="end"/>
      </w:r>
      <w:r w:rsidRPr="008F4F73">
        <w:t xml:space="preserve"> does not support any change to our foundation model return on equity estimate. Our foundation model return on equity estimate is about </w:t>
      </w:r>
      <w:r w:rsidR="00953161">
        <w:t>163</w:t>
      </w:r>
      <w:r w:rsidR="00526720">
        <w:t xml:space="preserve"> </w:t>
      </w:r>
      <w:r w:rsidRPr="008F4F73">
        <w:t>basis points</w:t>
      </w:r>
      <w:r w:rsidRPr="008F4F73">
        <w:rPr>
          <w:rStyle w:val="FootnoteReference"/>
        </w:rPr>
        <w:footnoteReference w:id="295"/>
      </w:r>
      <w:r w:rsidRPr="008F4F73">
        <w:t xml:space="preserve"> above the prevailing return on debt. The return on debt is a relative indicator and we expect that, most of the time,</w:t>
      </w:r>
      <w:r w:rsidRPr="008F4F73">
        <w:rPr>
          <w:rStyle w:val="FootnoteReference"/>
        </w:rPr>
        <w:footnoteReference w:id="296"/>
      </w:r>
      <w:r w:rsidRPr="008F4F73">
        <w:t xml:space="preserve"> investors' expected return on equity will exceed the expected return on debt. For our benchmark efficient entity with a similar degree of risk as </w:t>
      </w:r>
      <w:r w:rsidR="00A37246" w:rsidRPr="00A37246">
        <w:t>AGN</w:t>
      </w:r>
      <w:r w:rsidRPr="008F4F73">
        <w:t>, we would not expect the return on equity to be a large margin above the prevailing return on debt.</w:t>
      </w:r>
      <w:r w:rsidRPr="008F4F73">
        <w:rPr>
          <w:rStyle w:val="FootnoteReference"/>
        </w:rPr>
        <w:footnoteReference w:id="297"/>
      </w:r>
      <w:r w:rsidRPr="008F4F73">
        <w:t xml:space="preserve"> </w:t>
      </w:r>
    </w:p>
    <w:p w:rsidR="008F4F73" w:rsidRPr="008F4F73" w:rsidRDefault="008F4F73" w:rsidP="008F4F73">
      <w:r w:rsidRPr="008F4F73">
        <w:t xml:space="preserve">While the spread between equity and debt premiums has narrowed since the October and November 2015 decisions, it remains above the estimate at the publication of the Guideline in December 2013 (see </w:t>
      </w:r>
      <w:r w:rsidRPr="008F4F73">
        <w:fldChar w:fldCharType="begin"/>
      </w:r>
      <w:r w:rsidRPr="008F4F73">
        <w:instrText xml:space="preserve"> REF _Ref417589908 \h </w:instrText>
      </w:r>
      <w:r w:rsidRPr="008F4F73">
        <w:fldChar w:fldCharType="separate"/>
      </w:r>
      <w:r w:rsidR="000230CB" w:rsidRPr="008F4F73">
        <w:t xml:space="preserve">Figure </w:t>
      </w:r>
      <w:r w:rsidR="000230CB">
        <w:rPr>
          <w:noProof/>
        </w:rPr>
        <w:t>3</w:t>
      </w:r>
      <w:r w:rsidR="000230CB">
        <w:noBreakHyphen/>
      </w:r>
      <w:r w:rsidR="000230CB">
        <w:rPr>
          <w:noProof/>
        </w:rPr>
        <w:t>11</w:t>
      </w:r>
      <w:r w:rsidRPr="008F4F73">
        <w:fldChar w:fldCharType="end"/>
      </w:r>
      <w:r w:rsidRPr="008F4F73">
        <w:t xml:space="preserve"> in section </w:t>
      </w:r>
      <w:r w:rsidRPr="008F4F73">
        <w:fldChar w:fldCharType="begin"/>
      </w:r>
      <w:r w:rsidRPr="008F4F73">
        <w:instrText xml:space="preserve"> REF _Ref449052987 \r \h </w:instrText>
      </w:r>
      <w:r w:rsidRPr="008F4F73">
        <w:fldChar w:fldCharType="separate"/>
      </w:r>
      <w:r w:rsidR="000230CB">
        <w:t>E.3</w:t>
      </w:r>
      <w:r w:rsidRPr="008F4F73">
        <w:fldChar w:fldCharType="end"/>
      </w:r>
      <w:r w:rsidRPr="008F4F73">
        <w:t xml:space="preserve">). It is not clear the extent to which the narrowing spread relates to </w:t>
      </w:r>
      <w:r w:rsidR="00CA1ED0" w:rsidRPr="00CA1ED0">
        <w:t>AGN</w:t>
      </w:r>
      <w:r w:rsidRPr="008F4F73">
        <w:t xml:space="preserve"> — it may be driven by expectations of weaker corporate performance, particularly stemming from the resource and commodity sector (for example, resource firms are facing weaker conditions in commodities markets and credit rating downgrades).</w:t>
      </w:r>
      <w:r w:rsidRPr="008F4F73">
        <w:rPr>
          <w:rStyle w:val="FootnoteReference"/>
        </w:rPr>
        <w:footnoteReference w:id="298"/>
      </w:r>
    </w:p>
    <w:p w:rsidR="008F4F73" w:rsidRPr="008F4F73" w:rsidRDefault="008F4F73" w:rsidP="008F4F73">
      <w:r w:rsidRPr="008F4F73">
        <w:t xml:space="preserve">Contrary to the service providers' assertions, we consider the current difference is not too low, given the low risk profile of a benchmark efficient entity with a similar degree of risk as </w:t>
      </w:r>
      <w:r w:rsidR="00CA1ED0" w:rsidRPr="00CA1ED0">
        <w:t>AGN</w:t>
      </w:r>
      <w:r w:rsidR="00CA1ED0" w:rsidRPr="00CA1ED0" w:rsidDel="004C7209">
        <w:t xml:space="preserve"> </w:t>
      </w:r>
      <w:r w:rsidRPr="008F4F73">
        <w:t>in providing regulated services.</w:t>
      </w:r>
      <w:r w:rsidRPr="008F4F73">
        <w:rPr>
          <w:rStyle w:val="FootnoteReference"/>
        </w:rPr>
        <w:footnoteReference w:id="299"/>
      </w:r>
      <w:r w:rsidRPr="008F4F73">
        <w:t xml:space="preserve"> Further, measured debt yields likely understate the expected yield spread due to default risk.</w:t>
      </w:r>
      <w:r w:rsidRPr="008F4F73">
        <w:rPr>
          <w:rStyle w:val="FootnoteReference"/>
        </w:rPr>
        <w:footnoteReference w:id="300"/>
      </w:r>
      <w:r w:rsidRPr="008F4F73">
        <w:rPr>
          <w:rStyle w:val="CommentReference"/>
        </w:rPr>
        <w:t xml:space="preserve"> </w:t>
      </w:r>
    </w:p>
    <w:p w:rsidR="008F4F73" w:rsidRPr="008F4F73" w:rsidRDefault="008F4F73" w:rsidP="008F4F73">
      <w:r w:rsidRPr="008F4F73">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sidRPr="008F4F73">
        <w:rPr>
          <w:rStyle w:val="FootnoteReference"/>
        </w:rPr>
        <w:footnoteReference w:id="301"/>
      </w:r>
      <w:r w:rsidRPr="008F4F73">
        <w:t xml:space="preserve"> This suggests the allowances set in the past using the Sharpe-Lintner CAPM were at least adequate to recover efficient costs.</w:t>
      </w:r>
      <w:r w:rsidRPr="008F4F73">
        <w:rPr>
          <w:rStyle w:val="FootnoteReference"/>
        </w:rPr>
        <w:footnoteReference w:id="302"/>
      </w:r>
      <w:r w:rsidRPr="008F4F73">
        <w:t xml:space="preserve"> We also note that broker reports suggest that our recent determinations have not removed the ability for listed networks to maintain payment of dividends.</w:t>
      </w:r>
      <w:r w:rsidRPr="008F4F73">
        <w:rPr>
          <w:rStyle w:val="FootnoteReference"/>
        </w:rPr>
        <w:footnoteReference w:id="303"/>
      </w:r>
      <w:r w:rsidRPr="008F4F73">
        <w:t xml:space="preserve"> This provides confidence that our estimate for this decision, while taking account of the downward trends of equity beta and risk free rate, is likely to provide </w:t>
      </w:r>
      <w:r w:rsidR="00CA1ED0" w:rsidRPr="00CA1ED0">
        <w:t>AGN</w:t>
      </w:r>
      <w:r w:rsidR="00CA1ED0" w:rsidRPr="00CA1ED0" w:rsidDel="004C7209">
        <w:t xml:space="preserve"> </w:t>
      </w:r>
      <w:r w:rsidRPr="008F4F73">
        <w:t>a reasonable opportunity to recover at least the efficient costs of providing regulated services.</w:t>
      </w:r>
    </w:p>
    <w:p w:rsidR="008F4F73" w:rsidRPr="008F4F73" w:rsidRDefault="008F4F73" w:rsidP="008F4F73">
      <w:r w:rsidRPr="008F4F73">
        <w:t xml:space="preserve">In addition to the equity risk premium ranges shown in </w:t>
      </w:r>
      <w:r w:rsidRPr="008F4F73">
        <w:fldChar w:fldCharType="begin"/>
      </w:r>
      <w:r w:rsidRPr="008F4F73">
        <w:instrText xml:space="preserve"> REF _Ref445923478 \h </w:instrText>
      </w:r>
      <w:r w:rsidRPr="008F4F73">
        <w:fldChar w:fldCharType="separate"/>
      </w:r>
      <w:r w:rsidR="000230CB" w:rsidRPr="008F4F73">
        <w:t xml:space="preserve">Figure </w:t>
      </w:r>
      <w:r w:rsidR="000230CB">
        <w:rPr>
          <w:noProof/>
        </w:rPr>
        <w:t>3</w:t>
      </w:r>
      <w:r w:rsidR="000230CB">
        <w:noBreakHyphen/>
      </w:r>
      <w:r w:rsidR="000230CB">
        <w:rPr>
          <w:noProof/>
        </w:rPr>
        <w:t>5</w:t>
      </w:r>
      <w:r w:rsidRPr="008F4F73">
        <w:fldChar w:fldCharType="end"/>
      </w:r>
      <w:r w:rsidRPr="008F4F73">
        <w:t>, we have analysed movements in various conditioning variables (yield spreads, dividend yields, and the volatility index for the ASX200).</w:t>
      </w:r>
      <w:r w:rsidRPr="008F4F73">
        <w:rPr>
          <w:rStyle w:val="FootnoteReference"/>
        </w:rPr>
        <w:footnoteReference w:id="304"/>
      </w:r>
      <w:r w:rsidRPr="008F4F73">
        <w:t xml:space="preserve"> These conditioning variables can provide information about prevailing market conditions and whether or not the market is in a period of heightened risk aversion. Overall, the conditioning variables appear fairly stable and close to their long term averages. </w:t>
      </w:r>
    </w:p>
    <w:p w:rsidR="008F4F73" w:rsidRPr="008F4F73" w:rsidRDefault="008F4F73" w:rsidP="008F4F73">
      <w:r w:rsidRPr="008F4F73">
        <w:t>There was broad agreement from consumer groups on the application of our foundation model approach as set out in our Guideline.</w:t>
      </w:r>
      <w:r w:rsidRPr="008F4F73">
        <w:rPr>
          <w:rStyle w:val="FootnoteReference"/>
        </w:rPr>
        <w:footnoteReference w:id="305"/>
      </w:r>
      <w:r w:rsidRPr="008F4F73">
        <w:t xml:space="preserve"> We consider that this means applying the Guideline in its entirety including the overall approach, parameter estimation and use of other information</w:t>
      </w:r>
      <w:r w:rsidRPr="008F4F73">
        <w:rPr>
          <w:rStyle w:val="FootnoteReference"/>
        </w:rPr>
        <w:footnoteReference w:id="306"/>
      </w:r>
      <w:r w:rsidRPr="008F4F73">
        <w:t xml:space="preserve"> as relevant cross-checks.  </w:t>
      </w:r>
    </w:p>
    <w:p w:rsidR="008F4F73" w:rsidRPr="008F4F73" w:rsidRDefault="008F4F73" w:rsidP="008F4F73">
      <w:r w:rsidRPr="008F4F73">
        <w:t>In total, eight consumer groups</w:t>
      </w:r>
      <w:r w:rsidRPr="008F4F73">
        <w:rPr>
          <w:rStyle w:val="FootnoteReference"/>
        </w:rPr>
        <w:footnoteReference w:id="307"/>
      </w:r>
      <w:r w:rsidRPr="008F4F73">
        <w:t xml:space="preserve"> supported our approach and some groups noted that they valued the predictability and transparency resulting from the application of our Guideline and foundation model approach.</w:t>
      </w:r>
      <w:r w:rsidRPr="008F4F73">
        <w:rPr>
          <w:rStyle w:val="FootnoteReference"/>
        </w:rPr>
        <w:footnoteReference w:id="308"/>
      </w:r>
      <w:r w:rsidRPr="008F4F73">
        <w:t xml:space="preserve"> We note that applying the foundation model approach, as in the Guideline, results in an equity risk premium of 4.55 per cent. </w:t>
      </w:r>
    </w:p>
    <w:p w:rsidR="008F4F73" w:rsidRPr="008F4F73" w:rsidRDefault="008F4F73" w:rsidP="008F4F73">
      <w:r w:rsidRPr="008F4F73">
        <w:t>While supporting our Guideline, some consumer groups have submitted that it reflects conservative choices</w:t>
      </w:r>
      <w:r w:rsidRPr="008F4F73">
        <w:rPr>
          <w:rStyle w:val="FootnoteReference"/>
        </w:rPr>
        <w:footnoteReference w:id="309"/>
      </w:r>
      <w:r w:rsidRPr="008F4F73">
        <w:t xml:space="preserve"> that may result in over-estimating the return on equity and that parameter estimates (and rate of return) can be lowered further.</w:t>
      </w:r>
      <w:r w:rsidRPr="008F4F73">
        <w:rPr>
          <w:rStyle w:val="FootnoteReference"/>
        </w:rPr>
        <w:footnoteReference w:id="310"/>
      </w:r>
      <w:r w:rsidRPr="008F4F73">
        <w:t xml:space="preserve"> Submissions also noted that we need to give more weight to market data and realised returns such as financial performance and asset sales when considering the overall return on equity.</w:t>
      </w:r>
      <w:r w:rsidRPr="008F4F73">
        <w:rPr>
          <w:rStyle w:val="FootnoteReference"/>
        </w:rPr>
        <w:footnoteReference w:id="311"/>
      </w:r>
      <w:r w:rsidRPr="008F4F73">
        <w:rPr>
          <w:rStyle w:val="CommentReference"/>
        </w:rPr>
        <w:t xml:space="preserve"> </w:t>
      </w:r>
    </w:p>
    <w:p w:rsidR="008F4F73" w:rsidRDefault="008F4F73" w:rsidP="008F4F73">
      <w:r w:rsidRPr="008F4F73">
        <w:t xml:space="preserve">We note the service providers submitted that we did not have appropriate regard to information from other relevant sources. Some stakeholders submitted that we should also have regard to realised returns when considering our overall return on equity estimate. A summary of these submissions and our responses are provided in </w:t>
      </w:r>
      <w:r w:rsidRPr="008F4F73">
        <w:fldChar w:fldCharType="begin"/>
      </w:r>
      <w:r w:rsidRPr="008F4F73">
        <w:instrText xml:space="preserve"> REF _Ref445927856 \h </w:instrText>
      </w:r>
      <w:r w:rsidRPr="008F4F73">
        <w:fldChar w:fldCharType="separate"/>
      </w:r>
      <w:r w:rsidR="000230CB" w:rsidRPr="008F4F73">
        <w:t xml:space="preserve">Table </w:t>
      </w:r>
      <w:r w:rsidR="000230CB">
        <w:rPr>
          <w:noProof/>
        </w:rPr>
        <w:t>3</w:t>
      </w:r>
      <w:r w:rsidR="000230CB" w:rsidRPr="008F4F73">
        <w:noBreakHyphen/>
      </w:r>
      <w:r w:rsidR="000230CB">
        <w:rPr>
          <w:noProof/>
        </w:rPr>
        <w:t>7</w:t>
      </w:r>
      <w:r w:rsidRPr="008F4F73">
        <w:fldChar w:fldCharType="end"/>
      </w:r>
      <w:r w:rsidRPr="008F4F73">
        <w:t xml:space="preserve"> below. Having considered the overall information and all material before us, at this time we are not satisfied that this information indicates a departure from the Guideline would contribute to the achievement of the </w:t>
      </w:r>
      <w:r w:rsidR="0068661A">
        <w:t>ARORO</w:t>
      </w:r>
      <w:r w:rsidRPr="008F4F73">
        <w:t xml:space="preserve">. </w:t>
      </w:r>
    </w:p>
    <w:p w:rsidR="000230CB" w:rsidRDefault="000230CB">
      <w:pPr>
        <w:spacing w:line="240" w:lineRule="auto"/>
      </w:pPr>
      <w:r>
        <w:br w:type="page"/>
      </w:r>
    </w:p>
    <w:p w:rsidR="008F4F73" w:rsidRPr="008F4F73" w:rsidRDefault="008F4F73" w:rsidP="008F4F73">
      <w:pPr>
        <w:pStyle w:val="Caption"/>
        <w:numPr>
          <w:ilvl w:val="0"/>
          <w:numId w:val="24"/>
        </w:numPr>
      </w:pPr>
      <w:bookmarkStart w:id="76" w:name="_Ref445927856"/>
      <w:r w:rsidRPr="008F4F73">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Pr="008F4F73">
        <w:noBreakHyphen/>
      </w:r>
      <w:r w:rsidR="00527450">
        <w:fldChar w:fldCharType="begin"/>
      </w:r>
      <w:r w:rsidR="00527450">
        <w:instrText xml:space="preserve"> SEQ Table \* ARABIC \s 1 </w:instrText>
      </w:r>
      <w:r w:rsidR="00527450">
        <w:fldChar w:fldCharType="separate"/>
      </w:r>
      <w:r w:rsidR="000230CB">
        <w:rPr>
          <w:noProof/>
        </w:rPr>
        <w:t>7</w:t>
      </w:r>
      <w:r w:rsidR="00527450">
        <w:rPr>
          <w:noProof/>
        </w:rPr>
        <w:fldChar w:fldCharType="end"/>
      </w:r>
      <w:bookmarkEnd w:id="76"/>
      <w:r w:rsidRPr="008F4F73">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8F4F73" w:rsidTr="00DB4FCE">
        <w:trPr>
          <w:cnfStyle w:val="100000000000" w:firstRow="1" w:lastRow="0" w:firstColumn="0" w:lastColumn="0" w:oddVBand="0" w:evenVBand="0" w:oddHBand="0" w:evenHBand="0" w:firstRowFirstColumn="0" w:firstRowLastColumn="0" w:lastRowFirstColumn="0" w:lastRowLastColumn="0"/>
          <w:tblHeader/>
        </w:trPr>
        <w:tc>
          <w:tcPr>
            <w:tcW w:w="2235" w:type="dxa"/>
          </w:tcPr>
          <w:p w:rsidR="008F4F73" w:rsidRPr="008F4F73" w:rsidRDefault="008F4F73" w:rsidP="008F4F73">
            <w:r w:rsidRPr="008F4F73">
              <w:t>Issue</w:t>
            </w:r>
          </w:p>
        </w:tc>
        <w:tc>
          <w:tcPr>
            <w:tcW w:w="6458" w:type="dxa"/>
          </w:tcPr>
          <w:p w:rsidR="008F4F73" w:rsidRPr="008F4F73" w:rsidRDefault="008F4F73" w:rsidP="008F4F73">
            <w:r w:rsidRPr="008F4F73">
              <w:t>Our response</w:t>
            </w:r>
          </w:p>
        </w:tc>
      </w:tr>
      <w:tr w:rsidR="008F4F73" w:rsidTr="00987A05">
        <w:trPr>
          <w:trHeight w:val="1132"/>
        </w:trPr>
        <w:tc>
          <w:tcPr>
            <w:tcW w:w="2235" w:type="dxa"/>
          </w:tcPr>
          <w:p w:rsidR="008F4F73" w:rsidRPr="008F4F73" w:rsidRDefault="008F4F73" w:rsidP="008F4F73">
            <w:r w:rsidRPr="008F4F73">
              <w:t>No reliable inferences can be drawn from the comparison of equity and debt risk premia.</w:t>
            </w:r>
            <w:r w:rsidRPr="008F4F73">
              <w:rPr>
                <w:rStyle w:val="FootnoteReference"/>
              </w:rPr>
              <w:footnoteReference w:id="312"/>
            </w:r>
          </w:p>
          <w:p w:rsidR="008F4F73" w:rsidRPr="008F4F73" w:rsidRDefault="008F4F73" w:rsidP="008F4F73"/>
        </w:tc>
        <w:tc>
          <w:tcPr>
            <w:tcW w:w="6458" w:type="dxa"/>
          </w:tcPr>
          <w:p w:rsidR="008F4F73" w:rsidRPr="008F4F73" w:rsidRDefault="008F4F73" w:rsidP="008F4F73">
            <w:r w:rsidRPr="008F4F73">
              <w:t>We note that it is difficult to derive definitive conclusions about the level of equity premiums from information on debt premiums as there is inconclusive evidence on the size and strength of any relationship between the two premia.</w:t>
            </w:r>
            <w:r w:rsidRPr="008F4F73">
              <w:rPr>
                <w:rStyle w:val="FootnoteReference"/>
              </w:rPr>
              <w:footnoteReference w:id="313"/>
            </w:r>
            <w:r w:rsidRPr="008F4F73">
              <w:t xml:space="preserve"> This is why we give this material a directional role.</w:t>
            </w:r>
            <w:r w:rsidRPr="008F4F73">
              <w:rPr>
                <w:rStyle w:val="FootnoteReference"/>
              </w:rPr>
              <w:footnoteReference w:id="314"/>
            </w:r>
          </w:p>
          <w:p w:rsidR="008F4F73" w:rsidRPr="008F4F73" w:rsidRDefault="008F4F73" w:rsidP="008F4F73">
            <w:r w:rsidRPr="008F4F73">
              <w:t>A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8F4F73">
              <w:rPr>
                <w:rStyle w:val="FootnoteReference"/>
              </w:rPr>
              <w:footnoteReference w:id="315"/>
            </w:r>
            <w:r w:rsidRPr="008F4F73">
              <w:t xml:space="preserve"> However, we do not expect the equity risk premium for </w:t>
            </w:r>
            <w:r w:rsidRPr="008F4F73">
              <w:rPr>
                <w:rStyle w:val="AERtextsize8"/>
              </w:rPr>
              <w:t xml:space="preserve">a benchmark efficient entity with a similar degree of risk as </w:t>
            </w:r>
            <w:r w:rsidR="00CA1ED0" w:rsidRPr="00CA1ED0">
              <w:t>AGN</w:t>
            </w:r>
            <w:r w:rsidR="00CA1ED0" w:rsidRPr="00CA1ED0" w:rsidDel="004C7209">
              <w:rPr>
                <w:rStyle w:val="AERtextsize8"/>
              </w:rPr>
              <w:t xml:space="preserve"> </w:t>
            </w:r>
            <w:r w:rsidRPr="008F4F73">
              <w:rPr>
                <w:rStyle w:val="AERtextsize8"/>
              </w:rPr>
              <w:t>in providing regulated services</w:t>
            </w:r>
            <w:r w:rsidRPr="008F4F73">
              <w:t xml:space="preserve"> to be significantly higher than the debt risk premium. This is because we consider that there is limited systematic risk associated with </w:t>
            </w:r>
            <w:r w:rsidR="00CA1ED0" w:rsidRPr="00CA1ED0">
              <w:t>AGN</w:t>
            </w:r>
            <w:r w:rsidRPr="008F4F73">
              <w:t>'s reference services.</w:t>
            </w:r>
            <w:r w:rsidRPr="008F4F73">
              <w:rPr>
                <w:rStyle w:val="FootnoteReference"/>
              </w:rPr>
              <w:footnoteReference w:id="316"/>
            </w:r>
            <w:r w:rsidRPr="008F4F73">
              <w:t xml:space="preserve"> </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2235" w:type="dxa"/>
          </w:tcPr>
          <w:p w:rsidR="008F4F73" w:rsidRPr="008F4F73" w:rsidRDefault="008F4F73" w:rsidP="008F4F73">
            <w:r w:rsidRPr="008F4F73">
              <w:t>Frontier noted that the comparison between the equity and debt risk premia indicates that they both move inversely to the risk free rate.</w:t>
            </w:r>
            <w:r w:rsidRPr="008F4F73">
              <w:rPr>
                <w:rStyle w:val="FootnoteReference"/>
              </w:rPr>
              <w:footnoteReference w:id="317"/>
            </w:r>
          </w:p>
        </w:tc>
        <w:tc>
          <w:tcPr>
            <w:tcW w:w="6458" w:type="dxa"/>
          </w:tcPr>
          <w:p w:rsidR="008F4F73" w:rsidRPr="008F4F73" w:rsidRDefault="008F4F73" w:rsidP="008F4F73">
            <w:r w:rsidRPr="008F4F73">
              <w:t>We 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8F4F73">
              <w:rPr>
                <w:rStyle w:val="FootnoteReference"/>
              </w:rPr>
              <w:footnoteReference w:id="318"/>
            </w:r>
          </w:p>
        </w:tc>
      </w:tr>
      <w:tr w:rsidR="008F4F73" w:rsidTr="00987A05">
        <w:tc>
          <w:tcPr>
            <w:tcW w:w="2235" w:type="dxa"/>
          </w:tcPr>
          <w:p w:rsidR="008F4F73" w:rsidRPr="008F4F73" w:rsidRDefault="008F4F73" w:rsidP="008F4F73">
            <w:r w:rsidRPr="008F4F73">
              <w:t>Our use of a range of beta estimates from 0.4 to 0.7, instead of our point estimate of 0.7, in the Wright CAPM prevents any real regard being had to the Wright CAPM.</w:t>
            </w:r>
            <w:r w:rsidRPr="008F4F73">
              <w:rPr>
                <w:rStyle w:val="FootnoteReference"/>
              </w:rPr>
              <w:footnoteReference w:id="319"/>
            </w:r>
          </w:p>
        </w:tc>
        <w:tc>
          <w:tcPr>
            <w:tcW w:w="6458" w:type="dxa"/>
          </w:tcPr>
          <w:p w:rsidR="008F4F73" w:rsidRPr="008F4F73" w:rsidRDefault="008F4F73" w:rsidP="008F4F73">
            <w:r w:rsidRPr="008F4F73">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2235" w:type="dxa"/>
          </w:tcPr>
          <w:p w:rsidR="008F4F73" w:rsidRPr="008F4F73" w:rsidRDefault="008F4F73" w:rsidP="008F4F73">
            <w:r w:rsidRPr="008F4F73">
              <w:t>We use a range under the Wright approach, whereas Frontier Economics estimates the return on the market under the Wright approach as a point estimate using the longest time period available.</w:t>
            </w:r>
            <w:r w:rsidRPr="008F4F73">
              <w:rPr>
                <w:rStyle w:val="FootnoteReference"/>
              </w:rPr>
              <w:footnoteReference w:id="320"/>
            </w:r>
          </w:p>
        </w:tc>
        <w:tc>
          <w:tcPr>
            <w:tcW w:w="6458" w:type="dxa"/>
          </w:tcPr>
          <w:p w:rsidR="008F4F73" w:rsidRPr="008F4F73" w:rsidRDefault="008F4F73" w:rsidP="00CA1ED0">
            <w:r w:rsidRPr="008F4F73">
              <w:t xml:space="preserve">When estimating the Wright approach we estimate a range based on the different averaging periods in </w:t>
            </w:r>
            <w:r w:rsidRPr="008F4F73">
              <w:fldChar w:fldCharType="begin"/>
            </w:r>
            <w:r w:rsidRPr="008F4F73">
              <w:instrText xml:space="preserve"> REF _Ref417570520 \h </w:instrText>
            </w:r>
            <w:r w:rsidRPr="008F4F73">
              <w:fldChar w:fldCharType="separate"/>
            </w:r>
            <w:r w:rsidR="000230CB">
              <w:t xml:space="preserve">Table </w:t>
            </w:r>
            <w:r w:rsidR="000230CB">
              <w:rPr>
                <w:noProof/>
              </w:rPr>
              <w:t>3</w:t>
            </w:r>
            <w:r w:rsidR="000230CB">
              <w:noBreakHyphen/>
            </w:r>
            <w:r w:rsidR="000230CB">
              <w:rPr>
                <w:noProof/>
              </w:rPr>
              <w:t>28</w:t>
            </w:r>
            <w:r w:rsidRPr="008F4F73">
              <w:fldChar w:fldCharType="end"/>
            </w:r>
            <w:r w:rsidRPr="008F4F73">
              <w:t>. This recognises</w:t>
            </w:r>
            <w:r w:rsidRPr="008F4F73">
              <w:rPr>
                <w:rStyle w:val="AERbody"/>
              </w:rPr>
              <w:t xml:space="preserve"> </w:t>
            </w:r>
            <w:r w:rsidRPr="008F4F73">
              <w:t>the estimated return on the market will vary depending on the time period used.</w:t>
            </w:r>
            <w:r w:rsidRPr="008F4F73">
              <w:rPr>
                <w:rStyle w:val="FootnoteReference"/>
              </w:rPr>
              <w:footnoteReference w:id="321"/>
            </w:r>
            <w:r w:rsidRPr="008F4F73">
              <w:t xml:space="preserve"> This also recognises that each of these periods has merits and limitations (see section C.1.2 in Attachment 3 to our </w:t>
            </w:r>
            <w:r w:rsidRPr="008F4F73">
              <w:rPr>
                <w:rStyle w:val="AERtextsize8"/>
              </w:rPr>
              <w:t>draft</w:t>
            </w:r>
            <w:r w:rsidRPr="008F4F73">
              <w:t xml:space="preserve"> decision for </w:t>
            </w:r>
            <w:r w:rsidR="00CA1ED0" w:rsidRPr="00CA1ED0">
              <w:t>AGN</w:t>
            </w:r>
            <w:r w:rsidRPr="008F4F73">
              <w:t>). This is consistent with the Guideline.</w:t>
            </w:r>
            <w:r w:rsidRPr="008F4F73">
              <w:rPr>
                <w:rStyle w:val="FootnoteReference"/>
              </w:rPr>
              <w:footnoteReference w:id="322"/>
            </w:r>
            <w:r w:rsidRPr="008F4F73">
              <w:t xml:space="preserve"> We do not consider that </w:t>
            </w:r>
            <w:r w:rsidR="00CA1ED0" w:rsidRPr="00CA1ED0">
              <w:t>AGN</w:t>
            </w:r>
            <w:r w:rsidR="00CA1ED0" w:rsidRPr="00CA1ED0" w:rsidDel="004C7209">
              <w:t xml:space="preserve"> </w:t>
            </w:r>
            <w:r w:rsidRPr="008F4F73">
              <w:t>has explained why it departed from the Guideline by adopting a point estimate.</w:t>
            </w:r>
          </w:p>
        </w:tc>
      </w:tr>
      <w:tr w:rsidR="008F4F73" w:rsidTr="00987A05">
        <w:tc>
          <w:tcPr>
            <w:tcW w:w="2235" w:type="dxa"/>
          </w:tcPr>
          <w:p w:rsidR="008F4F73" w:rsidRPr="008F4F73" w:rsidRDefault="008F4F73" w:rsidP="008F4F73">
            <w:r w:rsidRPr="008F4F73">
              <w:t>Uplifts to market risk premium and risk free rate estimates from broker and valuation reports should be taken into account.</w:t>
            </w:r>
            <w:r w:rsidRPr="008F4F73">
              <w:rPr>
                <w:rStyle w:val="FootnoteReference"/>
              </w:rPr>
              <w:t xml:space="preserve"> </w:t>
            </w:r>
            <w:r w:rsidRPr="008F4F73">
              <w:rPr>
                <w:rStyle w:val="FootnoteReference"/>
              </w:rPr>
              <w:footnoteReference w:id="323"/>
            </w:r>
          </w:p>
        </w:tc>
        <w:tc>
          <w:tcPr>
            <w:tcW w:w="6458" w:type="dxa"/>
          </w:tcPr>
          <w:p w:rsidR="008F4F73" w:rsidRPr="008F4F73" w:rsidRDefault="008F4F73" w:rsidP="008F4F73">
            <w:r w:rsidRPr="008F4F73">
              <w:t xml:space="preserve">Uplifts applied by brokers and valuers to initial estimates may be inconsistent with </w:t>
            </w:r>
            <w:r w:rsidR="00146AE3">
              <w:t>the</w:t>
            </w:r>
            <w:r w:rsidRPr="008F4F73">
              <w:t xml:space="preserve"> </w:t>
            </w:r>
            <w:r w:rsidR="0068661A">
              <w:t>ARORO</w:t>
            </w:r>
            <w:r w:rsidRPr="008F4F73">
              <w:t>.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access arrangement period).</w:t>
            </w:r>
          </w:p>
          <w:p w:rsidR="008F4F73" w:rsidRPr="008F4F73" w:rsidRDefault="008F4F73" w:rsidP="008F4F73">
            <w:r w:rsidRPr="008F4F73">
              <w:t xml:space="preserve">As a result, we prefer to have greater regard to estimates exclusive of these uplifts. For more detail, see sections E.3, E.4 and E.6 in Attachment 3 to our </w:t>
            </w:r>
            <w:r w:rsidRPr="008F4F73">
              <w:rPr>
                <w:rStyle w:val="AERtextsize8"/>
              </w:rPr>
              <w:t>draft</w:t>
            </w:r>
            <w:r w:rsidRPr="008F4F73">
              <w:t xml:space="preserve"> decision for </w:t>
            </w:r>
            <w:r w:rsidR="00CA1ED0" w:rsidRPr="00CA1ED0">
              <w:t>AGN</w:t>
            </w:r>
            <w:r w:rsidRPr="008F4F73">
              <w:t>.</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2235" w:type="dxa"/>
          </w:tcPr>
          <w:p w:rsidR="008F4F73" w:rsidRPr="008F4F73" w:rsidRDefault="008F4F73" w:rsidP="008F4F73">
            <w:r w:rsidRPr="008F4F73">
              <w:t>Houston Kemp submitted that our concern about uplifts in valuation reports reflecting term structure adjustments is not supported by the evidence.</w:t>
            </w:r>
            <w:r w:rsidRPr="008F4F73">
              <w:rPr>
                <w:rStyle w:val="FootnoteReference"/>
              </w:rPr>
              <w:footnoteReference w:id="324"/>
            </w:r>
          </w:p>
        </w:tc>
        <w:tc>
          <w:tcPr>
            <w:tcW w:w="6458" w:type="dxa"/>
          </w:tcPr>
          <w:p w:rsidR="008F4F73" w:rsidRPr="008F4F73" w:rsidRDefault="008F4F73" w:rsidP="008F4F73">
            <w:r w:rsidRPr="008F4F73">
              <w:t>HoustonKemp has not provided compelling evidence that valuers do not adjust risk free rate estimates to account for term structure.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8F4F73">
              <w:rPr>
                <w:rStyle w:val="FootnoteReference"/>
              </w:rPr>
              <w:footnoteReference w:id="325"/>
            </w:r>
          </w:p>
          <w:p w:rsidR="008F4F73" w:rsidRPr="008F4F73" w:rsidDel="00507F98" w:rsidRDefault="008F4F73" w:rsidP="008F4F73">
            <w:r w:rsidRPr="008F4F73">
              <w:t>HoustonKemp refers to a report by KPMG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8F4F73" w:rsidTr="00987A05">
        <w:tc>
          <w:tcPr>
            <w:tcW w:w="2235" w:type="dxa"/>
          </w:tcPr>
          <w:p w:rsidR="008F4F73" w:rsidRPr="008F4F73" w:rsidRDefault="00526720" w:rsidP="008F4F73">
            <w:r>
              <w:t>Service providers</w:t>
            </w:r>
            <w:r w:rsidR="008F4F73" w:rsidRPr="008F4F73">
              <w:t xml:space="preserve"> submitted that the relevant estimates from broker and valuation reports are the imputation-adjusted estimates.</w:t>
            </w:r>
            <w:r w:rsidR="008F4F73" w:rsidRPr="008F4F73">
              <w:rPr>
                <w:rStyle w:val="FootnoteReference"/>
              </w:rPr>
              <w:t xml:space="preserve"> </w:t>
            </w:r>
            <w:r w:rsidR="008F4F73" w:rsidRPr="008F4F73">
              <w:rPr>
                <w:rStyle w:val="FootnoteReference"/>
              </w:rPr>
              <w:footnoteReference w:id="326"/>
            </w:r>
          </w:p>
        </w:tc>
        <w:tc>
          <w:tcPr>
            <w:tcW w:w="6458" w:type="dxa"/>
          </w:tcPr>
          <w:p w:rsidR="008F4F73" w:rsidRPr="008F4F73" w:rsidRDefault="008F4F73" w:rsidP="008F4F73">
            <w:r w:rsidRPr="008F4F73">
              <w:t xml:space="preserve">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w:t>
            </w:r>
            <w:r w:rsidRPr="008F4F73">
              <w:rPr>
                <w:rStyle w:val="AERtextsize8"/>
              </w:rPr>
              <w:t>draft</w:t>
            </w:r>
            <w:r w:rsidRPr="008F4F73">
              <w:t xml:space="preserve"> decision for </w:t>
            </w:r>
            <w:r w:rsidR="00CA1ED0" w:rsidRPr="00CA1ED0">
              <w:t>AGN</w:t>
            </w:r>
            <w:r w:rsidRPr="008F4F73">
              <w:t>.</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2235" w:type="dxa"/>
          </w:tcPr>
          <w:p w:rsidR="008F4F73" w:rsidRPr="008F4F73" w:rsidRDefault="00526720" w:rsidP="008F4F73">
            <w:r>
              <w:t>Service providers</w:t>
            </w:r>
            <w:r w:rsidR="00CA1ED0" w:rsidRPr="00CA1ED0" w:rsidDel="00CA1ED0">
              <w:t xml:space="preserve"> </w:t>
            </w:r>
            <w:r w:rsidR="008F4F73" w:rsidRPr="008F4F73">
              <w:t>submitted that it is not appropriate to focus just on the equity risk premium from broker reports.</w:t>
            </w:r>
            <w:r w:rsidR="008F4F73" w:rsidRPr="008F4F73">
              <w:rPr>
                <w:rStyle w:val="FootnoteReference"/>
              </w:rPr>
              <w:t xml:space="preserve"> </w:t>
            </w:r>
            <w:r w:rsidR="008F4F73" w:rsidRPr="008F4F73">
              <w:rPr>
                <w:rStyle w:val="FootnoteReference"/>
              </w:rPr>
              <w:footnoteReference w:id="327"/>
            </w:r>
          </w:p>
        </w:tc>
        <w:tc>
          <w:tcPr>
            <w:tcW w:w="6458" w:type="dxa"/>
          </w:tcPr>
          <w:p w:rsidR="008F4F73" w:rsidRPr="008F4F73" w:rsidRDefault="008F4F73" w:rsidP="008F4F73">
            <w:r w:rsidRPr="008F4F73">
              <w:t xml:space="preserve">This submission indicates a misunderstanding of our approach. We clearly have regard to both equity risk premium and overall return on equity estimates from broker reports. For more details see section </w:t>
            </w:r>
            <w:r w:rsidRPr="008F4F73">
              <w:fldChar w:fldCharType="begin"/>
            </w:r>
            <w:r w:rsidRPr="008F4F73">
              <w:instrText xml:space="preserve"> REF _Ref445898024 \r \h </w:instrText>
            </w:r>
            <w:r w:rsidRPr="008F4F73">
              <w:fldChar w:fldCharType="separate"/>
            </w:r>
            <w:r w:rsidR="000230CB">
              <w:t>F.2</w:t>
            </w:r>
            <w:r w:rsidRPr="008F4F73">
              <w:fldChar w:fldCharType="end"/>
            </w:r>
            <w:r w:rsidRPr="008F4F73">
              <w:t xml:space="preserve"> of this attachment.</w:t>
            </w:r>
          </w:p>
        </w:tc>
      </w:tr>
      <w:tr w:rsidR="008F4F73" w:rsidTr="00987A05">
        <w:tc>
          <w:tcPr>
            <w:tcW w:w="2235" w:type="dxa"/>
          </w:tcPr>
          <w:p w:rsidR="008F4F73" w:rsidRPr="008F4F73" w:rsidRDefault="008F4F73" w:rsidP="008F4F73">
            <w:r w:rsidRPr="008F4F73">
              <w:t xml:space="preserve">Frontier Economics submitted that we erred in our representation of valuers' estimated market return shown in Figure 3-33 in our </w:t>
            </w:r>
            <w:r w:rsidRPr="008F4F73">
              <w:rPr>
                <w:rStyle w:val="AERtextsize8"/>
              </w:rPr>
              <w:t>draft</w:t>
            </w:r>
            <w:r w:rsidRPr="008F4F73">
              <w:t xml:space="preserve"> decision.</w:t>
            </w:r>
            <w:r w:rsidRPr="008F4F73">
              <w:rPr>
                <w:rStyle w:val="FootnoteReference"/>
              </w:rPr>
              <w:footnoteReference w:id="328"/>
            </w:r>
          </w:p>
        </w:tc>
        <w:tc>
          <w:tcPr>
            <w:tcW w:w="6458" w:type="dxa"/>
          </w:tcPr>
          <w:p w:rsidR="008F4F73" w:rsidRPr="008F4F73" w:rsidRDefault="008F4F73" w:rsidP="008F4F73">
            <w:r w:rsidRPr="008F4F73">
              <w:t xml:space="preserve">This submission indicates a misunderstanding of our approach. Valuers' estimates of the market return shown in Figure 3-33 in Attachment 3 to our </w:t>
            </w:r>
            <w:r w:rsidRPr="008F4F73">
              <w:rPr>
                <w:rStyle w:val="AERtextsize8"/>
              </w:rPr>
              <w:t>draft</w:t>
            </w:r>
            <w:r w:rsidRPr="008F4F73">
              <w:t xml:space="preserve"> decision are calculated as the sum of the valuers' estimated risk free rate and market risk premium.</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tcW w:w="2235" w:type="dxa"/>
          </w:tcPr>
          <w:p w:rsidR="008F4F73" w:rsidRPr="008F4F73" w:rsidRDefault="008F4F73" w:rsidP="008F4F73">
            <w:r w:rsidRPr="008F4F73">
              <w:t>The EUCV, VECUA and CCP (panel 3) submitted that we should have regard to realised returns estimated from financial statements and asset sales.</w:t>
            </w:r>
            <w:r w:rsidRPr="008F4F73">
              <w:rPr>
                <w:rStyle w:val="FootnoteReference"/>
              </w:rPr>
              <w:footnoteReference w:id="329"/>
            </w:r>
          </w:p>
        </w:tc>
        <w:tc>
          <w:tcPr>
            <w:tcW w:w="6458" w:type="dxa"/>
          </w:tcPr>
          <w:p w:rsidR="008F4F73" w:rsidRPr="008F4F73" w:rsidRDefault="008F4F73" w:rsidP="008F4F73">
            <w:r w:rsidRPr="008F4F73">
              <w:t>Caution must be exercised before drawing inferences about the regulatory rate of return from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8F4F73" w:rsidRPr="008F4F73" w:rsidRDefault="008F4F73" w:rsidP="00CA1ED0">
            <w:r w:rsidRPr="008F4F73">
              <w:t>For this reason, we do not use information from realised returns to estimate the return on equity. For more detail, see pages 10</w:t>
            </w:r>
            <w:r w:rsidR="00CA1ED0">
              <w:t>3</w:t>
            </w:r>
            <w:r w:rsidRPr="008F4F73">
              <w:t xml:space="preserve"> to 10</w:t>
            </w:r>
            <w:r w:rsidR="00CA1ED0">
              <w:t>6</w:t>
            </w:r>
            <w:r w:rsidRPr="008F4F73">
              <w:t xml:space="preserve"> of Attachment 3 to our </w:t>
            </w:r>
            <w:r w:rsidRPr="008F4F73">
              <w:rPr>
                <w:rStyle w:val="AERtextsize8"/>
              </w:rPr>
              <w:t>draft</w:t>
            </w:r>
            <w:r w:rsidRPr="008F4F73" w:rsidDel="004C7209">
              <w:t xml:space="preserve"> </w:t>
            </w:r>
            <w:r w:rsidRPr="008F4F73">
              <w:t xml:space="preserve"> decision for </w:t>
            </w:r>
            <w:r w:rsidR="00CA1ED0" w:rsidRPr="00CA1ED0">
              <w:t>AGN</w:t>
            </w:r>
            <w:r w:rsidRPr="008F4F73">
              <w:t>.</w:t>
            </w:r>
          </w:p>
        </w:tc>
      </w:tr>
    </w:tbl>
    <w:p w:rsidR="008F4F73" w:rsidRPr="008F4F73" w:rsidRDefault="008F4F73" w:rsidP="008F4F73">
      <w:pPr>
        <w:pStyle w:val="HeadingBoldBlue"/>
        <w:numPr>
          <w:ilvl w:val="0"/>
          <w:numId w:val="24"/>
        </w:numPr>
        <w:rPr>
          <w:rStyle w:val="AERtextorange"/>
        </w:rPr>
      </w:pPr>
      <w:bookmarkStart w:id="77" w:name="_Toc443923182"/>
      <w:r w:rsidRPr="008F4F73">
        <w:rPr>
          <w:rStyle w:val="AERtextorange"/>
        </w:rPr>
        <w:t>Movements in the risk free rate and the return on equity</w:t>
      </w:r>
      <w:bookmarkEnd w:id="77"/>
    </w:p>
    <w:p w:rsidR="008F4F73" w:rsidRPr="008F4F73" w:rsidRDefault="008F4F73" w:rsidP="008F4F73">
      <w:pPr>
        <w:numPr>
          <w:ilvl w:val="0"/>
          <w:numId w:val="24"/>
        </w:numPr>
      </w:pPr>
      <w:r w:rsidRPr="008F4F73">
        <w:t>Applying our foundation model approach, we estimate a return on equity of 7.</w:t>
      </w:r>
      <w:r w:rsidR="00526720">
        <w:t>1</w:t>
      </w:r>
      <w:r w:rsidRPr="008F4F73">
        <w:t xml:space="preserve"> per cent. </w:t>
      </w:r>
    </w:p>
    <w:p w:rsidR="008F4F73" w:rsidRPr="008F4F73" w:rsidRDefault="008F4F73" w:rsidP="008F4F73">
      <w:pPr>
        <w:rPr>
          <w:rStyle w:val="AERbody"/>
        </w:rPr>
      </w:pPr>
      <w:r w:rsidRPr="008F4F73">
        <w:rPr>
          <w:rStyle w:val="AERbody"/>
        </w:rPr>
        <w:t xml:space="preserve">We consider capital—equity and debt—should provide for a risk premium over a base (risk free) rate. In estimating the allowed rate of return for </w:t>
      </w:r>
      <w:r w:rsidR="00CA1ED0" w:rsidRPr="00CA1ED0">
        <w:t>AGN</w:t>
      </w:r>
      <w:r w:rsidRPr="008F4F73">
        <w:rPr>
          <w:rStyle w:val="AERbody"/>
        </w:rPr>
        <w:t xml:space="preserve">, we consider the additional riskiness of </w:t>
      </w:r>
      <w:r w:rsidR="00CA1ED0" w:rsidRPr="00CA1ED0">
        <w:t>AGN</w:t>
      </w:r>
      <w:r w:rsidRPr="008F4F73">
        <w:rPr>
          <w:rStyle w:val="FootnoteReference"/>
        </w:rPr>
        <w:footnoteReference w:id="330"/>
      </w:r>
      <w:r w:rsidRPr="008F4F73">
        <w:rPr>
          <w:rStyle w:val="AERbody"/>
        </w:rPr>
        <w:t xml:space="preserve"> relative to the risk free asset, and the commensurate risk premium that investors require to take on this additional risk.</w:t>
      </w:r>
      <w:r w:rsidRPr="008F4F73">
        <w:rPr>
          <w:rStyle w:val="FootnoteReference"/>
        </w:rPr>
        <w:footnoteReference w:id="331"/>
      </w:r>
      <w:r w:rsidRPr="008F4F73">
        <w:rPr>
          <w:rStyle w:val="AERbody"/>
        </w:rPr>
        <w:t xml:space="preserve"> </w:t>
      </w:r>
    </w:p>
    <w:p w:rsidR="008F4F73" w:rsidRPr="008F4F73" w:rsidRDefault="008F4F73" w:rsidP="008F4F73">
      <w:pPr>
        <w:rPr>
          <w:rStyle w:val="AERbody"/>
        </w:rPr>
      </w:pPr>
      <w:r w:rsidRPr="008F4F73">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CA1ED0" w:rsidRPr="00CA1ED0">
        <w:t>AGN</w:t>
      </w:r>
      <w:r w:rsidR="00CA1ED0" w:rsidRPr="00CA1ED0" w:rsidDel="004C7209">
        <w:rPr>
          <w:rStyle w:val="AERbody"/>
        </w:rPr>
        <w:t xml:space="preserve"> </w:t>
      </w:r>
      <w:r w:rsidRPr="008F4F73">
        <w:rPr>
          <w:rStyle w:val="AERbody"/>
        </w:rPr>
        <w:t xml:space="preserve">relative to the risk free asset has increased as the risk free rate has decreased. Service providers have not sufficiently explained why, in the absence of an increase in the relative riskiness of </w:t>
      </w:r>
      <w:r w:rsidR="00CA1ED0" w:rsidRPr="00CA1ED0">
        <w:t>AGN</w:t>
      </w:r>
      <w:r w:rsidRPr="008F4F73">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8F4F73">
        <w:rPr>
          <w:rStyle w:val="FootnoteReference"/>
        </w:rPr>
        <w:footnoteReference w:id="332"/>
      </w:r>
    </w:p>
    <w:p w:rsidR="008F4F73" w:rsidRPr="008F4F73" w:rsidRDefault="008F4F73" w:rsidP="008F4F73">
      <w:pPr>
        <w:numPr>
          <w:ilvl w:val="0"/>
          <w:numId w:val="24"/>
        </w:numPr>
      </w:pPr>
      <w:r w:rsidRPr="008F4F73">
        <w:t>We consider that this is consistent with the required return on equity for prevailing market conditions for equity funds for the following reasons:</w:t>
      </w:r>
    </w:p>
    <w:p w:rsidR="008F4F73" w:rsidRPr="008F4F73" w:rsidRDefault="008F4F73" w:rsidP="008F4F73">
      <w:pPr>
        <w:pStyle w:val="AERbulletlistfirststyle"/>
      </w:pPr>
      <w:r w:rsidRPr="008F4F73">
        <w:t xml:space="preserve">We apply the foundation model approach and estimate a return on equity having regard to a range of relevant materials and their relative merits. </w:t>
      </w:r>
    </w:p>
    <w:p w:rsidR="008F4F73" w:rsidRPr="008F4F73" w:rsidRDefault="008F4F73" w:rsidP="008F4F73">
      <w:pPr>
        <w:pStyle w:val="AERbulletlistfirststyle"/>
      </w:pPr>
      <w:r w:rsidRPr="008F4F73">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w:t>
      </w:r>
    </w:p>
    <w:p w:rsidR="008F4F73" w:rsidRPr="008F4F73" w:rsidRDefault="008F4F73" w:rsidP="008F4F73">
      <w:pPr>
        <w:pStyle w:val="AERbulletlistfirststyle"/>
      </w:pPr>
      <w:r w:rsidRPr="008F4F73">
        <w:t xml:space="preserve">Our </w:t>
      </w:r>
      <w:r w:rsidRPr="008F4F73">
        <w:rPr>
          <w:rStyle w:val="AERbody"/>
        </w:rPr>
        <w:t xml:space="preserve">comparison between the return on equity and return on debt supports the view that </w:t>
      </w:r>
      <w:r w:rsidRPr="008F4F73">
        <w:t>our estimated return on equity is not below efficient financing costs</w:t>
      </w:r>
      <w:r w:rsidRPr="008F4F73">
        <w:rPr>
          <w:rStyle w:val="FootnoteReference"/>
        </w:rPr>
        <w:footnoteReference w:id="333"/>
      </w:r>
      <w:r w:rsidRPr="008F4F73">
        <w:t xml:space="preserve"> under </w:t>
      </w:r>
      <w:r w:rsidRPr="008F4F73">
        <w:rPr>
          <w:rStyle w:val="AERbody"/>
        </w:rPr>
        <w:t xml:space="preserve">prevailing debt market conditions. </w:t>
      </w:r>
      <w:r w:rsidRPr="008F4F73">
        <w:t xml:space="preserve">We do not consider that the current </w:t>
      </w:r>
      <w:r w:rsidR="00953161">
        <w:t>163</w:t>
      </w:r>
      <w:r w:rsidR="00022C2A">
        <w:t xml:space="preserve"> </w:t>
      </w:r>
      <w:r w:rsidRPr="008F4F73">
        <w:t>basis points difference between the equity risk premium allowed in this decision and debt risk premiums</w:t>
      </w:r>
      <w:r w:rsidRPr="008F4F73">
        <w:rPr>
          <w:rStyle w:val="FootnoteReference"/>
        </w:rPr>
        <w:footnoteReference w:id="334"/>
      </w:r>
      <w:r w:rsidRPr="008F4F73">
        <w:t xml:space="preserve"> to be too low. (see Appendix E.3 for more discussions)</w:t>
      </w:r>
    </w:p>
    <w:p w:rsidR="008F4F73" w:rsidRPr="008F4F73" w:rsidRDefault="008F4F73" w:rsidP="008F4F73">
      <w:pPr>
        <w:pStyle w:val="AERbulletlistfirststyle"/>
      </w:pPr>
      <w:r w:rsidRPr="008F4F73">
        <w:t>We do not find conclusive evidence of a relationship between the market risk premium and risk free rate in any direction or size. This is supported by our consideration in the Guideline, previous regulatory decisions and advice from Partington.</w:t>
      </w:r>
      <w:r w:rsidRPr="008F4F73">
        <w:rPr>
          <w:rStyle w:val="FootnoteReference"/>
        </w:rPr>
        <w:footnoteReference w:id="335"/>
      </w:r>
    </w:p>
    <w:p w:rsidR="008F4F73" w:rsidRPr="008F4F73" w:rsidRDefault="008F4F73" w:rsidP="008F4F73">
      <w:pPr>
        <w:pStyle w:val="AERbulletlistfirststyle"/>
      </w:pPr>
      <w:r w:rsidRPr="008F4F73">
        <w:t>We are not satisfied that there is evidence of a widespread 'flight to quality'</w:t>
      </w:r>
      <w:r w:rsidRPr="008F4F73">
        <w:rPr>
          <w:rStyle w:val="FootnoteReference"/>
        </w:rPr>
        <w:footnoteReference w:id="336"/>
      </w:r>
      <w:r w:rsidRPr="008F4F73">
        <w:t xml:space="preserve"> among investors in current market conditions that would impact 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8F4F73">
        <w:rPr>
          <w:rStyle w:val="FootnoteReference"/>
        </w:rPr>
        <w:footnoteReference w:id="337"/>
      </w:r>
      <w:r w:rsidRPr="008F4F73">
        <w:t xml:space="preserve"> </w:t>
      </w:r>
    </w:p>
    <w:p w:rsidR="008F4F73" w:rsidRPr="008F4F73" w:rsidRDefault="008F4F73" w:rsidP="008F4F73">
      <w:r w:rsidRPr="008F4F73">
        <w:t>Partington has advised, '[t]he low bond rates tell us that the required return for low risk assets is low'.</w:t>
      </w:r>
      <w:r w:rsidRPr="008F4F73">
        <w:rPr>
          <w:rStyle w:val="FootnoteReference"/>
        </w:rPr>
        <w:footnoteReference w:id="338"/>
      </w:r>
      <w:r w:rsidRPr="008F4F73">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F4F73">
        <w:rPr>
          <w:rStyle w:val="FootnoteReference"/>
        </w:rPr>
        <w:footnoteReference w:id="339"/>
      </w:r>
      <w:r w:rsidRPr="008F4F73">
        <w:t xml:space="preserve"> </w:t>
      </w:r>
    </w:p>
    <w:p w:rsidR="008F4F73" w:rsidRPr="008F4F73" w:rsidRDefault="008F4F73" w:rsidP="008F4F73">
      <w:pPr>
        <w:pStyle w:val="AERquote"/>
      </w:pPr>
      <w:r w:rsidRPr="008F4F73">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8F4F73" w:rsidRPr="008F4F73" w:rsidRDefault="008F4F73" w:rsidP="008F4F73">
      <w:r w:rsidRPr="008F4F73">
        <w:t>More recently, Partington and Satchell considered the submissions put forward by service providers and stated:</w:t>
      </w:r>
      <w:r w:rsidRPr="008F4F73">
        <w:rPr>
          <w:rStyle w:val="FootnoteReference"/>
        </w:rPr>
        <w:footnoteReference w:id="340"/>
      </w:r>
    </w:p>
    <w:p w:rsidR="008F4F73" w:rsidRPr="008F4F73" w:rsidRDefault="008F4F73" w:rsidP="008F4F73">
      <w:pPr>
        <w:pStyle w:val="AERquote"/>
      </w:pPr>
      <w:r w:rsidRPr="008F4F73">
        <w:t>There is a possibility that current low interest rates could result in higher equity risk premiums, but we do not think this is likely and more importantly we have seen no convincing evidence that this is the case.</w:t>
      </w:r>
    </w:p>
    <w:p w:rsidR="008F4F73" w:rsidRPr="008F4F73" w:rsidRDefault="008F4F73" w:rsidP="008F4F73">
      <w:r w:rsidRPr="008F4F73">
        <w:t xml:space="preserve">Service providers continue to submit  that our estimate of the return on equity is too low as a result of our application of the Sharpe-Lintner CAPM moving in 'lock step' with the risk free rate, based on the following material: </w:t>
      </w:r>
    </w:p>
    <w:p w:rsidR="008F4F73" w:rsidRPr="008F4F73" w:rsidRDefault="008F4F73" w:rsidP="008F4F73">
      <w:pPr>
        <w:pStyle w:val="AERbulletlistfirststyle"/>
      </w:pPr>
      <w:r w:rsidRPr="008F4F73">
        <w:t>Dividend growth model estimates</w:t>
      </w:r>
    </w:p>
    <w:p w:rsidR="008F4F73" w:rsidRPr="008F4F73" w:rsidRDefault="008F4F73" w:rsidP="008F4F73">
      <w:pPr>
        <w:pStyle w:val="AERbulletlistfirststyle"/>
      </w:pPr>
      <w:r w:rsidRPr="008F4F73">
        <w:t>Wright approach</w:t>
      </w:r>
    </w:p>
    <w:p w:rsidR="008F4F73" w:rsidRPr="008F4F73" w:rsidRDefault="008F4F73" w:rsidP="008F4F73">
      <w:pPr>
        <w:pStyle w:val="AERbulletlistfirststyle"/>
      </w:pPr>
      <w:r w:rsidRPr="008F4F73">
        <w:t>Hurdle rates</w:t>
      </w:r>
    </w:p>
    <w:p w:rsidR="008F4F73" w:rsidRPr="008F4F73" w:rsidRDefault="008F4F73" w:rsidP="008F4F73">
      <w:pPr>
        <w:pStyle w:val="AERbulletlistfirststyle"/>
      </w:pPr>
      <w:r w:rsidRPr="008F4F73">
        <w:t>Price-to-earnings ratios (PE ratios)</w:t>
      </w:r>
    </w:p>
    <w:p w:rsidR="008F4F73" w:rsidRPr="008F4F73" w:rsidRDefault="008F4F73" w:rsidP="008F4F73">
      <w:pPr>
        <w:pStyle w:val="AERbulletlistfirststyle"/>
      </w:pPr>
      <w:r w:rsidRPr="008F4F73">
        <w:t>Independent valuation report</w:t>
      </w:r>
    </w:p>
    <w:p w:rsidR="008F4F73" w:rsidRPr="008F4F73" w:rsidRDefault="008F4F73" w:rsidP="008F4F73">
      <w:r w:rsidRPr="008F4F73">
        <w:t>We respond to these materials in the sections below. We note that we have considered much of this material in the draft decision</w:t>
      </w:r>
      <w:r w:rsidRPr="008F4F73">
        <w:rPr>
          <w:rStyle w:val="FootnoteReference"/>
        </w:rPr>
        <w:footnoteReference w:id="341"/>
      </w:r>
      <w:r w:rsidRPr="008F4F73">
        <w:t xml:space="preserve"> and, after reviewing the new materials, our previous considerations remain valid for this decision. </w:t>
      </w:r>
    </w:p>
    <w:p w:rsidR="008F4F73" w:rsidRPr="008F4F73" w:rsidRDefault="008F4F73" w:rsidP="008F4F73">
      <w:r w:rsidRPr="008F4F73">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CA1ED0" w:rsidRPr="00CA1ED0">
        <w:t>AGN</w:t>
      </w:r>
      <w:r w:rsidRPr="008F4F73">
        <w:t xml:space="preserve">. </w:t>
      </w:r>
    </w:p>
    <w:p w:rsidR="008F4F73" w:rsidRPr="008F4F73" w:rsidRDefault="008F4F73" w:rsidP="008F4F73">
      <w:r w:rsidRPr="008F4F73">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consider that the service providers have not had appropriate regard to all available evidence, nor a complete consideration of the relative merits of each piece of evidence.  </w:t>
      </w:r>
    </w:p>
    <w:p w:rsidR="008F4F73" w:rsidRPr="008F4F73" w:rsidRDefault="008F4F73" w:rsidP="008F4F73">
      <w:pPr>
        <w:pStyle w:val="HeadingOrange"/>
      </w:pPr>
      <w:r w:rsidRPr="008F4F73">
        <w:t>Dividend growth model estimates</w:t>
      </w:r>
    </w:p>
    <w:p w:rsidR="008F4F73" w:rsidRPr="008F4F73" w:rsidRDefault="008F4F73" w:rsidP="008F4F73">
      <w:r w:rsidRPr="008F4F73">
        <w:t>Service providers submitted that our estimate of the return on equity is below dividend growth model-based estimates.</w:t>
      </w:r>
      <w:r w:rsidRPr="008F4F73">
        <w:rPr>
          <w:rStyle w:val="FootnoteReference"/>
        </w:rPr>
        <w:footnoteReference w:id="342"/>
      </w:r>
      <w:r w:rsidRPr="008F4F73">
        <w:t xml:space="preserve"> Frontier submitted that a range of dividend growth model-based estimates of market risk premium and overall return on equity from market practitioners</w:t>
      </w:r>
      <w:r w:rsidRPr="008F4F73">
        <w:rPr>
          <w:rStyle w:val="FootnoteReference"/>
        </w:rPr>
        <w:footnoteReference w:id="343"/>
      </w:r>
      <w:r w:rsidRPr="008F4F73">
        <w:t xml:space="preserve"> and other regulators</w:t>
      </w:r>
      <w:r w:rsidRPr="008F4F73">
        <w:rPr>
          <w:rStyle w:val="FootnoteReference"/>
        </w:rPr>
        <w:footnoteReference w:id="344"/>
      </w:r>
      <w:r w:rsidRPr="008F4F73">
        <w:t xml:space="preserve"> supports an inverse, and offsetting, relationship between the risk free rate and the market risk premium.</w:t>
      </w:r>
      <w:r w:rsidRPr="008F4F73">
        <w:rPr>
          <w:rStyle w:val="FootnoteReference"/>
        </w:rPr>
        <w:footnoteReference w:id="345"/>
      </w:r>
    </w:p>
    <w:p w:rsidR="008F4F73" w:rsidRPr="008F4F73" w:rsidRDefault="008F4F73" w:rsidP="008F4F73">
      <w:r w:rsidRPr="008F4F73">
        <w:t xml:space="preserve">We assess the dividend growth model in detail in section </w:t>
      </w:r>
      <w:r w:rsidR="00022C2A">
        <w:fldChar w:fldCharType="begin"/>
      </w:r>
      <w:r w:rsidR="00022C2A">
        <w:instrText xml:space="preserve"> REF _Ref449007421 \r \h </w:instrText>
      </w:r>
      <w:r w:rsidR="00022C2A">
        <w:fldChar w:fldCharType="separate"/>
      </w:r>
      <w:r w:rsidR="000230CB">
        <w:t>B.4</w:t>
      </w:r>
      <w:r w:rsidR="00022C2A">
        <w:fldChar w:fldCharType="end"/>
      </w:r>
      <w:r w:rsidR="00022C2A">
        <w:t xml:space="preserve"> </w:t>
      </w:r>
      <w:r w:rsidRPr="008F4F73">
        <w:t>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8F4F73" w:rsidRPr="008F4F73" w:rsidRDefault="008F4F73" w:rsidP="008F4F73">
      <w:pPr>
        <w:pStyle w:val="HeadingOrange"/>
      </w:pPr>
      <w:r w:rsidRPr="008F4F73">
        <w:t>Wright approach</w:t>
      </w:r>
    </w:p>
    <w:p w:rsidR="008F4F73" w:rsidRPr="008F4F73" w:rsidRDefault="008F4F73" w:rsidP="008F4F73">
      <w:r w:rsidRPr="008F4F73">
        <w:t>Service providers submitted that we have used the Wright approach incorrectly to inform overall return on equity instead the market risk premium.</w:t>
      </w:r>
      <w:r w:rsidRPr="008F4F73">
        <w:rPr>
          <w:rStyle w:val="FootnoteReference"/>
        </w:rPr>
        <w:footnoteReference w:id="346"/>
      </w:r>
      <w:r w:rsidRPr="008F4F73">
        <w:t xml:space="preserve"> Frontier noted that we do not give material weight to the negative relationship between the risk free rate and the market risk premium that is evidenced by the Wright approach.</w:t>
      </w:r>
      <w:r w:rsidRPr="008F4F73">
        <w:rPr>
          <w:rStyle w:val="FootnoteReference"/>
        </w:rPr>
        <w:footnoteReference w:id="347"/>
      </w:r>
      <w:r w:rsidRPr="008F4F73">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sidRPr="008F4F73">
        <w:rPr>
          <w:rStyle w:val="FootnoteReference"/>
        </w:rPr>
        <w:footnoteReference w:id="348"/>
      </w:r>
      <w:r w:rsidRPr="008F4F73">
        <w:t xml:space="preserve"> </w:t>
      </w:r>
    </w:p>
    <w:p w:rsidR="008F4F73" w:rsidRPr="008F4F73" w:rsidRDefault="008F4F73" w:rsidP="008F4F73">
      <w:r w:rsidRPr="008F4F73">
        <w:t>After reviewing all the material submitted to us, we consider that the new materials do not address the previous (and on-going) concerns we have with the Wright approach (see section</w:t>
      </w:r>
      <w:r w:rsidR="00022C2A">
        <w:t xml:space="preserve"> </w:t>
      </w:r>
      <w:r w:rsidR="00022C2A">
        <w:fldChar w:fldCharType="begin"/>
      </w:r>
      <w:r w:rsidR="00022C2A">
        <w:instrText xml:space="preserve"> REF _Ref449018117 \r \h </w:instrText>
      </w:r>
      <w:r w:rsidR="00022C2A">
        <w:fldChar w:fldCharType="separate"/>
      </w:r>
      <w:r w:rsidR="000230CB">
        <w:t>B.5</w:t>
      </w:r>
      <w:r w:rsidR="00022C2A">
        <w:fldChar w:fldCharType="end"/>
      </w:r>
      <w:r w:rsidRPr="008F4F73">
        <w:t>). Wright and Smithers indicates that the return on the market using U.S. data has been relatively stable over time.</w:t>
      </w:r>
      <w:r w:rsidRPr="008F4F73">
        <w:rPr>
          <w:rStyle w:val="FootnoteReference"/>
        </w:rPr>
        <w:footnoteReference w:id="349"/>
      </w:r>
      <w:r w:rsidRPr="008F4F73">
        <w:t xml:space="preserve"> However, applying Wright’s approach to Australian data, Lally found the estimated market risk premium series is more stable than the average real market return series.</w:t>
      </w:r>
      <w:r w:rsidRPr="008F4F73">
        <w:rPr>
          <w:rStyle w:val="FootnoteReference"/>
        </w:rPr>
        <w:footnoteReference w:id="350"/>
      </w:r>
      <w:r w:rsidRPr="008F4F73">
        <w:t xml:space="preserve"> </w:t>
      </w:r>
    </w:p>
    <w:p w:rsidR="008F4F73" w:rsidRPr="008F4F73" w:rsidRDefault="008F4F73" w:rsidP="008F4F73">
      <w:pPr>
        <w:pStyle w:val="HeadingOrange"/>
      </w:pPr>
      <w:r w:rsidRPr="008F4F73">
        <w:t>Hurdle rates</w:t>
      </w:r>
    </w:p>
    <w:p w:rsidR="008F4F73" w:rsidRPr="008F4F73" w:rsidRDefault="008F4F73" w:rsidP="008F4F73">
      <w:r w:rsidRPr="008F4F73">
        <w:t>McKinsey Inc considered that the required return on equity appeared to be quite stable as government bond yields declined, based on observations of hurdle rates.</w:t>
      </w:r>
      <w:r w:rsidRPr="008F4F73">
        <w:rPr>
          <w:rStyle w:val="FootnoteReference"/>
        </w:rPr>
        <w:footnoteReference w:id="351"/>
      </w:r>
      <w:r w:rsidRPr="008F4F73">
        <w:t xml:space="preserve"> A hurdle rate is a rate of return that firms and managers use when deciding whether or not to invest in capital projects.</w:t>
      </w:r>
    </w:p>
    <w:p w:rsidR="008F4F73" w:rsidRPr="008F4F73" w:rsidRDefault="008F4F73" w:rsidP="008F4F73">
      <w:r w:rsidRPr="008F4F73">
        <w:t>We are not persuaded that hurdle rates provide reliable evidence of the cost of equity for reasons stated in the draft decision.</w:t>
      </w:r>
      <w:r w:rsidRPr="008F4F73">
        <w:rPr>
          <w:rStyle w:val="FootnoteReference"/>
        </w:rPr>
        <w:footnoteReference w:id="352"/>
      </w:r>
      <w:r w:rsidRPr="008F4F73">
        <w:t xml:space="preserve"> The RBA and Deloitte have noted that Australian firms tend to have high 'hurdle rates' of return that are often well above the cost of capital and do not change very often.</w:t>
      </w:r>
      <w:r w:rsidRPr="008F4F73">
        <w:rPr>
          <w:rStyle w:val="FootnoteReference"/>
        </w:rPr>
        <w:footnoteReference w:id="353"/>
      </w:r>
      <w:r w:rsidRPr="008F4F73">
        <w:t xml:space="preserve"> Further, JP Morgan appears to indicate that hurdle rates may not be responsive to changes in market conditions. This could be because firms use hurdle rates as a capital rationing device,</w:t>
      </w:r>
      <w:r w:rsidRPr="008F4F73">
        <w:rPr>
          <w:rStyle w:val="FootnoteReference"/>
        </w:rPr>
        <w:footnoteReference w:id="354"/>
      </w:r>
      <w:r w:rsidRPr="008F4F73">
        <w:t xml:space="preserve"> to reflect uncertainty in cash flow forecasts,</w:t>
      </w:r>
      <w:r w:rsidRPr="008F4F73">
        <w:rPr>
          <w:rStyle w:val="FootnoteReference"/>
        </w:rPr>
        <w:footnoteReference w:id="355"/>
      </w:r>
      <w:r w:rsidRPr="008F4F73">
        <w:t xml:space="preserve"> to reflect strategic incentives,</w:t>
      </w:r>
      <w:r w:rsidRPr="008F4F73">
        <w:rPr>
          <w:rStyle w:val="FootnoteReference"/>
        </w:rPr>
        <w:footnoteReference w:id="356"/>
      </w:r>
      <w:r w:rsidRPr="008F4F73">
        <w:t xml:space="preserve"> because of an absence of competitive market pressures,</w:t>
      </w:r>
      <w:r w:rsidRPr="008F4F73">
        <w:rPr>
          <w:rStyle w:val="FootnoteReference"/>
        </w:rPr>
        <w:footnoteReference w:id="357"/>
      </w:r>
      <w:r w:rsidRPr="008F4F73">
        <w:t xml:space="preserve"> or due to immateriality of incremental changes if the firm has a high cost of capital.</w:t>
      </w:r>
      <w:r w:rsidRPr="008F4F73">
        <w:rPr>
          <w:rStyle w:val="FootnoteReference"/>
        </w:rPr>
        <w:footnoteReference w:id="358"/>
      </w:r>
    </w:p>
    <w:p w:rsidR="008F4F73" w:rsidRPr="008F4F73" w:rsidRDefault="008F4F73" w:rsidP="008F4F73">
      <w:pPr>
        <w:pStyle w:val="HeadingOrange"/>
      </w:pPr>
      <w:r w:rsidRPr="008F4F73">
        <w:t>Price-to-earnings ratios</w:t>
      </w:r>
    </w:p>
    <w:p w:rsidR="008F4F73" w:rsidRPr="008F4F73" w:rsidRDefault="008F4F73" w:rsidP="008F4F73">
      <w:r w:rsidRPr="008F4F73">
        <w:t xml:space="preserve">We are not satisfied that price-to-earnings ratios provide evidence of an inverse relationship between the risk free rate and the market risk premium in the current market. </w:t>
      </w:r>
    </w:p>
    <w:p w:rsidR="008F4F73" w:rsidRPr="008F4F73" w:rsidRDefault="008F4F73" w:rsidP="008F4F73">
      <w:r w:rsidRPr="008F4F73">
        <w:t>If investors reduce their required rate of return, and earnings expectations are unchanged, then market prices and the price-to-earnings ratio should increase.</w:t>
      </w:r>
      <w:r w:rsidRPr="008F4F73">
        <w:rPr>
          <w:rStyle w:val="FootnoteReference"/>
        </w:rPr>
        <w:footnoteReference w:id="359"/>
      </w:r>
      <w:r w:rsidRPr="008F4F73">
        <w:t xml:space="preserve"> Frontier refers to evidence in McKinsey and JP Morgan reports</w:t>
      </w:r>
      <w:r w:rsidRPr="008F4F73">
        <w:rPr>
          <w:rStyle w:val="FootnoteReference"/>
        </w:rPr>
        <w:footnoteReference w:id="360"/>
      </w:r>
      <w:r w:rsidRPr="008F4F73">
        <w:t xml:space="preserve"> that price-to-earnings ratios have remained 'within their long-term averages' as risk free rates have recently fallen, and that this suggests investors have not decreased their required rates of return despite a decline in the risk free rate.</w:t>
      </w:r>
    </w:p>
    <w:p w:rsidR="008F4F73" w:rsidRPr="008F4F73" w:rsidRDefault="008F4F73" w:rsidP="008F4F73">
      <w:r w:rsidRPr="008F4F73">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sidRPr="008F4F73">
        <w:rPr>
          <w:rStyle w:val="FootnoteReference"/>
        </w:rPr>
        <w:footnoteReference w:id="361"/>
      </w:r>
      <w:r w:rsidRPr="008F4F73">
        <w:t xml:space="preserve">  We also note that JP Morgan and McKinsey Inc drew different conclusions on the cost of equity due to using different data periods. </w:t>
      </w:r>
    </w:p>
    <w:p w:rsidR="008F4F73" w:rsidRPr="008F4F73" w:rsidRDefault="008F4F73" w:rsidP="008F4F73">
      <w:pPr>
        <w:pStyle w:val="HeadingOrange"/>
      </w:pPr>
      <w:r w:rsidRPr="008F4F73">
        <w:t>Independent valuation report</w:t>
      </w:r>
    </w:p>
    <w:p w:rsidR="008F4F73" w:rsidRPr="008F4F73" w:rsidRDefault="008F4F73" w:rsidP="008F4F73">
      <w:r w:rsidRPr="008F4F73">
        <w:rPr>
          <w:rStyle w:val="AERbody"/>
        </w:rPr>
        <w:t>Service providers</w:t>
      </w:r>
      <w:r w:rsidRPr="008F4F73">
        <w:t xml:space="preserve"> submitted that independent valuation reports provide evidence of an inverse relationship between the risk free rate and the market risk premium.</w:t>
      </w:r>
      <w:r w:rsidRPr="008F4F73">
        <w:rPr>
          <w:rStyle w:val="FootnoteReference"/>
        </w:rPr>
        <w:footnoteReference w:id="362"/>
      </w:r>
      <w:r w:rsidRPr="008F4F73">
        <w:t xml:space="preserve"> In addition to reports by Incenta and NERA considered in our </w:t>
      </w:r>
      <w:r w:rsidR="00A02C23">
        <w:t>draft</w:t>
      </w:r>
      <w:r w:rsidR="00A02C23" w:rsidRPr="008F4F73">
        <w:t xml:space="preserve"> </w:t>
      </w:r>
      <w:r w:rsidRPr="008F4F73">
        <w:t>decision, a new HoustonKemp report submits that there is a statistically significant inverse relationship between the government bond yield and the market risk premium that is applied by independent expert valuation professionals.</w:t>
      </w:r>
      <w:r w:rsidRPr="008F4F73">
        <w:rPr>
          <w:rStyle w:val="FootnoteReference"/>
        </w:rPr>
        <w:footnoteReference w:id="363"/>
      </w:r>
    </w:p>
    <w:p w:rsidR="008F4F73" w:rsidRPr="008F4F73" w:rsidRDefault="008F4F73" w:rsidP="008F4F73">
      <w:pPr>
        <w:numPr>
          <w:ilvl w:val="0"/>
          <w:numId w:val="24"/>
        </w:numPr>
      </w:pPr>
      <w:r w:rsidRPr="008F4F73">
        <w:t>We consider that there is not sufficient evidence to establish the existence of such a relationship in valuers' estimates, because:</w:t>
      </w:r>
    </w:p>
    <w:p w:rsidR="008F4F73" w:rsidRPr="008F4F73" w:rsidRDefault="008F4F73" w:rsidP="008F4F73">
      <w:pPr>
        <w:pStyle w:val="AERbulletlistfirststyle"/>
      </w:pPr>
      <w:r w:rsidRPr="008F4F73">
        <w:t>Incenta's sample is too small to support a reliable inference.</w:t>
      </w:r>
    </w:p>
    <w:p w:rsidR="008F4F73" w:rsidRPr="008F4F73" w:rsidRDefault="008F4F73" w:rsidP="008F4F73">
      <w:pPr>
        <w:pStyle w:val="AERbulletlistfirststyle"/>
      </w:pPr>
      <w:r w:rsidRPr="008F4F73">
        <w:t>NERA's regression results are driven by its unsupported assumption that any difference between a valuer's stated risk free rate and the prevailing yield on Commonwealth government securities is to be taken as part of their adopted market risk premium.</w:t>
      </w:r>
    </w:p>
    <w:p w:rsidR="008F4F73" w:rsidRPr="008F4F73" w:rsidRDefault="008F4F73" w:rsidP="008F4F73">
      <w:r w:rsidRPr="008F4F73">
        <w:t xml:space="preserve">As HoustonKemp's analysis uses the same methods to that of NERA, our assessment of NERA's analysis in our draft decision are equally applicable to it. </w:t>
      </w:r>
      <w:r w:rsidRPr="008F4F73">
        <w:rPr>
          <w:rStyle w:val="AERbody"/>
        </w:rPr>
        <w:t>These reasons were supported by Partington and Satchell.</w:t>
      </w:r>
      <w:r w:rsidRPr="008F4F73">
        <w:rPr>
          <w:rStyle w:val="FootnoteReference"/>
        </w:rPr>
        <w:footnoteReference w:id="364"/>
      </w:r>
      <w:r w:rsidRPr="008F4F73">
        <w:rPr>
          <w:rStyle w:val="AERbody"/>
        </w:rPr>
        <w:t xml:space="preserve"> We do not consider that there is sufficient evidence before us to depart from our original assessment. </w:t>
      </w:r>
      <w:r w:rsidRPr="008F4F73">
        <w:t xml:space="preserve">We respond to this material in more detail in section </w:t>
      </w:r>
      <w:r w:rsidRPr="008F4F73">
        <w:fldChar w:fldCharType="begin"/>
      </w:r>
      <w:r w:rsidRPr="008F4F73">
        <w:instrText xml:space="preserve"> REF _Ref449020986 \r \h </w:instrText>
      </w:r>
      <w:r w:rsidRPr="008F4F73">
        <w:fldChar w:fldCharType="separate"/>
      </w:r>
      <w:r w:rsidR="000230CB">
        <w:t>F.5</w:t>
      </w:r>
      <w:r w:rsidRPr="008F4F73">
        <w:fldChar w:fldCharType="end"/>
      </w:r>
      <w:r w:rsidRPr="008F4F73">
        <w:t>.</w:t>
      </w:r>
    </w:p>
    <w:p w:rsidR="00191978" w:rsidRDefault="00785836" w:rsidP="00191978">
      <w:pPr>
        <w:pStyle w:val="Heading3"/>
      </w:pPr>
      <w:bookmarkStart w:id="78" w:name="_Ref451328558"/>
      <w:bookmarkStart w:id="79" w:name="_Toc451943781"/>
      <w:r>
        <w:t>Return on debt</w:t>
      </w:r>
      <w:bookmarkEnd w:id="65"/>
      <w:bookmarkEnd w:id="66"/>
      <w:bookmarkEnd w:id="78"/>
      <w:bookmarkEnd w:id="79"/>
      <w:r>
        <w:t xml:space="preserve"> </w:t>
      </w:r>
    </w:p>
    <w:p w:rsidR="00D55F59" w:rsidRPr="0039163B" w:rsidRDefault="00D55F59" w:rsidP="00D55F59">
      <w:r>
        <w:t>The</w:t>
      </w:r>
      <w:r w:rsidRPr="0039163B">
        <w:t xml:space="preserve"> </w:t>
      </w:r>
      <w:r>
        <w:t xml:space="preserve">allowed return on debt provides a </w:t>
      </w:r>
      <w:r w:rsidRPr="0039163B">
        <w:t>service provider</w:t>
      </w:r>
      <w:r>
        <w:t xml:space="preserve"> with an allowance to cover </w:t>
      </w:r>
      <w:r w:rsidR="00146AE3">
        <w:t>efficient</w:t>
      </w:r>
      <w:r>
        <w:t xml:space="preserve">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D55F59" w:rsidRDefault="00D55F59" w:rsidP="00D55F59">
      <w:r w:rsidRPr="0039163B">
        <w:t xml:space="preserve">Our decision is to adopt a return on debt of </w:t>
      </w:r>
      <w:r>
        <w:t xml:space="preserve">5.51 </w:t>
      </w:r>
      <w:r w:rsidRPr="0039163B">
        <w:t xml:space="preserve">per cent, rather than the </w:t>
      </w:r>
      <w:r>
        <w:t>7.93</w:t>
      </w:r>
      <w:r w:rsidRPr="0039163B">
        <w:t xml:space="preserve"> per cent proposed by</w:t>
      </w:r>
      <w:r>
        <w:t xml:space="preserve"> AGN.</w:t>
      </w:r>
      <w:r>
        <w:rPr>
          <w:rStyle w:val="FootnoteReference"/>
        </w:rPr>
        <w:footnoteReference w:id="365"/>
      </w:r>
      <w:r w:rsidRPr="0039163B">
        <w:t xml:space="preserve"> </w:t>
      </w:r>
    </w:p>
    <w:p w:rsidR="00D55F59" w:rsidRDefault="00D55F59" w:rsidP="00D55F59">
      <w:r w:rsidRPr="0039163B">
        <w:t xml:space="preserve">This decision sets out how we arrived at the rate for </w:t>
      </w:r>
      <w:r>
        <w:t>AGN</w:t>
      </w:r>
      <w:r w:rsidRPr="0039163B">
        <w:t>, and how we plan to update the return on debt in future regulatory years.</w:t>
      </w:r>
      <w:r>
        <w:t xml:space="preserve"> That is, we set out:</w:t>
      </w:r>
    </w:p>
    <w:p w:rsidR="00D55F59" w:rsidRPr="00D55F59" w:rsidRDefault="00D55F59" w:rsidP="00D55F59">
      <w:pPr>
        <w:pStyle w:val="AERbulletlistfirststyle"/>
      </w:pPr>
      <w:r>
        <w:t>The return on debt approach. This sets out why we transition the entire return on debt from an on-the-day to a trailing average approach over 10 years (a full transition).</w:t>
      </w:r>
      <w:r w:rsidRPr="00D55F59">
        <w:rPr>
          <w:rStyle w:val="AERbody"/>
        </w:rPr>
        <w:t xml:space="preserve"> While the revised proposals in front of us raised various considerations, most material is on the form of transition to the trailing average approach.</w:t>
      </w:r>
    </w:p>
    <w:p w:rsidR="00D55F59" w:rsidRPr="00D55F59" w:rsidRDefault="00D55F59" w:rsidP="00D55F59">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785836" w:rsidRDefault="00F16B72" w:rsidP="00785836">
      <w:pPr>
        <w:pStyle w:val="HeadingBoldBlue"/>
      </w:pPr>
      <w:r>
        <w:t>R</w:t>
      </w:r>
      <w:r w:rsidR="00785836">
        <w:t>eturn on debt</w:t>
      </w:r>
      <w:r>
        <w:t xml:space="preserve"> approach</w:t>
      </w:r>
    </w:p>
    <w:p w:rsidR="00114691" w:rsidRDefault="00114691" w:rsidP="00114691">
      <w:r>
        <w:t>Our final decision is to transition the entire return on debt</w:t>
      </w:r>
      <w:r>
        <w:rPr>
          <w:rStyle w:val="FootnoteReference"/>
        </w:rPr>
        <w:footnoteReference w:id="366"/>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t>draft</w:t>
      </w:r>
      <w:r w:rsidRPr="0039163B">
        <w:t xml:space="preserve"> decision</w:t>
      </w:r>
      <w:r>
        <w:t>.</w:t>
      </w:r>
      <w:r>
        <w:rPr>
          <w:rStyle w:val="FootnoteReference"/>
        </w:rPr>
        <w:footnoteReference w:id="367"/>
      </w:r>
    </w:p>
    <w:p w:rsidR="00114691" w:rsidRDefault="00114691" w:rsidP="00114691">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68"/>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access arrangement period because it resets the allowed return to the current efficient market rates.</w:t>
      </w:r>
    </w:p>
    <w:p w:rsidR="00114691" w:rsidRDefault="00114691" w:rsidP="00114691">
      <w:r>
        <w:rPr>
          <w:rStyle w:val="AERbody"/>
        </w:rPr>
        <w:t xml:space="preserve">In its revised </w:t>
      </w:r>
      <w:r w:rsidR="002B360A">
        <w:rPr>
          <w:rStyle w:val="AERbody"/>
        </w:rPr>
        <w:t xml:space="preserve">access arrangement </w:t>
      </w:r>
      <w:r>
        <w:rPr>
          <w:rStyle w:val="AERbody"/>
        </w:rPr>
        <w:t xml:space="preserve">proposal, </w:t>
      </w:r>
      <w:r>
        <w:t xml:space="preserve">AGN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to an immediate</w:t>
      </w:r>
      <w:r>
        <w:t xml:space="preserve"> transition</w:t>
      </w:r>
      <w:r w:rsidRPr="002F17AD">
        <w:t xml:space="preserve">. To support </w:t>
      </w:r>
      <w:r>
        <w:t>its</w:t>
      </w:r>
      <w:r w:rsidRPr="002F17AD">
        <w:t xml:space="preserve"> new position, </w:t>
      </w:r>
      <w:r>
        <w:t>AGN has provided new material addressing the</w:t>
      </w:r>
      <w:r w:rsidRPr="002F17AD">
        <w:t xml:space="preserve"> ARORO and what it requires of </w:t>
      </w:r>
      <w:r>
        <w:t>us</w:t>
      </w:r>
      <w:r w:rsidRPr="002F17AD">
        <w:t>.</w:t>
      </w:r>
      <w:r>
        <w:t xml:space="preserve"> It only provided this material in its revised proposal. </w:t>
      </w:r>
      <w:r>
        <w:fldChar w:fldCharType="begin"/>
      </w:r>
      <w:r>
        <w:instrText xml:space="preserve"> REF _Ref451173875 \h </w:instrText>
      </w:r>
      <w:r>
        <w:fldChar w:fldCharType="separate"/>
      </w:r>
      <w:r w:rsidR="000230CB">
        <w:t xml:space="preserve">Table </w:t>
      </w:r>
      <w:r w:rsidR="000230CB">
        <w:rPr>
          <w:noProof/>
        </w:rPr>
        <w:t>3</w:t>
      </w:r>
      <w:r w:rsidR="000230CB">
        <w:noBreakHyphen/>
      </w:r>
      <w:r w:rsidR="000230CB">
        <w:rPr>
          <w:noProof/>
        </w:rPr>
        <w:t>8</w:t>
      </w:r>
      <w:r>
        <w:fldChar w:fldCharType="end"/>
      </w:r>
      <w:r>
        <w:t xml:space="preserve"> highlights the difference between the allowed return on debt that service providers proposed in their initial proposals and revised proposals. To see how cash flows differ between our revenue-neutral approach and the service providers' revised proposals, see </w:t>
      </w:r>
      <w:r w:rsidR="00067443">
        <w:t xml:space="preserve">section </w:t>
      </w:r>
      <w:r w:rsidR="000230CB">
        <w:fldChar w:fldCharType="begin"/>
      </w:r>
      <w:r w:rsidR="000230CB">
        <w:instrText xml:space="preserve"> REF _Ref447886159 \r \h </w:instrText>
      </w:r>
      <w:r w:rsidR="000230CB">
        <w:fldChar w:fldCharType="separate"/>
      </w:r>
      <w:r w:rsidR="000230CB">
        <w:t>H.5.1</w:t>
      </w:r>
      <w:r w:rsidR="000230CB">
        <w:fldChar w:fldCharType="end"/>
      </w:r>
      <w:r w:rsidR="000230CB">
        <w:t xml:space="preserve"> </w:t>
      </w:r>
      <w:r w:rsidR="00067443">
        <w:t xml:space="preserve">of </w:t>
      </w:r>
      <w:r w:rsidR="00067443" w:rsidRPr="00067443">
        <w:t xml:space="preserve">Appendix </w:t>
      </w:r>
      <w:r w:rsidR="00067443" w:rsidRPr="00067443">
        <w:fldChar w:fldCharType="begin"/>
      </w:r>
      <w:r w:rsidR="00067443" w:rsidRPr="00067443">
        <w:instrText xml:space="preserve"> REF _Ref451328574 \r \h </w:instrText>
      </w:r>
      <w:r w:rsidR="00067443" w:rsidRPr="00067443">
        <w:fldChar w:fldCharType="separate"/>
      </w:r>
      <w:r w:rsidR="000230CB">
        <w:t>H</w:t>
      </w:r>
      <w:r w:rsidR="00067443" w:rsidRPr="00067443">
        <w:fldChar w:fldCharType="end"/>
      </w:r>
      <w:r>
        <w:t>.</w:t>
      </w:r>
    </w:p>
    <w:p w:rsidR="00114691" w:rsidRDefault="00114691" w:rsidP="00114691">
      <w:r>
        <w:fldChar w:fldCharType="begin"/>
      </w:r>
      <w:r>
        <w:instrText xml:space="preserve"> REF _Ref451173875 \h </w:instrText>
      </w:r>
      <w:r>
        <w:fldChar w:fldCharType="separate"/>
      </w:r>
      <w:r w:rsidR="000230CB">
        <w:t xml:space="preserve">Table </w:t>
      </w:r>
      <w:r w:rsidR="000230CB">
        <w:rPr>
          <w:noProof/>
        </w:rPr>
        <w:t>3</w:t>
      </w:r>
      <w:r w:rsidR="000230CB">
        <w:noBreakHyphen/>
      </w:r>
      <w:r w:rsidR="000230CB">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B56838" w:rsidRDefault="00114691" w:rsidP="00B56838">
      <w:pPr>
        <w:pStyle w:val="Caption"/>
      </w:pPr>
      <w:bookmarkStart w:id="80" w:name="_Ref451173875"/>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8</w:t>
      </w:r>
      <w:r w:rsidR="00527450">
        <w:rPr>
          <w:noProof/>
        </w:rPr>
        <w:fldChar w:fldCharType="end"/>
      </w:r>
      <w:bookmarkEnd w:id="80"/>
      <w:r>
        <w:tab/>
        <w:t xml:space="preserve">Proposed return on debt </w:t>
      </w:r>
      <w:r w:rsidR="00B56838" w:rsidRPr="00B56838">
        <w:t>–</w:t>
      </w:r>
      <w:r w:rsidR="00B56838">
        <w:t xml:space="preserve"> first regulatory year</w:t>
      </w:r>
      <w:r w:rsidR="00B56838" w:rsidRPr="00ED04D5">
        <w:rPr>
          <w:rStyle w:val="AERsuperscript"/>
        </w:rPr>
        <w:footnoteReference w:id="369"/>
      </w:r>
      <w:r w:rsidR="00B56838">
        <w:t xml:space="preserve"> (% nominal)*</w:t>
      </w:r>
    </w:p>
    <w:tbl>
      <w:tblPr>
        <w:tblStyle w:val="AERtable-text0"/>
        <w:tblW w:w="0" w:type="auto"/>
        <w:tblLook w:val="04A0" w:firstRow="1" w:lastRow="0" w:firstColumn="1" w:lastColumn="0" w:noHBand="0" w:noVBand="1"/>
      </w:tblPr>
      <w:tblGrid>
        <w:gridCol w:w="1951"/>
        <w:gridCol w:w="1573"/>
        <w:gridCol w:w="1687"/>
        <w:gridCol w:w="2127"/>
        <w:gridCol w:w="1355"/>
      </w:tblGrid>
      <w:tr w:rsidR="00B56838" w:rsidTr="00630E2D">
        <w:trPr>
          <w:cnfStyle w:val="100000000000" w:firstRow="1" w:lastRow="0" w:firstColumn="0" w:lastColumn="0" w:oddVBand="0" w:evenVBand="0" w:oddHBand="0" w:evenHBand="0" w:firstRowFirstColumn="0" w:firstRowLastColumn="0" w:lastRowFirstColumn="0" w:lastRowLastColumn="0"/>
        </w:trPr>
        <w:tc>
          <w:tcPr>
            <w:tcW w:w="1951" w:type="dxa"/>
          </w:tcPr>
          <w:p w:rsidR="00B56838" w:rsidRPr="00B56838" w:rsidRDefault="00B56838" w:rsidP="00B56838">
            <w:r>
              <w:t>Service provider</w:t>
            </w:r>
          </w:p>
        </w:tc>
        <w:tc>
          <w:tcPr>
            <w:tcW w:w="1573" w:type="dxa"/>
          </w:tcPr>
          <w:p w:rsidR="00B56838" w:rsidRPr="00B56838" w:rsidRDefault="00B56838" w:rsidP="00B56838">
            <w:r>
              <w:t>Hybrid</w:t>
            </w:r>
            <w:r w:rsidRPr="00B56838">
              <w:t xml:space="preserve"> transition (most initial proposals)</w:t>
            </w:r>
            <w:r w:rsidRPr="00B56838">
              <w:rPr>
                <w:rStyle w:val="FootnoteReference"/>
              </w:rPr>
              <w:t xml:space="preserve"> </w:t>
            </w:r>
          </w:p>
        </w:tc>
        <w:tc>
          <w:tcPr>
            <w:tcW w:w="1687" w:type="dxa"/>
          </w:tcPr>
          <w:p w:rsidR="00B56838" w:rsidRPr="00B56838" w:rsidRDefault="00B56838" w:rsidP="00B56838">
            <w:r>
              <w:t>N</w:t>
            </w:r>
            <w:r w:rsidRPr="00B56838">
              <w:t xml:space="preserve">o transition (revised proposals, preference 1) </w:t>
            </w:r>
          </w:p>
        </w:tc>
        <w:tc>
          <w:tcPr>
            <w:tcW w:w="2127" w:type="dxa"/>
          </w:tcPr>
          <w:p w:rsidR="00B56838" w:rsidRPr="00B56838" w:rsidRDefault="00B56838" w:rsidP="00B56838">
            <w:r>
              <w:t>H</w:t>
            </w:r>
            <w:r w:rsidRPr="00B56838">
              <w:t xml:space="preserve">ybrid with 1/3 hedging (most revised proposals, preference 2) </w:t>
            </w:r>
          </w:p>
        </w:tc>
        <w:tc>
          <w:tcPr>
            <w:tcW w:w="1355" w:type="dxa"/>
          </w:tcPr>
          <w:p w:rsidR="00B56838" w:rsidRPr="00B56838" w:rsidRDefault="00B56838" w:rsidP="00B56838">
            <w:r>
              <w:t>F</w:t>
            </w:r>
            <w:r w:rsidRPr="00B56838">
              <w:t>ull transition (AER final decision)</w:t>
            </w:r>
          </w:p>
        </w:tc>
      </w:tr>
      <w:tr w:rsidR="00B56838" w:rsidTr="00630E2D">
        <w:tc>
          <w:tcPr>
            <w:tcW w:w="1951" w:type="dxa"/>
          </w:tcPr>
          <w:p w:rsidR="00B56838" w:rsidRPr="00B56838" w:rsidRDefault="00B56838" w:rsidP="00B56838">
            <w:r>
              <w:t>ActewAGL</w:t>
            </w:r>
          </w:p>
        </w:tc>
        <w:tc>
          <w:tcPr>
            <w:tcW w:w="1573" w:type="dxa"/>
          </w:tcPr>
          <w:p w:rsidR="00B56838" w:rsidRPr="00B56838" w:rsidRDefault="00B56838" w:rsidP="00B56838">
            <w:r>
              <w:t>5.</w:t>
            </w:r>
            <w:r w:rsidRPr="00B56838">
              <w:t>22</w:t>
            </w:r>
          </w:p>
        </w:tc>
        <w:tc>
          <w:tcPr>
            <w:tcW w:w="1687" w:type="dxa"/>
          </w:tcPr>
          <w:p w:rsidR="00B56838" w:rsidRPr="00B56838" w:rsidRDefault="00B56838" w:rsidP="00B56838">
            <w:r>
              <w:t>7.</w:t>
            </w:r>
            <w:r w:rsidRPr="00B56838">
              <w:t>71</w:t>
            </w:r>
          </w:p>
        </w:tc>
        <w:tc>
          <w:tcPr>
            <w:tcW w:w="2127" w:type="dxa"/>
          </w:tcPr>
          <w:p w:rsidR="00B56838" w:rsidRPr="00B56838" w:rsidRDefault="00B56838" w:rsidP="00B56838">
            <w:r>
              <w:t>6.</w:t>
            </w:r>
            <w:r w:rsidRPr="00B56838">
              <w:t>88</w:t>
            </w:r>
          </w:p>
        </w:tc>
        <w:tc>
          <w:tcPr>
            <w:tcW w:w="1355" w:type="dxa"/>
          </w:tcPr>
          <w:p w:rsidR="00B56838" w:rsidRPr="00B56838" w:rsidRDefault="00B56838" w:rsidP="00B56838">
            <w:r>
              <w:t>5.31</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951" w:type="dxa"/>
          </w:tcPr>
          <w:p w:rsidR="00B56838" w:rsidRPr="00B56838" w:rsidRDefault="00B56838" w:rsidP="00B56838">
            <w:r>
              <w:t>AGN</w:t>
            </w:r>
          </w:p>
        </w:tc>
        <w:tc>
          <w:tcPr>
            <w:tcW w:w="1573" w:type="dxa"/>
          </w:tcPr>
          <w:p w:rsidR="00B56838" w:rsidRPr="00B56838" w:rsidRDefault="00B56838" w:rsidP="00B56838">
            <w:r>
              <w:t>5.4</w:t>
            </w:r>
            <w:r w:rsidRPr="00B56838">
              <w:t>0</w:t>
            </w:r>
          </w:p>
        </w:tc>
        <w:tc>
          <w:tcPr>
            <w:tcW w:w="1687" w:type="dxa"/>
          </w:tcPr>
          <w:p w:rsidR="00B56838" w:rsidRPr="00B56838" w:rsidRDefault="00B56838" w:rsidP="00B56838">
            <w:r>
              <w:t>7.</w:t>
            </w:r>
            <w:r w:rsidRPr="00B56838">
              <w:t>99</w:t>
            </w:r>
          </w:p>
        </w:tc>
        <w:tc>
          <w:tcPr>
            <w:tcW w:w="2127" w:type="dxa"/>
          </w:tcPr>
          <w:p w:rsidR="00B56838" w:rsidRPr="00B56838" w:rsidRDefault="00B56838" w:rsidP="00B56838">
            <w:r>
              <w:t>7.</w:t>
            </w:r>
            <w:r w:rsidRPr="00B56838">
              <w:t>12</w:t>
            </w:r>
          </w:p>
        </w:tc>
        <w:tc>
          <w:tcPr>
            <w:tcW w:w="1355" w:type="dxa"/>
          </w:tcPr>
          <w:p w:rsidR="00B56838" w:rsidRPr="00B56838" w:rsidRDefault="00B56838" w:rsidP="00B56838">
            <w:r>
              <w:t>5.51</w:t>
            </w:r>
          </w:p>
        </w:tc>
      </w:tr>
      <w:tr w:rsidR="00B56838" w:rsidTr="00630E2D">
        <w:tc>
          <w:tcPr>
            <w:tcW w:w="1951" w:type="dxa"/>
          </w:tcPr>
          <w:p w:rsidR="00B56838" w:rsidRPr="00B56838" w:rsidRDefault="00B56838" w:rsidP="00B56838">
            <w:r>
              <w:t>Amadeus</w:t>
            </w:r>
            <w:r w:rsidRPr="00B56838">
              <w:rPr>
                <w:rStyle w:val="FootnoteReference"/>
              </w:rPr>
              <w:footnoteReference w:id="370"/>
            </w:r>
          </w:p>
        </w:tc>
        <w:tc>
          <w:tcPr>
            <w:tcW w:w="1573" w:type="dxa"/>
          </w:tcPr>
          <w:p w:rsidR="00B56838" w:rsidRPr="00B56838" w:rsidRDefault="00B56838" w:rsidP="00B56838">
            <w:r>
              <w:t>-</w:t>
            </w:r>
          </w:p>
        </w:tc>
        <w:tc>
          <w:tcPr>
            <w:tcW w:w="1687" w:type="dxa"/>
          </w:tcPr>
          <w:p w:rsidR="00B56838" w:rsidRPr="00B56838" w:rsidRDefault="00B56838" w:rsidP="00B56838">
            <w:r>
              <w:t>7.</w:t>
            </w:r>
            <w:r w:rsidRPr="00B56838">
              <w:t>69</w:t>
            </w:r>
          </w:p>
        </w:tc>
        <w:tc>
          <w:tcPr>
            <w:tcW w:w="2127" w:type="dxa"/>
          </w:tcPr>
          <w:p w:rsidR="00B56838" w:rsidRPr="00B56838" w:rsidRDefault="00B56838" w:rsidP="00B56838">
            <w:r>
              <w:t>6.83</w:t>
            </w:r>
          </w:p>
        </w:tc>
        <w:tc>
          <w:tcPr>
            <w:tcW w:w="1355" w:type="dxa"/>
          </w:tcPr>
          <w:p w:rsidR="00B56838" w:rsidRPr="00B56838" w:rsidRDefault="00B56838" w:rsidP="00B56838">
            <w:r>
              <w:t>5.56</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951" w:type="dxa"/>
          </w:tcPr>
          <w:p w:rsidR="00B56838" w:rsidRPr="00B56838" w:rsidRDefault="00B56838" w:rsidP="00B56838">
            <w:r>
              <w:t>AusNet Services</w:t>
            </w:r>
          </w:p>
        </w:tc>
        <w:tc>
          <w:tcPr>
            <w:tcW w:w="1573" w:type="dxa"/>
          </w:tcPr>
          <w:p w:rsidR="00B56838" w:rsidRPr="00B56838" w:rsidRDefault="00B56838" w:rsidP="00B56838">
            <w:r>
              <w:t>5.</w:t>
            </w:r>
            <w:r w:rsidRPr="00B56838">
              <w:t>26</w:t>
            </w:r>
          </w:p>
        </w:tc>
        <w:tc>
          <w:tcPr>
            <w:tcW w:w="1687" w:type="dxa"/>
          </w:tcPr>
          <w:p w:rsidR="00B56838" w:rsidRPr="00B56838" w:rsidRDefault="00B56838" w:rsidP="00B56838">
            <w:r>
              <w:t>7.8</w:t>
            </w:r>
            <w:r w:rsidRPr="00B56838">
              <w:t>6</w:t>
            </w:r>
          </w:p>
        </w:tc>
        <w:tc>
          <w:tcPr>
            <w:tcW w:w="2127" w:type="dxa"/>
          </w:tcPr>
          <w:p w:rsidR="00B56838" w:rsidRPr="00B56838" w:rsidRDefault="00B56838" w:rsidP="00B56838">
            <w:r>
              <w:t>6.9</w:t>
            </w:r>
            <w:r w:rsidRPr="00B56838">
              <w:t>9</w:t>
            </w:r>
          </w:p>
        </w:tc>
        <w:tc>
          <w:tcPr>
            <w:tcW w:w="1355" w:type="dxa"/>
          </w:tcPr>
          <w:p w:rsidR="00B56838" w:rsidRPr="00B56838" w:rsidRDefault="00B56838" w:rsidP="00B56838">
            <w:r>
              <w:t>5.52</w:t>
            </w:r>
          </w:p>
        </w:tc>
      </w:tr>
      <w:tr w:rsidR="00B56838" w:rsidTr="00630E2D">
        <w:tc>
          <w:tcPr>
            <w:tcW w:w="1951" w:type="dxa"/>
          </w:tcPr>
          <w:p w:rsidR="00B56838" w:rsidRPr="00B56838" w:rsidRDefault="00B56838" w:rsidP="00B56838">
            <w:r>
              <w:t>C</w:t>
            </w:r>
            <w:r w:rsidRPr="00B56838">
              <w:t>itiPower / Powercor</w:t>
            </w:r>
          </w:p>
        </w:tc>
        <w:tc>
          <w:tcPr>
            <w:tcW w:w="1573" w:type="dxa"/>
          </w:tcPr>
          <w:p w:rsidR="00B56838" w:rsidRPr="00B56838" w:rsidRDefault="00B56838" w:rsidP="00B56838">
            <w:r>
              <w:t>5.</w:t>
            </w:r>
            <w:r w:rsidRPr="00B56838">
              <w:t>19</w:t>
            </w:r>
          </w:p>
        </w:tc>
        <w:tc>
          <w:tcPr>
            <w:tcW w:w="1687" w:type="dxa"/>
          </w:tcPr>
          <w:p w:rsidR="00B56838" w:rsidRPr="00B56838" w:rsidRDefault="00B56838" w:rsidP="00B56838">
            <w:r>
              <w:t>7.</w:t>
            </w:r>
            <w:r w:rsidRPr="00B56838">
              <w:t xml:space="preserve">78 </w:t>
            </w:r>
          </w:p>
        </w:tc>
        <w:tc>
          <w:tcPr>
            <w:tcW w:w="2127" w:type="dxa"/>
          </w:tcPr>
          <w:p w:rsidR="00B56838" w:rsidRPr="00B56838" w:rsidRDefault="00B56838" w:rsidP="00B56838">
            <w:r>
              <w:t>6.</w:t>
            </w:r>
            <w:r w:rsidRPr="00B56838">
              <w:t>92</w:t>
            </w:r>
          </w:p>
        </w:tc>
        <w:tc>
          <w:tcPr>
            <w:tcW w:w="1355" w:type="dxa"/>
          </w:tcPr>
          <w:p w:rsidR="00B56838" w:rsidRPr="00B56838" w:rsidRDefault="00B56838" w:rsidP="00B56838">
            <w:r>
              <w:t>5.51</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951" w:type="dxa"/>
          </w:tcPr>
          <w:p w:rsidR="00B56838" w:rsidRPr="00B56838" w:rsidRDefault="00B56838" w:rsidP="00B56838">
            <w:r>
              <w:t>J</w:t>
            </w:r>
            <w:r w:rsidRPr="00B56838">
              <w:t>EN</w:t>
            </w:r>
          </w:p>
        </w:tc>
        <w:tc>
          <w:tcPr>
            <w:tcW w:w="1573" w:type="dxa"/>
          </w:tcPr>
          <w:p w:rsidR="00B56838" w:rsidRPr="00B56838" w:rsidRDefault="00B56838" w:rsidP="00B56838">
            <w:r>
              <w:t>5.</w:t>
            </w:r>
            <w:r w:rsidRPr="00B56838">
              <w:t>28</w:t>
            </w:r>
          </w:p>
        </w:tc>
        <w:tc>
          <w:tcPr>
            <w:tcW w:w="1687" w:type="dxa"/>
          </w:tcPr>
          <w:p w:rsidR="00B56838" w:rsidRPr="00B56838" w:rsidRDefault="00B56838" w:rsidP="00B56838">
            <w:r>
              <w:t>7.</w:t>
            </w:r>
            <w:r w:rsidRPr="00B56838">
              <w:t>80</w:t>
            </w:r>
          </w:p>
        </w:tc>
        <w:tc>
          <w:tcPr>
            <w:tcW w:w="2127" w:type="dxa"/>
          </w:tcPr>
          <w:p w:rsidR="00B56838" w:rsidRPr="00B56838" w:rsidRDefault="00B56838" w:rsidP="00B56838">
            <w:r>
              <w:t>6.9</w:t>
            </w:r>
            <w:r w:rsidRPr="00B56838">
              <w:t>6</w:t>
            </w:r>
          </w:p>
        </w:tc>
        <w:tc>
          <w:tcPr>
            <w:tcW w:w="1355" w:type="dxa"/>
          </w:tcPr>
          <w:p w:rsidR="00B56838" w:rsidRPr="00B56838" w:rsidRDefault="00B56838" w:rsidP="00B56838">
            <w:r>
              <w:t>5.62</w:t>
            </w:r>
          </w:p>
        </w:tc>
      </w:tr>
      <w:tr w:rsidR="00B56838" w:rsidTr="00630E2D">
        <w:tc>
          <w:tcPr>
            <w:tcW w:w="1951" w:type="dxa"/>
          </w:tcPr>
          <w:p w:rsidR="00B56838" w:rsidRPr="00B56838" w:rsidRDefault="00B56838" w:rsidP="00B56838">
            <w:r>
              <w:t>United Energy</w:t>
            </w:r>
          </w:p>
        </w:tc>
        <w:tc>
          <w:tcPr>
            <w:tcW w:w="1573" w:type="dxa"/>
          </w:tcPr>
          <w:p w:rsidR="00B56838" w:rsidRPr="00B56838" w:rsidRDefault="00B56838" w:rsidP="00B56838">
            <w:r>
              <w:t>5.</w:t>
            </w:r>
            <w:r w:rsidRPr="00B56838">
              <w:t>57</w:t>
            </w:r>
          </w:p>
        </w:tc>
        <w:tc>
          <w:tcPr>
            <w:tcW w:w="1687" w:type="dxa"/>
          </w:tcPr>
          <w:p w:rsidR="00B56838" w:rsidRPr="00B56838" w:rsidRDefault="00B56838" w:rsidP="00B56838">
            <w:r>
              <w:t>7.80</w:t>
            </w:r>
          </w:p>
        </w:tc>
        <w:tc>
          <w:tcPr>
            <w:tcW w:w="2127" w:type="dxa"/>
          </w:tcPr>
          <w:p w:rsidR="00B56838" w:rsidRPr="00B56838" w:rsidRDefault="00B56838" w:rsidP="00B56838">
            <w:r>
              <w:t>7.0</w:t>
            </w:r>
            <w:r w:rsidRPr="00B56838">
              <w:t>5</w:t>
            </w:r>
          </w:p>
        </w:tc>
        <w:tc>
          <w:tcPr>
            <w:tcW w:w="1355" w:type="dxa"/>
          </w:tcPr>
          <w:p w:rsidR="00B56838" w:rsidRPr="00B56838" w:rsidRDefault="00B56838" w:rsidP="00B56838">
            <w:r>
              <w:t>5.62</w:t>
            </w:r>
          </w:p>
        </w:tc>
      </w:tr>
    </w:tbl>
    <w:p w:rsidR="00B56838" w:rsidRDefault="00B56838" w:rsidP="00B56838">
      <w:pPr>
        <w:pStyle w:val="AERtablesource"/>
      </w:pPr>
      <w:r>
        <w:t xml:space="preserve">Source: </w:t>
      </w:r>
      <w:r>
        <w:tab/>
        <w:t>AER analysis; initial and revised proposals for ActewAGL, AGN, APT Pipelines (Amadeus), AusNet Services, CitiPower, JEN, Powercor and United Energy.</w:t>
      </w:r>
    </w:p>
    <w:p w:rsidR="00B56838" w:rsidRDefault="00B56838" w:rsidP="00B56838">
      <w:pPr>
        <w:pStyle w:val="AERtablesource"/>
      </w:pPr>
      <w:r>
        <w:t>*</w:t>
      </w:r>
      <w:r>
        <w:tab/>
        <w:t>Most service providers used placeholder averaging periods in their proposals. For comparability with our final decision, we have attempted to</w:t>
      </w:r>
      <w:r w:rsidRPr="00ED04D5">
        <w:t xml:space="preserve"> </w:t>
      </w:r>
      <w:r>
        <w:t>update</w:t>
      </w:r>
      <w:r w:rsidRPr="00ED04D5">
        <w:t xml:space="preserve"> </w:t>
      </w:r>
      <w:r>
        <w:t>each service provider's proposed approach</w:t>
      </w:r>
      <w:r w:rsidRPr="00ED04D5">
        <w:t xml:space="preserve"> </w:t>
      </w:r>
      <w:r>
        <w:t>for its final averaging period</w:t>
      </w:r>
      <w:r w:rsidRPr="00ED04D5">
        <w:t xml:space="preserve">. </w:t>
      </w:r>
      <w:r>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t xml:space="preserve">may </w:t>
      </w:r>
      <w:r w:rsidRPr="005F6236">
        <w:t xml:space="preserve">reflect more than the form of transition </w:t>
      </w:r>
      <w:r>
        <w:t xml:space="preserve">(for example, service providers used different extrapolation methods, data series and uplifts). </w:t>
      </w:r>
      <w:r w:rsidRPr="00ED04D5">
        <w:t xml:space="preserve">Due to the complexities of different approaches, </w:t>
      </w:r>
      <w:r>
        <w:t xml:space="preserve">these updated estimates should be regarded as approximations and are used for </w:t>
      </w:r>
      <w:r w:rsidRPr="00ED04D5">
        <w:t xml:space="preserve">illustrative purposes only. </w:t>
      </w:r>
      <w:r>
        <w:t>W</w:t>
      </w:r>
      <w:r w:rsidRPr="00ED04D5">
        <w:t>e do not necessarily accept or agree with the calculati</w:t>
      </w:r>
      <w:r>
        <w:t>ons underlying these estimates.</w:t>
      </w:r>
    </w:p>
    <w:p w:rsidR="00114691" w:rsidRPr="006D4885" w:rsidRDefault="00114691" w:rsidP="006D4885">
      <w:r w:rsidRPr="006D4885">
        <w:t>In this section, we:</w:t>
      </w:r>
    </w:p>
    <w:p w:rsidR="00114691" w:rsidRDefault="00114691" w:rsidP="00114691">
      <w:pPr>
        <w:pStyle w:val="AERbulletlistfirststyle"/>
      </w:pPr>
      <w:r>
        <w:t>set out our overall return on debt approach (that is, the transition to a trailing average)</w:t>
      </w:r>
    </w:p>
    <w:p w:rsidR="00114691" w:rsidRPr="00114691" w:rsidRDefault="00114691" w:rsidP="00114691">
      <w:pPr>
        <w:pStyle w:val="AERbulletlistfirststyle"/>
      </w:pPr>
      <w:r>
        <w:t>set out service providers' proposals and revised proposals on the overall return on debt approach and transition</w:t>
      </w:r>
    </w:p>
    <w:p w:rsidR="00114691" w:rsidRPr="00114691" w:rsidRDefault="00114691" w:rsidP="00114691">
      <w:pPr>
        <w:pStyle w:val="AERbulletlistfirststyle"/>
      </w:pPr>
      <w:r>
        <w:t xml:space="preserve">explain what approaches </w:t>
      </w:r>
      <w:r w:rsidRPr="00114691">
        <w:t>to estimating the return on debt can contribute to the ARORO</w:t>
      </w:r>
      <w:r w:rsidRPr="00114691" w:rsidDel="00472C05">
        <w:t xml:space="preserve"> </w:t>
      </w:r>
      <w:r w:rsidRPr="00114691">
        <w:t>and why (which includes our approach in this final decision)</w:t>
      </w:r>
    </w:p>
    <w:p w:rsidR="00114691" w:rsidRPr="00114691" w:rsidRDefault="00114691" w:rsidP="00114691">
      <w:pPr>
        <w:pStyle w:val="AERbulletlistfirststyle"/>
      </w:pPr>
      <w:r>
        <w:t>e</w:t>
      </w:r>
      <w:r w:rsidRPr="00114691">
        <w:t>xplain why none of the approaches in the revised proposals would meet the requirements of the ARORO and NEO/NGO</w:t>
      </w:r>
    </w:p>
    <w:p w:rsidR="00114691" w:rsidRDefault="00114691" w:rsidP="00114691">
      <w:pPr>
        <w:pStyle w:val="AERbulletlistfirststyle"/>
      </w:pPr>
      <w:r>
        <w:t>set out general problems with using historical data to estimate the allowed return on debt.</w:t>
      </w:r>
    </w:p>
    <w:p w:rsidR="00114691" w:rsidRDefault="00114691" w:rsidP="00114691">
      <w:pPr>
        <w:pStyle w:val="HeadingBoldItalic"/>
      </w:pPr>
      <w:r>
        <w:t>Our a</w:t>
      </w:r>
      <w:r w:rsidRPr="00F4618D">
        <w:t>pproach to estimating the return on debt</w:t>
      </w:r>
    </w:p>
    <w:p w:rsidR="00114691" w:rsidRPr="007D2546" w:rsidRDefault="00114691" w:rsidP="00114691">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1"/>
      </w:r>
      <w:r w:rsidRPr="007D2546">
        <w:t xml:space="preserve"> Applied to </w:t>
      </w:r>
      <w:r>
        <w:t>AGN</w:t>
      </w:r>
      <w:r w:rsidRPr="007D2546">
        <w:t>, this means our return on debt approach is to:</w:t>
      </w:r>
    </w:p>
    <w:p w:rsidR="00114691" w:rsidRPr="00114691" w:rsidRDefault="00114691" w:rsidP="00114691">
      <w:pPr>
        <w:pStyle w:val="AERbulletlistfirststyle"/>
      </w:pPr>
      <w:r w:rsidRPr="007D2546">
        <w:t xml:space="preserve">estimate the return on debt using an on-the-day </w:t>
      </w:r>
      <w:r w:rsidRPr="00114691">
        <w:t>approach (that is, based on prevailing interest rates near the commencement of the access arrangement period) in the first regulatory year (2016–7) of the 2016–21 access arrangement period, and</w:t>
      </w:r>
    </w:p>
    <w:p w:rsidR="00114691" w:rsidRPr="00114691" w:rsidRDefault="00114691" w:rsidP="00114691">
      <w:pPr>
        <w:pStyle w:val="AERbulletlistfirststyle"/>
      </w:pPr>
      <w:r w:rsidRPr="007D2546">
        <w:t xml:space="preserve">gradually transition this approach into a trailing average (that is, a moving historical average) over 10 years </w:t>
      </w:r>
      <w:r w:rsidRPr="00114691">
        <w:t>by annually updating 10 per cent of the return on debt to reflect prevailing market conditions in that year.</w:t>
      </w:r>
      <w:r w:rsidRPr="00114691">
        <w:rPr>
          <w:rStyle w:val="AERsuperscript"/>
        </w:rPr>
        <w:footnoteReference w:id="372"/>
      </w:r>
    </w:p>
    <w:p w:rsidR="00114691" w:rsidRPr="007D2546" w:rsidRDefault="00114691" w:rsidP="00114691">
      <w:r w:rsidRPr="007D2546">
        <w:t xml:space="preserve">In practical terms, our return on debt approach means that an on-the-day </w:t>
      </w:r>
      <w:r>
        <w:t>approach</w:t>
      </w:r>
      <w:r w:rsidRPr="007D2546">
        <w:t xml:space="preserve"> </w:t>
      </w:r>
      <w:r>
        <w:t>around</w:t>
      </w:r>
      <w:r w:rsidRPr="007D2546">
        <w:t xml:space="preserve"> the start of the 201</w:t>
      </w:r>
      <w:r>
        <w:t>6</w:t>
      </w:r>
      <w:r w:rsidRPr="007D2546">
        <w:t>–2</w:t>
      </w:r>
      <w:r>
        <w:t>1</w:t>
      </w:r>
      <w:r w:rsidRPr="007D2546">
        <w:t xml:space="preserve"> </w:t>
      </w:r>
      <w:r>
        <w:t>access arrangement period</w:t>
      </w:r>
      <w:r w:rsidRPr="007D2546">
        <w:t xml:space="preserve"> is applied to:</w:t>
      </w:r>
    </w:p>
    <w:p w:rsidR="00114691" w:rsidRPr="00114691" w:rsidRDefault="00114691" w:rsidP="00114691">
      <w:pPr>
        <w:pStyle w:val="AERbulletlistfirststyle"/>
      </w:pPr>
      <w:r w:rsidRPr="007D2546">
        <w:t>100 per cent of the debt portfolio in the calculation of the allowed return on debt for the 2016</w:t>
      </w:r>
      <w:r w:rsidRPr="00114691">
        <w:t>–7 regulatory year</w:t>
      </w:r>
    </w:p>
    <w:p w:rsidR="00114691" w:rsidRPr="00114691" w:rsidRDefault="00114691" w:rsidP="00114691">
      <w:pPr>
        <w:pStyle w:val="AERbulletlistfirststyle"/>
      </w:pPr>
      <w:r w:rsidRPr="007D2546">
        <w:t>90 per cent of the debt portfolio in the calculation of the allowed return on debt for the 2017</w:t>
      </w:r>
      <w:r w:rsidRPr="00114691">
        <w:t>–8 regulatory year, with the remaining 10 per cent updated to reflect prevailing interest rates during AGN's averaging period for 2017–8.  Consistent with the rules requirements, this annual update (and all future annual updates) will be effected through the automatic application of the return on debt methodology we set out in this decision.</w:t>
      </w:r>
      <w:r w:rsidRPr="00114691">
        <w:rPr>
          <w:rStyle w:val="AERsuperscript"/>
        </w:rPr>
        <w:footnoteReference w:id="373"/>
      </w:r>
    </w:p>
    <w:p w:rsidR="00114691" w:rsidRPr="00114691" w:rsidRDefault="00114691" w:rsidP="00114691">
      <w:pPr>
        <w:pStyle w:val="AERbulletlistfirststyle"/>
      </w:pPr>
      <w:r w:rsidRPr="007D2546">
        <w:t>80 per cent of the debt portfolio in the calculation of the allowed return on debt for the 2</w:t>
      </w:r>
      <w:r w:rsidRPr="00114691">
        <w:t>018–9 regulatory year, with 10 per cent based on prevailing interest rates during AGN's averaging period for 2017–8, and 10 per cent updated to reflect prevailing interest rates during AGN's averaging period for 2018–9, and</w:t>
      </w:r>
    </w:p>
    <w:p w:rsidR="00114691" w:rsidRPr="007D2546" w:rsidRDefault="00114691" w:rsidP="00114691">
      <w:pPr>
        <w:pStyle w:val="AERbulletlistfirststyle"/>
      </w:pPr>
      <w:r w:rsidRPr="007D2546">
        <w:t>so on for the subsequent regulatory years.</w:t>
      </w:r>
    </w:p>
    <w:p w:rsidR="00114691" w:rsidRDefault="00114691" w:rsidP="00114691">
      <w:r w:rsidRPr="007D2546">
        <w:t xml:space="preserve">After the 10 year transition period is complete, the return on debt is a simple average of prevailing interest rates during </w:t>
      </w:r>
      <w:r>
        <w:t>AGN's</w:t>
      </w:r>
      <w:r w:rsidRPr="007D2546">
        <w:t xml:space="preserve"> averaging periods over the previous 10 years</w:t>
      </w:r>
      <w:r>
        <w:t xml:space="preserve"> (a trailing average).</w:t>
      </w:r>
    </w:p>
    <w:p w:rsidR="00114691" w:rsidRDefault="00114691" w:rsidP="00114691">
      <w:pPr>
        <w:pStyle w:val="HeadingBoldItalic"/>
      </w:pPr>
      <w:r>
        <w:t>Initial and revised regulatory proposals</w:t>
      </w:r>
    </w:p>
    <w:p w:rsidR="00114691" w:rsidRPr="008D3A72" w:rsidRDefault="00114691" w:rsidP="00114691">
      <w:r>
        <w:t>Along with this final decision for AGN, we are making seven constituent final decisions for a range of other service providers.</w:t>
      </w:r>
      <w:r>
        <w:rPr>
          <w:rStyle w:val="FootnoteReference"/>
        </w:rPr>
        <w:footnoteReference w:id="374"/>
      </w:r>
      <w:r>
        <w:t xml:space="preserve"> We have considered these proposals together where they put substantially the same views and reasoning forward.</w:t>
      </w:r>
      <w:r w:rsidRPr="00203689">
        <w:t xml:space="preserve"> </w:t>
      </w:r>
      <w:r>
        <w:t xml:space="preserve"> It is worth clarifying that, </w:t>
      </w:r>
      <w:r w:rsidRPr="008D3A72">
        <w:t>in effect, these service providers are proposing two separate things:</w:t>
      </w:r>
    </w:p>
    <w:p w:rsidR="00114691" w:rsidRDefault="00114691" w:rsidP="00114691">
      <w:pPr>
        <w:pStyle w:val="AERbulletlistsecondstyle"/>
      </w:pPr>
      <w:r>
        <w:t>to move to a trailing average methodology; and</w:t>
      </w:r>
    </w:p>
    <w:p w:rsidR="00114691" w:rsidRDefault="00114691" w:rsidP="00114691">
      <w:pPr>
        <w:pStyle w:val="AERbulletlistsecondstyle"/>
      </w:pPr>
      <w:r>
        <w:t>to increase the</w:t>
      </w:r>
      <w:r w:rsidRPr="00BC2869">
        <w:t xml:space="preserve"> net present value </w:t>
      </w:r>
      <w:r>
        <w:t>of their</w:t>
      </w:r>
      <w:r w:rsidRPr="00BC2869">
        <w:t xml:space="preserve"> assets (and associated revenues) </w:t>
      </w:r>
      <w:r>
        <w:t>by proposing to move a trailing average methodology in a manner that is not revenue neutral.</w:t>
      </w:r>
    </w:p>
    <w:p w:rsidR="00114691" w:rsidRDefault="00114691" w:rsidP="00114691">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114691" w:rsidRDefault="00114691" w:rsidP="00114691">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75"/>
      </w:r>
      <w:r>
        <w:t xml:space="preserve"> </w:t>
      </w:r>
      <w:r>
        <w:fldChar w:fldCharType="begin"/>
      </w:r>
      <w:r>
        <w:instrText xml:space="preserve"> REF _Ref451173992 \h </w:instrText>
      </w:r>
      <w:r>
        <w:fldChar w:fldCharType="separate"/>
      </w:r>
      <w:r w:rsidR="000230CB">
        <w:t xml:space="preserve">Table </w:t>
      </w:r>
      <w:r w:rsidR="000230CB">
        <w:rPr>
          <w:noProof/>
        </w:rPr>
        <w:t>3</w:t>
      </w:r>
      <w:r w:rsidR="000230CB">
        <w:noBreakHyphen/>
      </w:r>
      <w:r w:rsidR="000230CB">
        <w:rPr>
          <w:noProof/>
        </w:rPr>
        <w:t>9</w:t>
      </w:r>
      <w:r>
        <w:fldChar w:fldCharType="end"/>
      </w:r>
      <w:r w:rsidR="007E5A4F">
        <w:t xml:space="preserve"> </w:t>
      </w:r>
      <w:r>
        <w:t>summarises these proposals.</w:t>
      </w:r>
    </w:p>
    <w:p w:rsidR="00114691" w:rsidRDefault="00114691" w:rsidP="00114691">
      <w:pPr>
        <w:pStyle w:val="Caption"/>
      </w:pPr>
      <w:bookmarkStart w:id="81" w:name="_Ref451173992"/>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9</w:t>
      </w:r>
      <w:r w:rsidR="00527450">
        <w:rPr>
          <w:noProof/>
        </w:rPr>
        <w:fldChar w:fldCharType="end"/>
      </w:r>
      <w:bookmarkEnd w:id="81"/>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114691" w:rsidTr="00DB4FCE">
        <w:trPr>
          <w:cnfStyle w:val="100000000000" w:firstRow="1" w:lastRow="0" w:firstColumn="0" w:lastColumn="0" w:oddVBand="0" w:evenVBand="0" w:oddHBand="0" w:evenHBand="0" w:firstRowFirstColumn="0" w:firstRowLastColumn="0" w:lastRowFirstColumn="0" w:lastRowLastColumn="0"/>
          <w:tblHeader/>
        </w:trPr>
        <w:tc>
          <w:tcPr>
            <w:tcW w:w="2660" w:type="dxa"/>
          </w:tcPr>
          <w:p w:rsidR="00114691" w:rsidRPr="00114691" w:rsidRDefault="00114691" w:rsidP="00114691">
            <w:r>
              <w:t>Initial proposals</w:t>
            </w:r>
          </w:p>
        </w:tc>
        <w:tc>
          <w:tcPr>
            <w:tcW w:w="3260" w:type="dxa"/>
          </w:tcPr>
          <w:p w:rsidR="00114691" w:rsidRPr="00114691" w:rsidRDefault="00114691" w:rsidP="00114691">
            <w:r>
              <w:t>Revised proposals</w:t>
            </w:r>
            <w:r w:rsidRPr="00114691">
              <w:t>, first preference</w:t>
            </w:r>
          </w:p>
        </w:tc>
        <w:tc>
          <w:tcPr>
            <w:tcW w:w="2773" w:type="dxa"/>
          </w:tcPr>
          <w:p w:rsidR="00114691" w:rsidRDefault="00114691" w:rsidP="00114691">
            <w:r>
              <w:t>Revised proposals, second preference</w:t>
            </w:r>
          </w:p>
        </w:tc>
      </w:tr>
      <w:tr w:rsidR="00114691" w:rsidTr="00E10A41">
        <w:tc>
          <w:tcPr>
            <w:tcW w:w="2660" w:type="dxa"/>
          </w:tcPr>
          <w:p w:rsidR="00114691" w:rsidRPr="00114691" w:rsidRDefault="00114691" w:rsidP="00114691">
            <w:r>
              <w:t>S</w:t>
            </w:r>
            <w:r w:rsidRPr="00114691">
              <w:t>ervice providers proposed a 'hybrid transition'.</w:t>
            </w:r>
            <w:r w:rsidRPr="00114691">
              <w:rPr>
                <w:rStyle w:val="FootnoteReference"/>
              </w:rPr>
              <w:footnoteReference w:id="376"/>
            </w:r>
            <w:r w:rsidRPr="00114691">
              <w:t xml:space="preserve"> This combined a 10 year transition of the base rate into a trailing average approach with a backwards looking trailing average DRP. </w:t>
            </w:r>
          </w:p>
          <w:p w:rsidR="00114691" w:rsidRPr="00114691" w:rsidRDefault="00114691" w:rsidP="00114691">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114691">
              <w:rPr>
                <w:rStyle w:val="FootnoteReference"/>
              </w:rPr>
              <w:footnoteReference w:id="377"/>
            </w:r>
            <w:r w:rsidRPr="00114691">
              <w:t xml:space="preserve"> Given this, some service providers submitted that compared to a full transition, a hybrid approach would reduce the mismatch between the expected DRP component of the return on debt and the regulatory allowance.</w:t>
            </w:r>
            <w:r w:rsidRPr="00114691">
              <w:rPr>
                <w:rStyle w:val="FootnoteReference"/>
              </w:rPr>
              <w:footnoteReference w:id="378"/>
            </w:r>
            <w:r w:rsidRPr="00114691">
              <w:t xml:space="preserve"> We assessed these initial proposals in some detail in the relevant preliminary and draft decisions.</w:t>
            </w:r>
            <w:r w:rsidRPr="00114691">
              <w:rPr>
                <w:rStyle w:val="FootnoteReference"/>
              </w:rPr>
              <w:footnoteReference w:id="379"/>
            </w:r>
          </w:p>
        </w:tc>
        <w:tc>
          <w:tcPr>
            <w:tcW w:w="3260" w:type="dxa"/>
          </w:tcPr>
          <w:p w:rsidR="00114691" w:rsidRPr="00114691" w:rsidRDefault="00114691" w:rsidP="00114691">
            <w:r>
              <w:t>Service providers propose</w:t>
            </w:r>
            <w:r w:rsidRPr="00114691">
              <w:t xml:space="preserve">d to immediately adopt a backwards looking trailing average approach. </w:t>
            </w:r>
          </w:p>
          <w:p w:rsidR="00114691" w:rsidRPr="00114691" w:rsidRDefault="00114691" w:rsidP="00114691">
            <w:r>
              <w:t>Their</w:t>
            </w:r>
            <w:r w:rsidRPr="00114691">
              <w:t xml:space="preserve"> reasons for adopting this position include:</w:t>
            </w:r>
          </w:p>
          <w:p w:rsidR="00114691" w:rsidRPr="00114691" w:rsidRDefault="00114691" w:rsidP="00114691">
            <w:pPr>
              <w:pStyle w:val="AERbulletlistfirststyle"/>
            </w:pPr>
            <w:r w:rsidRPr="009151D2">
              <w:t>An immediate transition is consistent with a historically-based definition of efficient financing costs</w:t>
            </w:r>
            <w:r w:rsidRPr="00114691">
              <w:t xml:space="preserve"> if immediately implementing a trailing average reduces the ex-post 'mismatch' between the allowed return on debt cash flows and a benchmark efficient entity's actual (historical) debt costs (or cash outflows).</w:t>
            </w:r>
            <w:r w:rsidRPr="00114691">
              <w:rPr>
                <w:rStyle w:val="FootnoteReference"/>
              </w:rPr>
              <w:footnoteReference w:id="380"/>
            </w:r>
          </w:p>
          <w:p w:rsidR="00114691" w:rsidRPr="00114691" w:rsidRDefault="00114691" w:rsidP="00114691">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114691">
              <w:rPr>
                <w:rStyle w:val="FootnoteReference"/>
              </w:rPr>
              <w:t xml:space="preserve"> </w:t>
            </w:r>
            <w:r w:rsidRPr="00114691">
              <w:rPr>
                <w:rStyle w:val="FootnoteReference"/>
              </w:rPr>
              <w:footnoteReference w:id="381"/>
            </w:r>
            <w:r w:rsidRPr="00114691">
              <w:t xml:space="preserve"> This is particularly because incentives created under the on-the-day approach (required under the previously regulatory regime) may not have resulted in efficient financing practices.</w:t>
            </w:r>
            <w:r w:rsidRPr="00114691">
              <w:rPr>
                <w:rStyle w:val="FootnoteReference"/>
              </w:rPr>
              <w:footnoteReference w:id="382"/>
            </w:r>
          </w:p>
          <w:p w:rsidR="00114691" w:rsidRPr="00114691" w:rsidRDefault="00114691" w:rsidP="00114691">
            <w:pPr>
              <w:pStyle w:val="AERbulletlistfirststyle"/>
            </w:pPr>
            <w:r>
              <w:t>A</w:t>
            </w:r>
            <w:r w:rsidRPr="00114691">
              <w:t xml:space="preserve"> benchmark efficient entity is unregulated because an unregulated benchmark efficient entity is consistent with replicating workably competitive market outcomes.</w:t>
            </w:r>
          </w:p>
        </w:tc>
        <w:tc>
          <w:tcPr>
            <w:tcW w:w="2773" w:type="dxa"/>
          </w:tcPr>
          <w:p w:rsidR="00114691" w:rsidRPr="00114691" w:rsidRDefault="00114691" w:rsidP="00114691">
            <w:r>
              <w:t>T</w:t>
            </w:r>
            <w:r w:rsidRPr="00114691">
              <w:t>he majority of service providers proposed a second preference for a hybrid transition under partial hedging.</w:t>
            </w:r>
            <w:r w:rsidRPr="00114691">
              <w:rPr>
                <w:rStyle w:val="FootnoteReference"/>
              </w:rPr>
              <w:footnoteReference w:id="383"/>
            </w:r>
            <w:r w:rsidRPr="00114691">
              <w:t xml:space="preserve"> This entails only applying a transition to a trailing average to one third of the base rate.</w:t>
            </w:r>
            <w:r w:rsidRPr="00114691">
              <w:rPr>
                <w:rStyle w:val="FootnoteReference"/>
              </w:rPr>
              <w:footnoteReference w:id="384"/>
            </w:r>
            <w:r w:rsidRPr="00114691">
              <w:t xml:space="preserve"> </w:t>
            </w:r>
          </w:p>
          <w:p w:rsidR="00114691" w:rsidRPr="00114691" w:rsidRDefault="00114691" w:rsidP="00114691">
            <w:r>
              <w:t>Their reasons for</w:t>
            </w:r>
            <w:r w:rsidRPr="00114691">
              <w:t xml:space="preserve"> this second preference include:</w:t>
            </w:r>
          </w:p>
          <w:p w:rsidR="00114691" w:rsidRPr="00114691" w:rsidRDefault="00114691" w:rsidP="00114691">
            <w:pPr>
              <w:pStyle w:val="AERbulletlistfirststyle"/>
            </w:pPr>
            <w:r>
              <w:t>A hybrid</w:t>
            </w:r>
            <w:r w:rsidRPr="00114691">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114691">
              <w:rPr>
                <w:rStyle w:val="FootnoteReference"/>
              </w:rPr>
              <w:footnoteReference w:id="385"/>
            </w:r>
          </w:p>
          <w:p w:rsidR="00114691" w:rsidRPr="00114691" w:rsidRDefault="00114691" w:rsidP="00114691">
            <w:pPr>
              <w:pStyle w:val="AERbulletlistfirststyle"/>
            </w:pPr>
            <w:r>
              <w:t xml:space="preserve">A </w:t>
            </w:r>
            <w:r w:rsidRPr="00114691">
              <w:t>benchmark efficient entity would have only hedged one third of the base rate under the on-the-day regime. This is based on CEG's interpretation of the correlation between the base rate and DRP over about 20 years of data.</w:t>
            </w:r>
            <w:r w:rsidRPr="00114691">
              <w:rPr>
                <w:rStyle w:val="FootnoteReference"/>
              </w:rPr>
              <w:footnoteReference w:id="386"/>
            </w:r>
          </w:p>
          <w:p w:rsidR="00114691" w:rsidDel="00203689" w:rsidRDefault="00114691" w:rsidP="00114691"/>
        </w:tc>
      </w:tr>
    </w:tbl>
    <w:p w:rsidR="00114691" w:rsidRPr="006D4885" w:rsidRDefault="00114691" w:rsidP="006D4885">
      <w:pPr>
        <w:pStyle w:val="AERtablesource"/>
      </w:pPr>
      <w:r w:rsidRPr="006D4885">
        <w:t xml:space="preserve">Source: </w:t>
      </w:r>
      <w:r w:rsidR="006D4885">
        <w:tab/>
      </w:r>
      <w:r w:rsidRPr="006D4885">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114691" w:rsidRDefault="00114691" w:rsidP="00114691">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the ARORO. We maintain our view from the preliminary and draft decisions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114691" w:rsidRPr="00785554" w:rsidRDefault="00114691" w:rsidP="00114691">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87"/>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in</w:t>
      </w:r>
      <w:r w:rsidR="00067443">
        <w:t xml:space="preserve"> </w:t>
      </w:r>
      <w:r w:rsidR="006D4885">
        <w:t xml:space="preserve">section </w:t>
      </w:r>
      <w:r w:rsidR="00527450">
        <w:fldChar w:fldCharType="begin"/>
      </w:r>
      <w:r w:rsidR="00527450">
        <w:instrText xml:space="preserve"> REF _Ref451539247 \r \h </w:instrText>
      </w:r>
      <w:r w:rsidR="00527450">
        <w:fldChar w:fldCharType="separate"/>
      </w:r>
      <w:r w:rsidR="000230CB">
        <w:fldChar w:fldCharType="begin"/>
      </w:r>
      <w:r w:rsidR="000230CB">
        <w:instrText xml:space="preserve"> REF _Ref447886159 \r \h </w:instrText>
      </w:r>
      <w:r w:rsidR="000230CB">
        <w:fldChar w:fldCharType="separate"/>
      </w:r>
      <w:r w:rsidR="000230CB">
        <w:t>H.5.1</w:t>
      </w:r>
      <w:r w:rsidR="000230CB">
        <w:fldChar w:fldCharType="end"/>
      </w:r>
      <w:r w:rsidR="00527450">
        <w:fldChar w:fldCharType="end"/>
      </w:r>
      <w:r w:rsidR="006D4885">
        <w:t xml:space="preserve"> of </w:t>
      </w:r>
      <w:r w:rsidR="006D4885" w:rsidRPr="00067443">
        <w:t xml:space="preserve">Appendix </w:t>
      </w:r>
      <w:r w:rsidR="006D4885" w:rsidRPr="00067443">
        <w:fldChar w:fldCharType="begin"/>
      </w:r>
      <w:r w:rsidR="006D4885" w:rsidRPr="00067443">
        <w:instrText xml:space="preserve"> REF _Ref451328574 \r \h </w:instrText>
      </w:r>
      <w:r w:rsidR="006D4885" w:rsidRPr="00067443">
        <w:fldChar w:fldCharType="separate"/>
      </w:r>
      <w:r w:rsidR="000230CB">
        <w:t>H</w:t>
      </w:r>
      <w:r w:rsidR="006D4885" w:rsidRPr="00067443">
        <w:fldChar w:fldCharType="end"/>
      </w:r>
      <w:r w:rsidRPr="00785554">
        <w:t>.</w:t>
      </w:r>
    </w:p>
    <w:p w:rsidR="00114691" w:rsidRPr="00785554" w:rsidRDefault="00114691" w:rsidP="00114691">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88"/>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89"/>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0"/>
      </w:r>
      <w:r w:rsidRPr="00785554">
        <w:t xml:space="preserve"> As such, stakeholders found that the service providers' revised proposals requested excessively high allowed returns on debt.</w:t>
      </w:r>
      <w:r w:rsidRPr="00785554">
        <w:rPr>
          <w:rStyle w:val="FootnoteReference"/>
        </w:rPr>
        <w:footnoteReference w:id="391"/>
      </w:r>
    </w:p>
    <w:p w:rsidR="00114691" w:rsidRDefault="00114691" w:rsidP="00114691">
      <w:pPr>
        <w:pStyle w:val="HeadingBoldItalic"/>
      </w:pPr>
      <w:r>
        <w:t>Approaches that contribute to the achievement of the ARORO</w:t>
      </w:r>
    </w:p>
    <w:p w:rsidR="00114691" w:rsidRDefault="00114691" w:rsidP="00114691">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2"/>
      </w:r>
      <w:r w:rsidRPr="00F21B32">
        <w:t xml:space="preserve"> </w:t>
      </w:r>
      <w:r>
        <w:t>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7E5A4F">
        <w:t xml:space="preserve"> </w:t>
      </w:r>
      <w:r w:rsidR="007E5A4F">
        <w:fldChar w:fldCharType="begin"/>
      </w:r>
      <w:r w:rsidR="007E5A4F">
        <w:instrText xml:space="preserve"> REF _Ref451331909 \r \h </w:instrText>
      </w:r>
      <w:r w:rsidR="007E5A4F">
        <w:fldChar w:fldCharType="separate"/>
      </w:r>
      <w:r w:rsidR="000230CB">
        <w:t>3.3.3</w:t>
      </w:r>
      <w:r w:rsidR="007E5A4F">
        <w:fldChar w:fldCharType="end"/>
      </w:r>
      <w:r>
        <w:t>.</w:t>
      </w:r>
      <w:r>
        <w:rPr>
          <w:rStyle w:val="FootnoteReference"/>
        </w:rPr>
        <w:footnoteReference w:id="393"/>
      </w:r>
    </w:p>
    <w:p w:rsidR="00114691" w:rsidRDefault="00114691" w:rsidP="00114691">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4"/>
      </w:r>
    </w:p>
    <w:p w:rsidR="00114691" w:rsidRPr="009F3831" w:rsidRDefault="00114691" w:rsidP="00114691">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w:t>
      </w:r>
      <w:r w:rsidR="00067443" w:rsidRPr="00067443">
        <w:t xml:space="preserve">Appendix </w:t>
      </w:r>
      <w:r w:rsidR="00067443" w:rsidRPr="00067443">
        <w:fldChar w:fldCharType="begin"/>
      </w:r>
      <w:r w:rsidR="00067443" w:rsidRPr="00067443">
        <w:instrText xml:space="preserve"> REF _Ref451328655 \r \h </w:instrText>
      </w:r>
      <w:r w:rsidR="00067443" w:rsidRPr="00067443">
        <w:fldChar w:fldCharType="separate"/>
      </w:r>
      <w:r w:rsidR="000230CB">
        <w:t>H</w:t>
      </w:r>
      <w:r w:rsidR="00067443" w:rsidRPr="00067443">
        <w:fldChar w:fldCharType="end"/>
      </w:r>
      <w:r w:rsidR="00067443">
        <w:t xml:space="preserve"> </w:t>
      </w:r>
      <w:r>
        <w:t>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395"/>
      </w:r>
    </w:p>
    <w:p w:rsidR="00114691" w:rsidRDefault="00114691" w:rsidP="00114691">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114691" w:rsidRDefault="00114691" w:rsidP="00114691">
      <w:pPr>
        <w:pStyle w:val="HeadingItalic"/>
      </w:pPr>
      <w:r>
        <w:t>Trailing average (with full transition) meets the ARORO</w:t>
      </w:r>
    </w:p>
    <w:p w:rsidR="00114691" w:rsidRDefault="00114691" w:rsidP="00114691">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rsidR="00067443" w:rsidRPr="00067443">
        <w:t xml:space="preserve">Appendix </w:t>
      </w:r>
      <w:r w:rsidR="00067443" w:rsidRPr="00067443">
        <w:fldChar w:fldCharType="begin"/>
      </w:r>
      <w:r w:rsidR="00067443" w:rsidRPr="00067443">
        <w:instrText xml:space="preserve"> REF _Ref451328655 \r \h </w:instrText>
      </w:r>
      <w:r w:rsidR="00067443" w:rsidRPr="00067443">
        <w:fldChar w:fldCharType="separate"/>
      </w:r>
      <w:r w:rsidR="000230CB">
        <w:t>H</w:t>
      </w:r>
      <w:r w:rsidR="00067443" w:rsidRPr="00067443">
        <w:fldChar w:fldCharType="end"/>
      </w:r>
      <w:r w:rsidR="00067443">
        <w:t xml:space="preserve"> </w:t>
      </w:r>
      <w:r>
        <w:t xml:space="preserve">provides </w:t>
      </w:r>
      <w:r w:rsidRPr="00B17075">
        <w:t>detailed reasons, including a mathematic description, for why this holds.</w:t>
      </w:r>
      <w:r w:rsidRPr="00E14029">
        <w:t xml:space="preserve"> </w:t>
      </w:r>
      <w:r>
        <w:t>Further, regarding adopting a trailing average approach more broadly:</w:t>
      </w:r>
    </w:p>
    <w:p w:rsidR="00114691" w:rsidRPr="00114691" w:rsidRDefault="00114691" w:rsidP="00114691">
      <w:pPr>
        <w:pStyle w:val="AERbulletlistfirststyle"/>
      </w:pPr>
      <w:r>
        <w:t xml:space="preserve">Compared to an on-the-day approach, a </w:t>
      </w:r>
      <w:r w:rsidRPr="00114691">
        <w:t>trailing average approach will lead to less volatile cash flows.</w:t>
      </w:r>
      <w:r w:rsidRPr="00114691">
        <w:rPr>
          <w:rStyle w:val="FootnoteReference"/>
        </w:rPr>
        <w:footnoteReference w:id="396"/>
      </w:r>
    </w:p>
    <w:p w:rsidR="00114691" w:rsidRPr="00114691" w:rsidRDefault="00114691" w:rsidP="00114691">
      <w:pPr>
        <w:pStyle w:val="AERbulletlistfirststyle"/>
      </w:pPr>
      <w:r>
        <w:t>Some stakeholders submitted that a trailing average would reduce some of the risks faced by service providers, which would eventually flow to lower betas than what we have historically seen.</w:t>
      </w:r>
      <w:r w:rsidRPr="00114691">
        <w:rPr>
          <w:rStyle w:val="FootnoteReference"/>
        </w:rPr>
        <w:footnoteReference w:id="397"/>
      </w:r>
      <w:r w:rsidRPr="00114691">
        <w:t xml:space="preserve"> Frontier also advised that a trailing average approach would result in a smooth profile for the allowed return on debt.</w:t>
      </w:r>
      <w:r w:rsidRPr="00114691">
        <w:rPr>
          <w:rStyle w:val="FootnoteReference"/>
        </w:rPr>
        <w:footnoteReference w:id="398"/>
      </w:r>
    </w:p>
    <w:p w:rsidR="00114691" w:rsidRPr="00114691" w:rsidRDefault="00114691" w:rsidP="00114691">
      <w:pPr>
        <w:pStyle w:val="AERbulletlistfirststyle"/>
      </w:pPr>
      <w:r>
        <w:t>A trailing average approach received broad stakeholder support.</w:t>
      </w:r>
      <w:r w:rsidRPr="00114691">
        <w:rPr>
          <w:rStyle w:val="FootnoteReference"/>
        </w:rPr>
        <w:footnoteReference w:id="399"/>
      </w:r>
      <w:r w:rsidRPr="00114691">
        <w:t xml:space="preserve"> </w:t>
      </w:r>
    </w:p>
    <w:p w:rsidR="00114691" w:rsidRDefault="00114691" w:rsidP="00114691">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114691" w:rsidRDefault="00114691" w:rsidP="00114691">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114691" w:rsidRDefault="00114691" w:rsidP="00114691">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114691" w:rsidRPr="00785554" w:rsidRDefault="00114691" w:rsidP="00114691">
      <w:r>
        <w:t xml:space="preserve">For this reason, we </w:t>
      </w:r>
      <w:r w:rsidRPr="00785554">
        <w:t>have used our transition approach because it is approximately revenue neutral (in a present value sense).</w:t>
      </w:r>
      <w:r w:rsidRPr="00785554">
        <w:rPr>
          <w:rStyle w:val="FootnoteReference"/>
        </w:rPr>
        <w:footnoteReference w:id="400"/>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1"/>
      </w:r>
      <w:r w:rsidRPr="00785554">
        <w:t xml:space="preserve"> We also note that SFG advised the AEMC that the type of transition mechanism we apply in this final decision would be effective:</w:t>
      </w:r>
      <w:r w:rsidRPr="00785554">
        <w:rPr>
          <w:rStyle w:val="FootnoteReference"/>
        </w:rPr>
        <w:footnoteReference w:id="402"/>
      </w:r>
    </w:p>
    <w:p w:rsidR="00114691" w:rsidRPr="002F34FF" w:rsidRDefault="00114691" w:rsidP="00114691">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w:t>
      </w:r>
    </w:p>
    <w:p w:rsidR="00114691" w:rsidRPr="00F21B32" w:rsidRDefault="00114691" w:rsidP="00114691">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3"/>
      </w:r>
      <w:r>
        <w:t xml:space="preserve"> The AEMC explained that the purpose of this aspect of the rules was:</w:t>
      </w:r>
      <w:r w:rsidRPr="00F21B32">
        <w:rPr>
          <w:rStyle w:val="FootnoteReference"/>
        </w:rPr>
        <w:footnoteReference w:id="404"/>
      </w:r>
    </w:p>
    <w:p w:rsidR="00114691" w:rsidRDefault="00114691" w:rsidP="00114691">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114691" w:rsidRDefault="00114691" w:rsidP="00114691">
      <w:pPr>
        <w:pStyle w:val="HeadingItalic"/>
      </w:pPr>
      <w:r>
        <w:t>Continuing the on-the-day approach meets the ARORO</w:t>
      </w:r>
    </w:p>
    <w:p w:rsidR="00114691" w:rsidRDefault="00114691" w:rsidP="00114691">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access arrangement period</w:t>
      </w:r>
      <w:r w:rsidRPr="00AF4E25">
        <w:t xml:space="preserve">. </w:t>
      </w:r>
      <w:r w:rsidR="00067443" w:rsidRPr="00067443">
        <w:t xml:space="preserve">Appendix </w:t>
      </w:r>
      <w:r w:rsidR="00067443" w:rsidRPr="00067443">
        <w:fldChar w:fldCharType="begin"/>
      </w:r>
      <w:r w:rsidR="00067443" w:rsidRPr="00067443">
        <w:instrText xml:space="preserve"> REF _Ref451328655 \r \h </w:instrText>
      </w:r>
      <w:r w:rsidR="00067443" w:rsidRPr="00067443">
        <w:fldChar w:fldCharType="separate"/>
      </w:r>
      <w:r w:rsidR="000230CB">
        <w:t>H</w:t>
      </w:r>
      <w:r w:rsidR="00067443" w:rsidRPr="00067443">
        <w:fldChar w:fldCharType="end"/>
      </w:r>
      <w:r w:rsidR="00067443">
        <w:t xml:space="preserve"> </w:t>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05"/>
      </w:r>
      <w:r>
        <w:t xml:space="preserve"> Further, as </w:t>
      </w:r>
      <w:r>
        <w:fldChar w:fldCharType="begin"/>
      </w:r>
      <w:r>
        <w:instrText xml:space="preserve"> REF  _Ref451174016 \* Lower \h </w:instrText>
      </w:r>
      <w:r>
        <w:fldChar w:fldCharType="separate"/>
      </w:r>
      <w:r w:rsidR="000230CB">
        <w:t xml:space="preserve">table </w:t>
      </w:r>
      <w:r w:rsidR="000230CB">
        <w:rPr>
          <w:noProof/>
        </w:rPr>
        <w:t>3</w:t>
      </w:r>
      <w:r w:rsidR="000230CB">
        <w:noBreakHyphen/>
      </w:r>
      <w:r w:rsidR="000230CB">
        <w:rPr>
          <w:noProof/>
        </w:rPr>
        <w:t>10</w:t>
      </w:r>
      <w:r>
        <w:fldChar w:fldCharType="end"/>
      </w:r>
      <w:r w:rsidR="00133AD3">
        <w:t xml:space="preserve"> </w:t>
      </w:r>
      <w:r>
        <w:t>shows, we consider that neither an on-the-day nor trailing average approach would be clearly superior to the other. Rather, each of these approaches has its own benefits and limitations</w:t>
      </w:r>
      <w:r w:rsidR="00133AD3">
        <w:t>.</w:t>
      </w:r>
    </w:p>
    <w:p w:rsidR="00114691" w:rsidRDefault="00114691" w:rsidP="00114691">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114691" w:rsidRDefault="00114691" w:rsidP="00114691">
      <w:pPr>
        <w:pStyle w:val="Caption"/>
      </w:pPr>
      <w:bookmarkStart w:id="82" w:name="_Ref451174016"/>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10</w:t>
      </w:r>
      <w:r w:rsidR="00527450">
        <w:rPr>
          <w:noProof/>
        </w:rPr>
        <w:fldChar w:fldCharType="end"/>
      </w:r>
      <w:bookmarkEnd w:id="82"/>
      <w:r>
        <w:t>: Benefits of different debt approaches</w:t>
      </w:r>
    </w:p>
    <w:tbl>
      <w:tblPr>
        <w:tblStyle w:val="AERtable-text0"/>
        <w:tblW w:w="0" w:type="auto"/>
        <w:tblLook w:val="04A0" w:firstRow="1" w:lastRow="0" w:firstColumn="1" w:lastColumn="0" w:noHBand="0" w:noVBand="1"/>
      </w:tblPr>
      <w:tblGrid>
        <w:gridCol w:w="4346"/>
        <w:gridCol w:w="4347"/>
      </w:tblGrid>
      <w:tr w:rsidR="00114691" w:rsidTr="00DB4FCE">
        <w:trPr>
          <w:cnfStyle w:val="100000000000" w:firstRow="1" w:lastRow="0" w:firstColumn="0" w:lastColumn="0" w:oddVBand="0" w:evenVBand="0" w:oddHBand="0" w:evenHBand="0" w:firstRowFirstColumn="0" w:firstRowLastColumn="0" w:lastRowFirstColumn="0" w:lastRowLastColumn="0"/>
          <w:tblHeader/>
        </w:trPr>
        <w:tc>
          <w:tcPr>
            <w:tcW w:w="4346" w:type="dxa"/>
          </w:tcPr>
          <w:p w:rsidR="00114691" w:rsidRPr="00114691" w:rsidRDefault="00114691" w:rsidP="00114691">
            <w:r>
              <w:t>Benefits of a trailing average approach</w:t>
            </w:r>
          </w:p>
        </w:tc>
        <w:tc>
          <w:tcPr>
            <w:tcW w:w="4347" w:type="dxa"/>
          </w:tcPr>
          <w:p w:rsidR="00114691" w:rsidRPr="00114691" w:rsidRDefault="00114691" w:rsidP="00114691">
            <w:r>
              <w:t>Benefits of an on-the-day approach</w:t>
            </w:r>
          </w:p>
        </w:tc>
      </w:tr>
      <w:tr w:rsidR="00114691" w:rsidTr="00E10A41">
        <w:tc>
          <w:tcPr>
            <w:tcW w:w="4346" w:type="dxa"/>
          </w:tcPr>
          <w:p w:rsidR="00114691" w:rsidRPr="009F3831" w:rsidRDefault="00114691" w:rsidP="00114691">
            <w:r w:rsidRPr="009F3831">
              <w:t xml:space="preserve"> </w:t>
            </w:r>
          </w:p>
          <w:p w:rsidR="00114691" w:rsidRPr="00114691" w:rsidRDefault="00114691" w:rsidP="00114691">
            <w:r>
              <w:t xml:space="preserve">A trailing average approach provides </w:t>
            </w:r>
            <w:r w:rsidRPr="00114691">
              <w:t>service providers with a regulatory benchmark that they can more readily match each access arrangement period.</w:t>
            </w:r>
            <w:r w:rsidRPr="00114691">
              <w:rPr>
                <w:rStyle w:val="FootnoteReference"/>
              </w:rPr>
              <w:footnoteReference w:id="406"/>
            </w:r>
            <w:r w:rsidRPr="00114691">
              <w:t xml:space="preserve"> As such, this provides a benchmark efficient entity with an enhanced opportunity to minimise any mismatch between actual costs and regulated revenues.</w:t>
            </w:r>
            <w:r w:rsidRPr="00114691">
              <w:rPr>
                <w:rStyle w:val="FootnoteReference"/>
              </w:rPr>
              <w:footnoteReference w:id="407"/>
            </w:r>
            <w:r w:rsidRPr="00114691">
              <w:t xml:space="preserve"> Nevertheless, it is important to note that this mismatch risk would not result in a benchmark efficient entity being ex-ante over- or under-compensated for its efficient debt financing costs for a access arrangement period or over the life of its assets.</w:t>
            </w:r>
          </w:p>
          <w:p w:rsidR="00114691" w:rsidRPr="00114691" w:rsidRDefault="00114691" w:rsidP="00114691">
            <w:r>
              <w:t xml:space="preserve">All else </w:t>
            </w:r>
            <w:r w:rsidRPr="00114691">
              <w:t xml:space="preserve">being equal, this reduced risk and the reduced need to enter hedging arrangements might lower the efficient cost of financing for a benchmark efficient entity and increase productive efficiency. </w:t>
            </w:r>
          </w:p>
          <w:p w:rsidR="00114691" w:rsidRPr="00114691" w:rsidRDefault="00114691" w:rsidP="00114691">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114691">
              <w:t xml:space="preserve"> moved since the last reset.</w:t>
            </w:r>
          </w:p>
        </w:tc>
        <w:tc>
          <w:tcPr>
            <w:tcW w:w="4347" w:type="dxa"/>
          </w:tcPr>
          <w:p w:rsidR="00114691" w:rsidRPr="00114691" w:rsidRDefault="00114691" w:rsidP="00114691">
            <w:r>
              <w:t xml:space="preserve">An </w:t>
            </w:r>
            <w:r w:rsidRPr="00114691">
              <w:t>on-the-day approach better reflects the prevailing cost of debt in the capital market near the commencement of the access arrangement period. Due to this, it:</w:t>
            </w:r>
          </w:p>
          <w:p w:rsidR="00114691" w:rsidRPr="00114691" w:rsidRDefault="00114691" w:rsidP="00114691">
            <w:pPr>
              <w:pStyle w:val="AERbulletlistfirststyle"/>
            </w:pPr>
            <w:r>
              <w:t xml:space="preserve">Better reflects </w:t>
            </w:r>
            <w:r w:rsidRPr="00114691">
              <w:t>investors' opportunity cost of debt and expectations of future returns near the commencement of the access arrangement period.</w:t>
            </w:r>
            <w:r w:rsidRPr="00114691">
              <w:rPr>
                <w:rStyle w:val="FootnoteReference"/>
              </w:rPr>
              <w:footnoteReference w:id="408"/>
            </w:r>
            <w:r w:rsidRPr="00114691">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114691">
              <w:rPr>
                <w:rStyle w:val="FootnoteReference"/>
              </w:rPr>
              <w:footnoteReference w:id="409"/>
            </w:r>
          </w:p>
          <w:p w:rsidR="00114691" w:rsidRPr="00114691" w:rsidRDefault="00114691" w:rsidP="00114691">
            <w:pPr>
              <w:pStyle w:val="AERbulletlistfirststyle"/>
            </w:pPr>
            <w:r>
              <w:t xml:space="preserve">Is more internally consistent with how we estimate other components of the allowed rate of return and the building block model more generally. </w:t>
            </w:r>
          </w:p>
          <w:p w:rsidR="00114691" w:rsidRPr="00114691" w:rsidRDefault="00114691" w:rsidP="00114691">
            <w:pPr>
              <w:pStyle w:val="AERbulletlistfirststyle"/>
            </w:pPr>
            <w:r>
              <w:t>Leads to an estimate that is commensurate with efficient financing costs and competitive market outcomes</w:t>
            </w:r>
            <w:r w:rsidRPr="00114691">
              <w:t xml:space="preserve"> near the commencement of the access arrangement period. We expect prevailing market rates for capital finance to be competitive.</w:t>
            </w:r>
            <w:r w:rsidRPr="00114691">
              <w:rPr>
                <w:rStyle w:val="FootnoteReference"/>
              </w:rPr>
              <w:footnoteReference w:id="410"/>
            </w:r>
            <w:r w:rsidRPr="00114691">
              <w:t xml:space="preserve"> Moreover, a return on debt that reflects the current market rate more closely imitates the outcomes of a competitive market by representing the costs that other service providers will face to enter the market.</w:t>
            </w:r>
            <w:r w:rsidRPr="00114691">
              <w:rPr>
                <w:rStyle w:val="FootnoteReference"/>
              </w:rPr>
              <w:footnoteReference w:id="411"/>
            </w:r>
          </w:p>
        </w:tc>
      </w:tr>
    </w:tbl>
    <w:p w:rsidR="00114691" w:rsidRDefault="00114691" w:rsidP="00114691">
      <w:pPr>
        <w:pStyle w:val="AERtablesource"/>
      </w:pPr>
      <w:r>
        <w:t>Source: AER analysis.</w:t>
      </w:r>
    </w:p>
    <w:p w:rsidR="00114691" w:rsidRDefault="00114691" w:rsidP="00114691">
      <w:pPr>
        <w:pStyle w:val="HeadingBoldItalic"/>
      </w:pPr>
      <w:r>
        <w:t xml:space="preserve">Revised proposals will not </w:t>
      </w:r>
      <w:r w:rsidRPr="000F6A5E">
        <w:t>contribute to the achievement of the ARORO</w:t>
      </w:r>
    </w:p>
    <w:p w:rsidR="00114691" w:rsidRPr="00785554" w:rsidRDefault="00114691" w:rsidP="00114691">
      <w:r>
        <w:t>We have carefully consider</w:t>
      </w:r>
      <w:r w:rsidRPr="00785554">
        <w:t>ed the transition paths to the trailing average put forward in the revised proposals. These paths include:</w:t>
      </w:r>
    </w:p>
    <w:p w:rsidR="00114691" w:rsidRPr="00114691" w:rsidRDefault="00114691" w:rsidP="00114691">
      <w:pPr>
        <w:pStyle w:val="AERbulletlistfirststyle"/>
      </w:pPr>
      <w:r>
        <w:t>No transition (or an immediate move) to a trailing average</w:t>
      </w:r>
      <w:r w:rsidRPr="00114691">
        <w:t>—Adopt a backwards looking trailing average approach (no transition on either the base rate or DRP components of the return on debt).</w:t>
      </w:r>
    </w:p>
    <w:p w:rsidR="00114691" w:rsidRPr="00114691" w:rsidRDefault="00114691" w:rsidP="00114691">
      <w:pPr>
        <w:pStyle w:val="AERbulletlistfirststyle"/>
      </w:pPr>
      <w:r w:rsidRPr="007D2546">
        <w:t>Hybrid transition—Start with an on-the-day</w:t>
      </w:r>
      <w:r w:rsidRPr="00114691">
        <w:t xml:space="preserve"> approach for the base rate component and gradually transition into a trailing average approach over 10 years. This would be combined with a backwards looking trailing average DRP (that is, a base rate transition only).</w:t>
      </w:r>
    </w:p>
    <w:p w:rsidR="00114691" w:rsidRPr="00114691" w:rsidRDefault="00114691" w:rsidP="00114691">
      <w:pPr>
        <w:pStyle w:val="AERbulletlistfirststyle"/>
      </w:pPr>
      <w:r>
        <w:t>Hybrid transition under partial hedging</w:t>
      </w:r>
      <w:r w:rsidRPr="00114691">
        <w:t>—Assume a benchmark efficient entity hedged only one third of the base rate under the on-the-day regime on the basis that this would have been ex-post optimal.</w:t>
      </w:r>
      <w:r w:rsidRPr="00114691">
        <w:rPr>
          <w:rStyle w:val="FootnoteReference"/>
        </w:rPr>
        <w:footnoteReference w:id="412"/>
      </w:r>
      <w:r w:rsidRPr="00114691">
        <w:t xml:space="preserve"> Gradually transition this portion of the base rate and apply an immediate trailing average to the other two thirds of the base rate and the entire DRP component.</w:t>
      </w:r>
      <w:r w:rsidRPr="00114691">
        <w:rPr>
          <w:rStyle w:val="FootnoteReference"/>
        </w:rPr>
        <w:footnoteReference w:id="413"/>
      </w:r>
    </w:p>
    <w:p w:rsidR="00114691" w:rsidRDefault="00114691" w:rsidP="00114691">
      <w:r>
        <w:t>The following sections set out why neither of these transition paths would contribute to the achievement of the ARORO.</w:t>
      </w:r>
    </w:p>
    <w:p w:rsidR="00114691" w:rsidRDefault="00114691" w:rsidP="00114691">
      <w:pPr>
        <w:pStyle w:val="HeadingItalic"/>
      </w:pPr>
      <w:r>
        <w:t xml:space="preserve">Immediate transition will </w:t>
      </w:r>
      <w:r w:rsidRPr="00F72EF1">
        <w:t xml:space="preserve">not contribute to the achievement </w:t>
      </w:r>
      <w:r>
        <w:t>of the ARORO</w:t>
      </w:r>
    </w:p>
    <w:p w:rsidR="00114691" w:rsidRDefault="00114691" w:rsidP="00114691">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114691" w:rsidRDefault="00114691" w:rsidP="00114691">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114691" w:rsidRPr="00F72EF1" w:rsidRDefault="00114691" w:rsidP="00114691">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067443" w:rsidRPr="00067443">
        <w:t xml:space="preserve">Appendix </w:t>
      </w:r>
      <w:r w:rsidR="00067443" w:rsidRPr="00067443">
        <w:fldChar w:fldCharType="begin"/>
      </w:r>
      <w:r w:rsidR="00067443" w:rsidRPr="00067443">
        <w:instrText xml:space="preserve"> REF _Ref451328655 \r \h </w:instrText>
      </w:r>
      <w:r w:rsidR="00067443" w:rsidRPr="00067443">
        <w:fldChar w:fldCharType="separate"/>
      </w:r>
      <w:r w:rsidR="000230CB">
        <w:t>H</w:t>
      </w:r>
      <w:r w:rsidR="00067443" w:rsidRPr="00067443">
        <w:fldChar w:fldCharType="end"/>
      </w:r>
      <w:r w:rsidRPr="00610804">
        <w:rPr>
          <w:rStyle w:val="AERbody"/>
        </w:rPr>
        <w:t>.</w:t>
      </w:r>
    </w:p>
    <w:p w:rsidR="00114691" w:rsidRPr="009F3831" w:rsidRDefault="00114691" w:rsidP="00114691">
      <w:r>
        <w:t>Further, we consider that</w:t>
      </w:r>
      <w:r w:rsidRPr="009F3831">
        <w:t xml:space="preserve"> failing to implement a revenue neutral transition would undermine the ARORO and the NEL/NGL for the following reasons:</w:t>
      </w:r>
    </w:p>
    <w:p w:rsidR="00114691" w:rsidRPr="00114691" w:rsidRDefault="00114691" w:rsidP="00114691">
      <w:pPr>
        <w:pStyle w:val="AERbulletlistfirststyle"/>
      </w:pPr>
      <w:r>
        <w:t xml:space="preserve">The future return on debt allowance would have </w:t>
      </w:r>
      <w:r w:rsidRPr="00114691">
        <w:t xml:space="preserve">a different present value if we switched methodologies to estimating the allowed return on debt without a transition. In </w:t>
      </w:r>
      <w:r w:rsidR="00067443" w:rsidRPr="00067443">
        <w:t xml:space="preserve">Appendix </w:t>
      </w:r>
      <w:r w:rsidR="00067443" w:rsidRPr="00067443">
        <w:fldChar w:fldCharType="begin"/>
      </w:r>
      <w:r w:rsidR="00067443" w:rsidRPr="00067443">
        <w:instrText xml:space="preserve"> REF _Ref451328655 \r \h </w:instrText>
      </w:r>
      <w:r w:rsidR="00067443" w:rsidRPr="00067443">
        <w:fldChar w:fldCharType="separate"/>
      </w:r>
      <w:r w:rsidR="000230CB">
        <w:t>H</w:t>
      </w:r>
      <w:r w:rsidR="00067443" w:rsidRPr="00067443">
        <w:fldChar w:fldCharType="end"/>
      </w:r>
      <w:r w:rsidRPr="00114691">
        <w:t>,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w:t>
      </w:r>
    </w:p>
    <w:p w:rsidR="00114691" w:rsidRPr="00114691" w:rsidRDefault="00114691" w:rsidP="00114691">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114691">
        <w:t>his may undermine confidence in the predictability of the regulatory arrangements and lead to an inefficient increase in financing costs (all else being equal).</w:t>
      </w:r>
      <w:r w:rsidRPr="00114691">
        <w:rPr>
          <w:rStyle w:val="FootnoteReference"/>
        </w:rPr>
        <w:footnoteReference w:id="414"/>
      </w:r>
      <w:r w:rsidRPr="00114691">
        <w:t xml:space="preserve"> This is consistent with SFG's advice to the AEMC that:</w:t>
      </w:r>
      <w:r w:rsidRPr="00114691">
        <w:rPr>
          <w:rStyle w:val="FootnoteReference"/>
        </w:rPr>
        <w:footnoteReference w:id="415"/>
      </w:r>
    </w:p>
    <w:p w:rsidR="00114691" w:rsidRPr="008D3474" w:rsidRDefault="00114691" w:rsidP="00114691">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114691" w:rsidRPr="00114691" w:rsidRDefault="00114691" w:rsidP="00114691">
      <w:pPr>
        <w:pStyle w:val="AERbulletlistfirststyle"/>
      </w:pPr>
      <w:r>
        <w:t>I</w:t>
      </w:r>
      <w:r w:rsidRPr="00114691">
        <w:t>ncentives on service providers to adopt efficient financing practices (and thereby minimise their long run cost of capital all else being equal) under the regulatory regime may be undermined.</w:t>
      </w:r>
      <w:r w:rsidRPr="00114691">
        <w:rPr>
          <w:rStyle w:val="FootnoteReference"/>
        </w:rPr>
        <w:footnoteReference w:id="416"/>
      </w:r>
      <w:r w:rsidRPr="00114691">
        <w:t xml:space="preserve"> For instance, by allowing service providers to bear the consequences (or reap the benefits) of their actions from prior access arrangement periods, this incentivises them to efficiently manage financial risk.</w:t>
      </w:r>
    </w:p>
    <w:p w:rsidR="00114691" w:rsidRDefault="00114691" w:rsidP="00114691">
      <w:pPr>
        <w:pStyle w:val="HeadingItalic"/>
      </w:pPr>
      <w:r>
        <w:t>Hybrid transitions will not contribute to the achievement of the ARORO</w:t>
      </w:r>
    </w:p>
    <w:p w:rsidR="00114691" w:rsidRDefault="00114691" w:rsidP="00114691">
      <w:pPr>
        <w:rPr>
          <w:rStyle w:val="AERbody"/>
        </w:rPr>
      </w:pPr>
      <w:r>
        <w:rPr>
          <w:rStyle w:val="AERbody"/>
        </w:rPr>
        <w:t xml:space="preserve">As </w:t>
      </w:r>
      <w:r>
        <w:rPr>
          <w:rStyle w:val="AERbody"/>
        </w:rPr>
        <w:fldChar w:fldCharType="begin"/>
      </w:r>
      <w:r>
        <w:rPr>
          <w:rStyle w:val="AERbody"/>
        </w:rPr>
        <w:instrText xml:space="preserve"> REF  _Ref451174037 \* Lower \h </w:instrText>
      </w:r>
      <w:r>
        <w:rPr>
          <w:rStyle w:val="AERbody"/>
        </w:rPr>
      </w:r>
      <w:r>
        <w:rPr>
          <w:rStyle w:val="AERbody"/>
        </w:rPr>
        <w:fldChar w:fldCharType="separate"/>
      </w:r>
      <w:r w:rsidR="000230CB">
        <w:t xml:space="preserve">table </w:t>
      </w:r>
      <w:r w:rsidR="000230CB">
        <w:rPr>
          <w:noProof/>
        </w:rPr>
        <w:t>3</w:t>
      </w:r>
      <w:r w:rsidR="000230CB">
        <w:noBreakHyphen/>
      </w:r>
      <w:r w:rsidR="000230CB">
        <w:rPr>
          <w:noProof/>
        </w:rPr>
        <w:t>11</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the ARORO. For this reason, our analysis above on why immediately moving to a trailing average approach will not contribute to the achievement of the ARORO also applies to the hybrid transitions that service providers have proposed.</w:t>
      </w:r>
    </w:p>
    <w:p w:rsidR="00114691" w:rsidRDefault="00114691" w:rsidP="00114691">
      <w:pPr>
        <w:pStyle w:val="Caption"/>
        <w:rPr>
          <w:rStyle w:val="AERbody"/>
        </w:rPr>
      </w:pPr>
      <w:bookmarkStart w:id="83" w:name="_Ref451174037"/>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11</w:t>
      </w:r>
      <w:r w:rsidR="00527450">
        <w:rPr>
          <w:noProof/>
        </w:rPr>
        <w:fldChar w:fldCharType="end"/>
      </w:r>
      <w:bookmarkEnd w:id="83"/>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114691" w:rsidTr="00E10A41">
        <w:trPr>
          <w:cnfStyle w:val="100000000000" w:firstRow="1" w:lastRow="0" w:firstColumn="0" w:lastColumn="0" w:oddVBand="0" w:evenVBand="0" w:oddHBand="0" w:evenHBand="0" w:firstRowFirstColumn="0" w:firstRowLastColumn="0" w:lastRowFirstColumn="0" w:lastRowLastColumn="0"/>
        </w:trPr>
        <w:tc>
          <w:tcPr>
            <w:tcW w:w="2556" w:type="dxa"/>
          </w:tcPr>
          <w:p w:rsidR="00114691" w:rsidRPr="00114691" w:rsidRDefault="00114691" w:rsidP="00114691">
            <w:r>
              <w:t>Form of transition</w:t>
            </w:r>
          </w:p>
        </w:tc>
        <w:tc>
          <w:tcPr>
            <w:tcW w:w="3089" w:type="dxa"/>
          </w:tcPr>
          <w:p w:rsidR="00114691" w:rsidRPr="00114691" w:rsidRDefault="00114691" w:rsidP="00114691">
            <w:r>
              <w:t>Revenue-neutral t</w:t>
            </w:r>
            <w:r w:rsidRPr="00114691">
              <w:t>ransition by updating 10% per year over 10 years</w:t>
            </w:r>
          </w:p>
        </w:tc>
        <w:tc>
          <w:tcPr>
            <w:tcW w:w="3048" w:type="dxa"/>
          </w:tcPr>
          <w:p w:rsidR="00114691" w:rsidRPr="00114691" w:rsidRDefault="00114691" w:rsidP="00114691">
            <w:r>
              <w:t>Immediately move to a trailing average approach</w:t>
            </w:r>
          </w:p>
        </w:tc>
      </w:tr>
      <w:tr w:rsidR="00114691" w:rsidTr="00E10A41">
        <w:tc>
          <w:tcPr>
            <w:tcW w:w="2556" w:type="dxa"/>
          </w:tcPr>
          <w:p w:rsidR="00114691" w:rsidRPr="00114691" w:rsidRDefault="00114691" w:rsidP="00114691">
            <w:r>
              <w:t>Full transition</w:t>
            </w:r>
          </w:p>
        </w:tc>
        <w:tc>
          <w:tcPr>
            <w:tcW w:w="3089" w:type="dxa"/>
          </w:tcPr>
          <w:p w:rsidR="00114691" w:rsidRPr="00114691" w:rsidRDefault="00114691" w:rsidP="00114691">
            <w:r>
              <w:t>100% of base rate + DRP</w:t>
            </w:r>
          </w:p>
        </w:tc>
        <w:tc>
          <w:tcPr>
            <w:tcW w:w="3048" w:type="dxa"/>
          </w:tcPr>
          <w:p w:rsidR="00114691" w:rsidRPr="00114691" w:rsidRDefault="00114691" w:rsidP="00114691">
            <w:r>
              <w:t>-</w:t>
            </w:r>
          </w:p>
        </w:tc>
      </w:tr>
      <w:tr w:rsidR="00114691" w:rsidTr="00E10A41">
        <w:trPr>
          <w:cnfStyle w:val="000000010000" w:firstRow="0" w:lastRow="0" w:firstColumn="0" w:lastColumn="0" w:oddVBand="0" w:evenVBand="0" w:oddHBand="0" w:evenHBand="1" w:firstRowFirstColumn="0" w:firstRowLastColumn="0" w:lastRowFirstColumn="0" w:lastRowLastColumn="0"/>
        </w:trPr>
        <w:tc>
          <w:tcPr>
            <w:tcW w:w="2556" w:type="dxa"/>
          </w:tcPr>
          <w:p w:rsidR="00114691" w:rsidRDefault="00114691" w:rsidP="00114691">
            <w:r>
              <w:t>Hybrid transition</w:t>
            </w:r>
          </w:p>
        </w:tc>
        <w:tc>
          <w:tcPr>
            <w:tcW w:w="3089" w:type="dxa"/>
          </w:tcPr>
          <w:p w:rsidR="00114691" w:rsidRPr="00114691" w:rsidRDefault="00114691" w:rsidP="00114691">
            <w:r>
              <w:t>100% of b</w:t>
            </w:r>
            <w:r w:rsidRPr="00114691">
              <w:t xml:space="preserve">ase rate </w:t>
            </w:r>
          </w:p>
        </w:tc>
        <w:tc>
          <w:tcPr>
            <w:tcW w:w="3048" w:type="dxa"/>
          </w:tcPr>
          <w:p w:rsidR="00114691" w:rsidRPr="00843751" w:rsidRDefault="00114691" w:rsidP="00114691">
            <w:r w:rsidRPr="00843751">
              <w:t>DRP</w:t>
            </w:r>
          </w:p>
        </w:tc>
      </w:tr>
      <w:tr w:rsidR="00114691" w:rsidTr="00E10A41">
        <w:tc>
          <w:tcPr>
            <w:tcW w:w="2556" w:type="dxa"/>
          </w:tcPr>
          <w:p w:rsidR="00114691" w:rsidRDefault="00114691" w:rsidP="00114691">
            <w:r>
              <w:t>Hybrid transition under partial hedging</w:t>
            </w:r>
          </w:p>
        </w:tc>
        <w:tc>
          <w:tcPr>
            <w:tcW w:w="3089" w:type="dxa"/>
          </w:tcPr>
          <w:p w:rsidR="00114691" w:rsidRPr="00114691" w:rsidRDefault="00114691" w:rsidP="00114691">
            <w:r>
              <w:t>1/3 of b</w:t>
            </w:r>
            <w:r w:rsidRPr="00114691">
              <w:t xml:space="preserve">ase rate </w:t>
            </w:r>
          </w:p>
        </w:tc>
        <w:tc>
          <w:tcPr>
            <w:tcW w:w="3048" w:type="dxa"/>
          </w:tcPr>
          <w:p w:rsidR="00114691" w:rsidRPr="00114691" w:rsidRDefault="00114691" w:rsidP="00114691">
            <w:r>
              <w:t>2/3 of b</w:t>
            </w:r>
            <w:r w:rsidRPr="00114691">
              <w:t>ase rate + DRP</w:t>
            </w:r>
          </w:p>
        </w:tc>
      </w:tr>
      <w:tr w:rsidR="00114691" w:rsidTr="00E10A41">
        <w:trPr>
          <w:cnfStyle w:val="000000010000" w:firstRow="0" w:lastRow="0" w:firstColumn="0" w:lastColumn="0" w:oddVBand="0" w:evenVBand="0" w:oddHBand="0" w:evenHBand="1" w:firstRowFirstColumn="0" w:firstRowLastColumn="0" w:lastRowFirstColumn="0" w:lastRowLastColumn="0"/>
        </w:trPr>
        <w:tc>
          <w:tcPr>
            <w:tcW w:w="2556" w:type="dxa"/>
          </w:tcPr>
          <w:p w:rsidR="00114691" w:rsidRDefault="00114691" w:rsidP="00114691">
            <w:r>
              <w:t>No transition</w:t>
            </w:r>
          </w:p>
        </w:tc>
        <w:tc>
          <w:tcPr>
            <w:tcW w:w="3089" w:type="dxa"/>
          </w:tcPr>
          <w:p w:rsidR="00114691" w:rsidRPr="00114691" w:rsidRDefault="00114691" w:rsidP="00114691">
            <w:r>
              <w:t>-</w:t>
            </w:r>
          </w:p>
        </w:tc>
        <w:tc>
          <w:tcPr>
            <w:tcW w:w="3048" w:type="dxa"/>
          </w:tcPr>
          <w:p w:rsidR="00114691" w:rsidRPr="00114691" w:rsidRDefault="00114691" w:rsidP="00114691">
            <w:r>
              <w:t>100% of b</w:t>
            </w:r>
            <w:r w:rsidRPr="00114691">
              <w:t>ase rate + DRP</w:t>
            </w:r>
          </w:p>
        </w:tc>
      </w:tr>
    </w:tbl>
    <w:p w:rsidR="00114691" w:rsidRDefault="00114691" w:rsidP="00114691">
      <w:pPr>
        <w:pStyle w:val="AERtablesource"/>
      </w:pPr>
      <w:r>
        <w:t>Source: AER analysis.</w:t>
      </w:r>
    </w:p>
    <w:p w:rsidR="00114691" w:rsidRPr="00785554" w:rsidRDefault="00114691" w:rsidP="00114691">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114691" w:rsidRPr="00785554" w:rsidRDefault="00114691" w:rsidP="00114691">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17"/>
      </w:r>
    </w:p>
    <w:p w:rsidR="00114691" w:rsidRPr="00785554" w:rsidRDefault="00114691" w:rsidP="00114691">
      <w:r>
        <w:t xml:space="preserve">Further, we </w:t>
      </w:r>
      <w:r w:rsidRPr="00785554">
        <w:t>consider that we have appropriately compensated investors for the risks they faced when we set the allowed return on debt using the on-the-day approach. This is because:</w:t>
      </w:r>
    </w:p>
    <w:p w:rsidR="00114691" w:rsidRPr="00114691" w:rsidRDefault="00114691" w:rsidP="00114691">
      <w:pPr>
        <w:pStyle w:val="AERbulletlistfirststyle"/>
      </w:pPr>
      <w:r>
        <w:t xml:space="preserve">We have set the allowed return on debt using the on-the-day approach </w:t>
      </w:r>
      <w:r w:rsidRPr="00114691">
        <w:t>for many years.</w:t>
      </w:r>
      <w:r w:rsidRPr="00114691">
        <w:rPr>
          <w:rStyle w:val="FootnoteReference"/>
        </w:rPr>
        <w:footnoteReference w:id="418"/>
      </w:r>
      <w:r w:rsidRPr="00114691">
        <w:t xml:space="preserve"> As such, when we applied the on-the-day approach, investors in a benchmark efficient entity would have expected us to reset the return on debt at the start of each access arrangement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114691" w:rsidRPr="00114691" w:rsidRDefault="00114691" w:rsidP="00114691">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114691">
        <w:rPr>
          <w:rStyle w:val="FootnoteReference"/>
        </w:rPr>
        <w:footnoteReference w:id="419"/>
      </w:r>
    </w:p>
    <w:p w:rsidR="00114691" w:rsidRDefault="00114691" w:rsidP="00114691">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0"/>
      </w:r>
    </w:p>
    <w:p w:rsidR="00114691" w:rsidRDefault="00114691" w:rsidP="00114691">
      <w:pPr>
        <w:pStyle w:val="HeadingBoldItalic"/>
      </w:pPr>
      <w:r>
        <w:t>General problems with using approaches based on historical data</w:t>
      </w:r>
    </w:p>
    <w:p w:rsidR="00114691" w:rsidRPr="009F3831" w:rsidRDefault="00114691" w:rsidP="00114691">
      <w:r>
        <w:t>Both the immediate and hybrid forms of transition to the trailing average rely on using historical data</w:t>
      </w:r>
      <w:r w:rsidRPr="009F3831">
        <w:t xml:space="preserve"> to estimate the allowed return on debt. We consider this has the following problems:</w:t>
      </w:r>
    </w:p>
    <w:p w:rsidR="00114691" w:rsidRPr="00114691" w:rsidRDefault="00114691" w:rsidP="00114691">
      <w:pPr>
        <w:pStyle w:val="AERbulletlistfirststyle"/>
      </w:pPr>
      <w:r>
        <w:t xml:space="preserve">All of these transition paths would produce a return on debt allowance that effectively removes </w:t>
      </w:r>
      <w:r w:rsidRPr="00114691">
        <w:t xml:space="preserve">interest rate risk (to at least some extent) incurred in prior access arrangement periods. A benchmark efficient entity was required to bear and manage this risk under the on-the-day approach. As such, these transition paths alter the service providers' historic risk profiles </w:t>
      </w:r>
      <w:r w:rsidRPr="00114691">
        <w:rPr>
          <w:rStyle w:val="AERtextunderline"/>
        </w:rPr>
        <w:t>after</w:t>
      </w:r>
      <w:r w:rsidRPr="00114691">
        <w:t xml:space="preserve"> they have made decisions on how to manage their financial risk.</w:t>
      </w:r>
    </w:p>
    <w:p w:rsidR="00114691" w:rsidRPr="00114691" w:rsidRDefault="00114691" w:rsidP="00114691">
      <w:pPr>
        <w:pStyle w:val="AERbulletlistfirststyle"/>
      </w:pPr>
      <w:r>
        <w:t>C</w:t>
      </w:r>
      <w:r w:rsidRPr="00114691">
        <w:t>hoosing an approach that uses historical data after parties already know the results of that historical data has the potential to bias regulatory decisions. In our recent draft decisions, we explained that when parties (whether they be service providers, the Tribunal, or ourselves) choose historical averaging periods, the knowledge of the return on debt at any past point may influence the choice.</w:t>
      </w:r>
      <w:r w:rsidRPr="00114691">
        <w:rPr>
          <w:rStyle w:val="FootnoteReference"/>
        </w:rPr>
        <w:footnoteReference w:id="421"/>
      </w:r>
      <w:r w:rsidRPr="00114691">
        <w:t xml:space="preserve"> For example, if a service provider could select an averaging period by looking at historical yields, it could introduce an upward bias.</w:t>
      </w:r>
      <w:r w:rsidRPr="00114691">
        <w:rPr>
          <w:rStyle w:val="AERsuperscript"/>
        </w:rPr>
        <w:footnoteReference w:id="422"/>
      </w:r>
      <w:r w:rsidRPr="00114691">
        <w:t xml:space="preserve"> This is one of  the reasons why, when recommending a gradual transition into the trailing average approach, QTC stated:</w:t>
      </w:r>
      <w:r w:rsidR="00E33504" w:rsidRPr="0027558F">
        <w:rPr>
          <w:rStyle w:val="AERsuperscript"/>
        </w:rPr>
        <w:footnoteReference w:id="423"/>
      </w:r>
    </w:p>
    <w:p w:rsidR="00114691" w:rsidRPr="0027558F" w:rsidRDefault="00114691" w:rsidP="00114691">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p>
    <w:p w:rsidR="00114691" w:rsidRDefault="00114691" w:rsidP="00114691">
      <w:r>
        <w:t>In our draft decision, we observed there are practical problems with using historical data dating back nine years.</w:t>
      </w:r>
      <w:r>
        <w:rPr>
          <w:rStyle w:val="FootnoteReference"/>
        </w:rPr>
        <w:footnoteReference w:id="424"/>
      </w:r>
      <w:r>
        <w:t xml:space="preserve"> In particular,</w:t>
      </w:r>
      <w:r w:rsidRPr="00756A0D">
        <w:t xml:space="preserve"> </w:t>
      </w:r>
      <w:r>
        <w:t>high quality and readily available historical data is unavailable for the DRP component of the return on debt.</w:t>
      </w:r>
      <w:r>
        <w:rPr>
          <w:rStyle w:val="FootnoteReference"/>
        </w:rPr>
        <w:footnoteReference w:id="425"/>
      </w:r>
      <w:r w:rsidRPr="00756A0D">
        <w:t xml:space="preserve"> </w:t>
      </w:r>
      <w:r>
        <w:t>There</w:t>
      </w:r>
      <w:r w:rsidRPr="00756A0D">
        <w:t xml:space="preserve"> is </w:t>
      </w:r>
      <w:r>
        <w:t xml:space="preserve">also </w:t>
      </w:r>
      <w:r w:rsidRPr="00756A0D">
        <w:t xml:space="preserve">no consensus among service providers on how to estimate the historical </w:t>
      </w:r>
      <w:r w:rsidR="00E214F6">
        <w:t>DRP</w:t>
      </w:r>
      <w:r w:rsidRPr="00756A0D">
        <w:t>.</w:t>
      </w:r>
      <w:r>
        <w:t xml:space="preserve"> Moreover, the </w:t>
      </w:r>
      <w:r w:rsidRPr="00756A0D">
        <w:t>results of the different data series vary considerably</w:t>
      </w:r>
      <w:r>
        <w:t xml:space="preserve"> with Lally observing:</w:t>
      </w:r>
      <w:r>
        <w:rPr>
          <w:rStyle w:val="FootnoteReference"/>
        </w:rPr>
        <w:footnoteReference w:id="426"/>
      </w:r>
    </w:p>
    <w:p w:rsidR="00114691" w:rsidRDefault="00114691" w:rsidP="00114691">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785836" w:rsidRDefault="00785836" w:rsidP="00785836">
      <w:pPr>
        <w:pStyle w:val="HeadingBoldBlue"/>
      </w:pPr>
      <w:r>
        <w:t>Implementing the return on debt approach</w:t>
      </w:r>
    </w:p>
    <w:p w:rsidR="00230C56" w:rsidRPr="00230C56" w:rsidRDefault="00230C56" w:rsidP="00230C56">
      <w:r w:rsidRPr="00230C56">
        <w:t>In the previous section, we set out our approach to estimating the allowed return on debt. This approach involves estimating an on-the-day rate (</w:t>
      </w:r>
      <w:r w:rsidR="00E33504">
        <w:t>that is,</w:t>
      </w:r>
      <w:r w:rsidRPr="00230C56">
        <w:t xml:space="preserve"> based on prevailing market conditions) in the first regulatory year of the new period. It also involves gradually transitioning this rate into a trailing average approach (</w:t>
      </w:r>
      <w:r w:rsidR="00E33504">
        <w:t>that is,</w:t>
      </w:r>
      <w:r w:rsidRPr="00230C56">
        <w:t xml:space="preserve"> a moving historical average) over 10 years. This gradual transition will occur through updating 10 per cent of the allowed return on debt each year to reflect prevailing market conditions during the particular service provider's averaging period for that year.</w:t>
      </w:r>
    </w:p>
    <w:p w:rsidR="00230C56" w:rsidRPr="00230C56" w:rsidRDefault="00230C56" w:rsidP="00230C56">
      <w:r w:rsidRPr="00230C56">
        <w:t>In this section, we set out our considerations on the implementation issues associated with estimating the allowed return on debt approach. These issues are:</w:t>
      </w:r>
    </w:p>
    <w:p w:rsidR="00230C56" w:rsidRPr="00230C56" w:rsidRDefault="00230C56" w:rsidP="00230C56">
      <w:pPr>
        <w:pStyle w:val="AERbulletlistfirststyle"/>
      </w:pPr>
      <w:r w:rsidRPr="00230C56">
        <w:t>the term of debt issued by a benchmark efficient entity</w:t>
      </w:r>
    </w:p>
    <w:p w:rsidR="00230C56" w:rsidRPr="00230C56" w:rsidRDefault="00230C56" w:rsidP="00230C56">
      <w:pPr>
        <w:pStyle w:val="AERbulletlistfirststyle"/>
      </w:pPr>
      <w:r w:rsidRPr="00230C56">
        <w:t>the credit rating of a benchmark efficient entity</w:t>
      </w:r>
    </w:p>
    <w:p w:rsidR="00230C56" w:rsidRPr="00230C56" w:rsidRDefault="00230C56" w:rsidP="00230C56">
      <w:pPr>
        <w:pStyle w:val="AERbulletlistfirststyle"/>
      </w:pPr>
      <w:r w:rsidRPr="00230C56">
        <w:t>whether to use an independent third party data series or to construct our own data series (for example, based on an index of actual industry borrowing costs)</w:t>
      </w:r>
    </w:p>
    <w:p w:rsidR="00230C56" w:rsidRPr="00230C56" w:rsidRDefault="00230C56" w:rsidP="00230C56">
      <w:pPr>
        <w:pStyle w:val="AERbulletlistfirststyle"/>
      </w:pPr>
      <w:r w:rsidRPr="00230C56">
        <w:t>the choice of third party data series (or combination of data series) to estimate the efficient debt financing costs of a benchmark efficient entity, based on the benchmark debt term and benchmark credit rating</w:t>
      </w:r>
    </w:p>
    <w:p w:rsidR="00230C56" w:rsidRPr="00230C56" w:rsidRDefault="00230C56" w:rsidP="00230C56">
      <w:pPr>
        <w:pStyle w:val="AERbulletlistfirststyle"/>
      </w:pPr>
      <w:r w:rsidRPr="00230C56">
        <w:t>extrapolation and interpolation issues with adjusting our choice of data series</w:t>
      </w:r>
    </w:p>
    <w:p w:rsidR="00230C56" w:rsidRDefault="00230C56" w:rsidP="00230C56">
      <w:pPr>
        <w:pStyle w:val="AERbulletlistfirststyle"/>
      </w:pPr>
      <w:r w:rsidRPr="00230C56">
        <w:t xml:space="preserve">contingencies associated with implementing our choice of data series, if the data series we have chosen to estimate the return on debt are unavailable or change in future regulatory years during the </w:t>
      </w:r>
      <w:r w:rsidR="00A56F1B">
        <w:t>access arrangement</w:t>
      </w:r>
      <w:r w:rsidRPr="00230C56">
        <w:t xml:space="preserve"> period</w:t>
      </w:r>
    </w:p>
    <w:p w:rsidR="00E33504" w:rsidRPr="00230C56" w:rsidRDefault="00E33504" w:rsidP="00230C56">
      <w:pPr>
        <w:pStyle w:val="AERbulletlistfirststyle"/>
      </w:pPr>
      <w:r>
        <w:t>whether we should provide an uplift to our estimate of the return on debt for a 'new issue premium'</w:t>
      </w:r>
    </w:p>
    <w:p w:rsidR="00230C56" w:rsidRPr="00230C56" w:rsidRDefault="00230C56" w:rsidP="00230C56">
      <w:pPr>
        <w:pStyle w:val="AERbulletlistfirststyle"/>
      </w:pPr>
      <w:r w:rsidRPr="00230C56">
        <w:t>the averaging period used to estimate the return on debt for each regulatory year</w:t>
      </w:r>
    </w:p>
    <w:p w:rsidR="00230C56" w:rsidRPr="00230C56" w:rsidRDefault="00230C56" w:rsidP="00230C56">
      <w:pPr>
        <w:pStyle w:val="AERbulletlistfirststyle"/>
      </w:pPr>
      <w:r w:rsidRPr="00230C56">
        <w:t>the annual process to update the return on debt</w:t>
      </w:r>
      <w:r w:rsidR="00E33504">
        <w:t>.</w:t>
      </w:r>
    </w:p>
    <w:p w:rsidR="00230C56" w:rsidRPr="00230C56" w:rsidRDefault="00230C56" w:rsidP="00230C56">
      <w:r w:rsidRPr="00230C56">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230C56" w:rsidRPr="00230C56" w:rsidRDefault="00230C56" w:rsidP="00230C56">
      <w:r w:rsidRPr="00230C56">
        <w:t xml:space="preserve">In choosing that third party series (or combination of series), we are satisfied that adopting a simple average of the broad BBB rated </w:t>
      </w:r>
      <w:r w:rsidR="00753256">
        <w:t>RBA</w:t>
      </w:r>
      <w:r w:rsidRPr="00230C56">
        <w:t xml:space="preserve"> and Bloomberg Valuation Service (BVAL) curves, with the RBA data series extrapolated to a 10 year term, is commensurate with the efficient financing costs of a benchmark efficient entity.</w:t>
      </w:r>
    </w:p>
    <w:p w:rsidR="00230C56" w:rsidRDefault="00230C56" w:rsidP="00230C56">
      <w:pPr>
        <w:pStyle w:val="HeadingBoldItalic"/>
      </w:pPr>
      <w:r w:rsidRPr="00230C56">
        <w:t>Term</w:t>
      </w:r>
    </w:p>
    <w:p w:rsidR="00E943F9" w:rsidRPr="001B05B2" w:rsidRDefault="00E943F9" w:rsidP="00E943F9">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27"/>
      </w:r>
      <w:r>
        <w:t xml:space="preserve"> This is also the position we adopted in our draft decision for AGN.</w:t>
      </w:r>
      <w:r>
        <w:rPr>
          <w:rStyle w:val="FootnoteReference"/>
        </w:rPr>
        <w:footnoteReference w:id="428"/>
      </w:r>
    </w:p>
    <w:p w:rsidR="00E943F9" w:rsidRDefault="00E943F9" w:rsidP="00E943F9">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29"/>
      </w:r>
      <w:r>
        <w:t xml:space="preserve"> This is consistent with their initial regulatory proposals</w:t>
      </w:r>
      <w:r w:rsidRPr="001B05B2">
        <w:t>.</w:t>
      </w:r>
      <w:r>
        <w:rPr>
          <w:rStyle w:val="FootnoteReference"/>
        </w:rPr>
        <w:footnoteReference w:id="430"/>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1"/>
      </w:r>
    </w:p>
    <w:p w:rsidR="00E943F9" w:rsidRDefault="00E943F9" w:rsidP="00E943F9">
      <w:r>
        <w:t>However, the Consumer Challenge Panel (CCP) has submitted that a seven year term is more suitable given our evidence on the weighted average bond tenor of service providers.</w:t>
      </w:r>
      <w:r>
        <w:rPr>
          <w:rStyle w:val="FootnoteReference"/>
        </w:rPr>
        <w:footnoteReference w:id="432"/>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3"/>
      </w:r>
      <w:r>
        <w:t xml:space="preserve"> Our view on this submission is:</w:t>
      </w:r>
    </w:p>
    <w:p w:rsidR="00E943F9" w:rsidRDefault="00E943F9" w:rsidP="00E943F9">
      <w:pPr>
        <w:pStyle w:val="AERbulletlistfirststyle"/>
      </w:pPr>
      <w:r>
        <w:t>We agree that our decision to adopt a 10 year term for the return on debt could be characterised as 'conservative' given this</w:t>
      </w:r>
      <w:r w:rsidRPr="001B05B2">
        <w:t xml:space="preserve"> </w:t>
      </w:r>
      <w:r>
        <w:t>i</w:t>
      </w:r>
      <w:r w:rsidRPr="001B05B2">
        <w:t>s more likely to overstate</w:t>
      </w:r>
      <w:r>
        <w:t xml:space="preserve"> rather</w:t>
      </w:r>
      <w:r w:rsidRPr="001B05B2">
        <w:t xml:space="preserve"> than understate the debt term o</w:t>
      </w:r>
      <w:r>
        <w:t>f a benchmark efficient entity.</w:t>
      </w:r>
      <w:r>
        <w:rPr>
          <w:rStyle w:val="FootnoteReference"/>
        </w:rPr>
        <w:footnoteReference w:id="434"/>
      </w:r>
      <w:r w:rsidRPr="00717FF1">
        <w:t xml:space="preserve"> </w:t>
      </w:r>
      <w:r>
        <w:t>It is worth noting that</w:t>
      </w:r>
      <w:r w:rsidRPr="000239AB">
        <w:t xml:space="preserve"> some service providers have previously submitted that they did not agree this assessment.</w:t>
      </w:r>
      <w:r w:rsidRPr="000239AB">
        <w:rPr>
          <w:rStyle w:val="FootnoteReference"/>
        </w:rPr>
        <w:footnoteReference w:id="435"/>
      </w:r>
      <w:r w:rsidRPr="000239AB">
        <w:t xml:space="preserve"> We responded to these submissions in our most recent </w:t>
      </w:r>
      <w:r>
        <w:t>draft</w:t>
      </w:r>
      <w:r w:rsidRPr="000239AB">
        <w:t xml:space="preserve"> decisions</w:t>
      </w:r>
      <w:r w:rsidRPr="00F035A0">
        <w:t xml:space="preserve"> </w:t>
      </w:r>
      <w:r>
        <w:t>and reinforced our finding that the</w:t>
      </w:r>
      <w:r w:rsidRPr="000239AB">
        <w:t xml:space="preserve"> industry average term</w:t>
      </w:r>
      <w:r>
        <w:t xml:space="preserve"> for the return on debt is 8.7 years</w:t>
      </w:r>
      <w:r w:rsidRPr="000239AB">
        <w:t>.</w:t>
      </w:r>
      <w:r w:rsidRPr="000239AB">
        <w:rPr>
          <w:rStyle w:val="FootnoteReference"/>
        </w:rPr>
        <w:footnoteReference w:id="436"/>
      </w:r>
      <w:r>
        <w:t xml:space="preserve"> While several of the revised proposals </w:t>
      </w:r>
      <w:r w:rsidRPr="000239AB">
        <w:t>current</w:t>
      </w:r>
      <w:r>
        <w:t>ly</w:t>
      </w:r>
      <w:r w:rsidRPr="000239AB">
        <w:t xml:space="preserve"> before us</w:t>
      </w:r>
      <w:r>
        <w:t xml:space="preserve"> reiterated this disagreement, these did not provide new</w:t>
      </w:r>
      <w:r w:rsidRPr="000239AB">
        <w:t xml:space="preserve"> </w:t>
      </w:r>
      <w:r>
        <w:t xml:space="preserve">supporting </w:t>
      </w:r>
      <w:r w:rsidRPr="000239AB">
        <w:t>information</w:t>
      </w:r>
      <w:r>
        <w:t>.</w:t>
      </w:r>
      <w:r w:rsidRPr="000239AB">
        <w:rPr>
          <w:rStyle w:val="FootnoteReference"/>
        </w:rPr>
        <w:footnoteReference w:id="437"/>
      </w:r>
      <w:r w:rsidRPr="000239AB">
        <w:t xml:space="preserve"> As such, we have no re</w:t>
      </w:r>
      <w:r>
        <w:t xml:space="preserve">ason to depart from our positon or reasons in </w:t>
      </w:r>
      <w:r w:rsidRPr="000239AB">
        <w:t xml:space="preserve">our most recent </w:t>
      </w:r>
      <w:r>
        <w:t xml:space="preserve">draft </w:t>
      </w:r>
      <w:r w:rsidRPr="000239AB">
        <w:t>decisions.</w:t>
      </w:r>
    </w:p>
    <w:p w:rsidR="00E943F9" w:rsidRDefault="00E943F9" w:rsidP="00E943F9">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Pr>
          <w:rStyle w:val="FootnoteReference"/>
        </w:rPr>
        <w:footnoteReference w:id="438"/>
      </w:r>
      <w:r>
        <w:t xml:space="preserve"> As such, in forming this decision, we have considered the allowed rate of return holistically and have taken into account interrelationships between parameters</w:t>
      </w:r>
      <w:r w:rsidRPr="001C40BE">
        <w:t xml:space="preserve"> </w:t>
      </w:r>
      <w:r>
        <w:t>(see section 3.6.3). Having done this, we are satisfied that our allowed rate of return achieves the ARORO.</w:t>
      </w:r>
    </w:p>
    <w:p w:rsidR="00E943F9" w:rsidRPr="001B05B2" w:rsidRDefault="00E943F9" w:rsidP="00E943F9">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E943F9" w:rsidRPr="00830DB6" w:rsidRDefault="00E943F9" w:rsidP="00E943F9">
      <w:pPr>
        <w:pStyle w:val="AERbulletlistfirststyle"/>
      </w:pPr>
      <w:r w:rsidRPr="001B05B2">
        <w:t xml:space="preserve">A long debt tenor is consistent with the long lived assets of </w:t>
      </w:r>
      <w:r w:rsidRPr="00830DB6">
        <w:t>a benchmark efficient entity and reduces refinancing risk.</w:t>
      </w:r>
    </w:p>
    <w:p w:rsidR="00E943F9" w:rsidRPr="00830DB6" w:rsidRDefault="00E943F9" w:rsidP="00E943F9">
      <w:pPr>
        <w:pStyle w:val="AERbulletlistfirststyle"/>
      </w:pPr>
      <w:r w:rsidRPr="001B05B2">
        <w:t>A 10 year term is similar to (though somewhat longer than) the industry average term at issuance of a sample of firms that are comparable to the benchmark efficient entity.</w:t>
      </w:r>
    </w:p>
    <w:p w:rsidR="00E943F9" w:rsidRPr="001B05B2" w:rsidRDefault="00E943F9" w:rsidP="00E943F9">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E943F9" w:rsidRPr="00230C56" w:rsidRDefault="00E943F9" w:rsidP="00E943F9">
      <w:r w:rsidRPr="001B05B2">
        <w:t>For that reason, in our Guideline, we requested information from a range of privately owned service providers on the amount, type, term and credit rating of their debt issuances.</w:t>
      </w:r>
      <w:r>
        <w:rPr>
          <w:rStyle w:val="FootnoteReference"/>
        </w:rPr>
        <w:footnoteReference w:id="439"/>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0"/>
      </w:r>
    </w:p>
    <w:p w:rsidR="00230C56" w:rsidRDefault="00230C56" w:rsidP="00230C56">
      <w:pPr>
        <w:pStyle w:val="HeadingBoldItalic"/>
      </w:pPr>
      <w:r w:rsidRPr="00230C56">
        <w:t>Credit rating</w:t>
      </w:r>
    </w:p>
    <w:p w:rsidR="00E943F9" w:rsidRDefault="00E943F9" w:rsidP="00E943F9">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w:t>
      </w:r>
      <w:r>
        <w:rPr>
          <w:rStyle w:val="FootnoteReference"/>
        </w:rPr>
        <w:footnoteReference w:id="441"/>
      </w:r>
      <w:r w:rsidR="00E33504">
        <w:t xml:space="preserve"> </w:t>
      </w:r>
      <w:r>
        <w:t>We also applied this credit rating to recent decisions that were upheld before the Tribunal.</w:t>
      </w:r>
      <w:r>
        <w:rPr>
          <w:rStyle w:val="FootnoteReference"/>
        </w:rPr>
        <w:footnoteReference w:id="442"/>
      </w:r>
    </w:p>
    <w:p w:rsidR="00E943F9" w:rsidRDefault="00E943F9" w:rsidP="00E943F9">
      <w:r>
        <w:t>In current regulatory processes, different service providers, consultants and other stakeholders have proposed different credit ratings for the benchmark efficient entity. In particular:</w:t>
      </w:r>
    </w:p>
    <w:p w:rsidR="00E943F9" w:rsidRPr="00813C5D" w:rsidRDefault="00E943F9" w:rsidP="00E943F9">
      <w:pPr>
        <w:pStyle w:val="AERbulletlistfirststyle"/>
      </w:pPr>
      <w:r>
        <w:t>CitiPower</w:t>
      </w:r>
      <w:r w:rsidRPr="00813C5D">
        <w:t>, Powercor, AusNet Services</w:t>
      </w:r>
      <w:r>
        <w:t xml:space="preserve"> distribution</w:t>
      </w:r>
      <w:r w:rsidRPr="00813C5D">
        <w:t xml:space="preserve"> and ActewAGL proposed a credit rating of BBB to BBB+.</w:t>
      </w:r>
      <w:r w:rsidRPr="00813C5D">
        <w:rPr>
          <w:rStyle w:val="FootnoteReference"/>
        </w:rPr>
        <w:footnoteReference w:id="443"/>
      </w:r>
    </w:p>
    <w:p w:rsidR="00E943F9" w:rsidRPr="00813C5D" w:rsidRDefault="00E943F9" w:rsidP="00E943F9">
      <w:pPr>
        <w:pStyle w:val="AERbulletlistfirststyle"/>
      </w:pPr>
      <w:r>
        <w:t xml:space="preserve">Jemena </w:t>
      </w:r>
      <w:r w:rsidRPr="00813C5D">
        <w:t>and AGN accepted our benchmark credit rating of BBB+, but submitted that the evidence supported a BBB to BBB+ credit rating.</w:t>
      </w:r>
      <w:r w:rsidRPr="00813C5D">
        <w:rPr>
          <w:rStyle w:val="FootnoteReference"/>
        </w:rPr>
        <w:footnoteReference w:id="444"/>
      </w:r>
    </w:p>
    <w:p w:rsidR="00E943F9" w:rsidRDefault="00E943F9" w:rsidP="00E943F9">
      <w:pPr>
        <w:pStyle w:val="AERbulletlistfirststyle"/>
      </w:pPr>
      <w:r>
        <w:t>United Energy and AusNet Services transmission submitted a BBB rating.</w:t>
      </w:r>
      <w:r w:rsidRPr="00813C5D">
        <w:rPr>
          <w:rStyle w:val="FootnoteReference"/>
        </w:rPr>
        <w:footnoteReference w:id="445"/>
      </w:r>
      <w:r w:rsidRPr="00813C5D">
        <w:t xml:space="preserve"> </w:t>
      </w:r>
      <w:r w:rsidRPr="00655628">
        <w:t>APT Pipelines (NT) Pty Ltd</w:t>
      </w:r>
      <w:r>
        <w:t xml:space="preserve"> </w:t>
      </w:r>
      <w:r w:rsidRPr="00813C5D">
        <w:t>initially submitted a BBB rating, but did not address benchmark credit rating in its revised proposal.</w:t>
      </w:r>
      <w:r w:rsidRPr="00813C5D">
        <w:rPr>
          <w:rStyle w:val="FootnoteReference"/>
        </w:rPr>
        <w:footnoteReference w:id="446"/>
      </w:r>
    </w:p>
    <w:p w:rsidR="00E943F9" w:rsidRPr="00813C5D" w:rsidRDefault="00E943F9" w:rsidP="00E943F9">
      <w:pPr>
        <w:pStyle w:val="AERbulletlistfirststyle"/>
      </w:pPr>
      <w:r>
        <w:t>Powerlink transmission and TasNetworks distribution applied the BBB+ credit rating in the Guideline.</w:t>
      </w:r>
      <w:r>
        <w:rPr>
          <w:rStyle w:val="FootnoteReference"/>
        </w:rPr>
        <w:footnoteReference w:id="447"/>
      </w:r>
    </w:p>
    <w:p w:rsidR="00E943F9" w:rsidRDefault="00E943F9" w:rsidP="00E943F9">
      <w:r>
        <w:t>Service providers with revised proposals currently before us did not submit any new consultant reports on the benchmark credit rating. However, the consultant reports we received previously were mixed. For instance:</w:t>
      </w:r>
    </w:p>
    <w:p w:rsidR="00E943F9" w:rsidRPr="00813C5D" w:rsidRDefault="00E943F9" w:rsidP="00E943F9">
      <w:pPr>
        <w:pStyle w:val="AERbulletlistfirststyle"/>
      </w:pPr>
      <w:r>
        <w:t>NERA and Houston Kemp (commissioned by TransGrid in a recent regulatory process) recommended a BBB+ credit rating</w:t>
      </w:r>
      <w:r w:rsidRPr="00813C5D">
        <w:t>.</w:t>
      </w:r>
      <w:r w:rsidRPr="00813C5D">
        <w:rPr>
          <w:rStyle w:val="FootnoteReference"/>
        </w:rPr>
        <w:footnoteReference w:id="448"/>
      </w:r>
    </w:p>
    <w:p w:rsidR="00E943F9" w:rsidRPr="00813C5D" w:rsidRDefault="00E943F9" w:rsidP="00E943F9">
      <w:pPr>
        <w:pStyle w:val="AERbulletlistfirststyle"/>
      </w:pPr>
      <w:r>
        <w:t xml:space="preserve">Several service providers and </w:t>
      </w:r>
      <w:r w:rsidRPr="00813C5D">
        <w:t>CEG (commissioned by several service providers) recommended a BBB credit rating.</w:t>
      </w:r>
      <w:r w:rsidRPr="00813C5D">
        <w:rPr>
          <w:rStyle w:val="FootnoteReference"/>
        </w:rPr>
        <w:footnoteReference w:id="449"/>
      </w:r>
    </w:p>
    <w:p w:rsidR="00E943F9" w:rsidRPr="00813C5D" w:rsidRDefault="00E943F9" w:rsidP="00E943F9">
      <w:pPr>
        <w:pStyle w:val="AERbulletlistfirststyle"/>
      </w:pPr>
      <w:r>
        <w:t>Lally (commissioned by us) and the South Australian Centre for Economic Studies (SACES) recommended a credit rating for energy networks of BBB to BBB+</w:t>
      </w:r>
      <w:r w:rsidRPr="00813C5D">
        <w:t>.</w:t>
      </w:r>
      <w:r w:rsidRPr="00813C5D">
        <w:rPr>
          <w:rStyle w:val="FootnoteReference"/>
        </w:rPr>
        <w:footnoteReference w:id="450"/>
      </w:r>
    </w:p>
    <w:p w:rsidR="00E943F9" w:rsidRDefault="00E943F9" w:rsidP="00E943F9">
      <w:r>
        <w:t>In contrast, consumer groups generally submitted the benchmark credit rating of BBB+ was too low. For instance:</w:t>
      </w:r>
    </w:p>
    <w:p w:rsidR="00E943F9" w:rsidRPr="00813C5D" w:rsidRDefault="00E943F9" w:rsidP="00E943F9">
      <w:pPr>
        <w:pStyle w:val="AERbulletlistfirststyle"/>
      </w:pPr>
      <w:r>
        <w:t xml:space="preserve">The Chamber of Commerce and Industry Queensland (CCIQ) </w:t>
      </w:r>
      <w:r w:rsidRPr="00813C5D">
        <w:t>and Energy Consumers Coalition of South Australia (ECCSA) submitted that credit ratings of BBB and BBB+ are too low.</w:t>
      </w:r>
      <w:r w:rsidRPr="00813C5D">
        <w:rPr>
          <w:rStyle w:val="FootnoteReference"/>
        </w:rPr>
        <w:footnoteReference w:id="451"/>
      </w:r>
      <w:r w:rsidRPr="003B2C38">
        <w:t xml:space="preserve"> </w:t>
      </w:r>
      <w:r>
        <w:t>ECCSA specifically noted this was the case given benchmark firms' gearing levels.</w:t>
      </w:r>
      <w:r>
        <w:rPr>
          <w:rStyle w:val="FootnoteReference"/>
        </w:rPr>
        <w:footnoteReference w:id="452"/>
      </w:r>
    </w:p>
    <w:p w:rsidR="00E943F9" w:rsidRPr="00813C5D" w:rsidRDefault="00E943F9" w:rsidP="00E943F9">
      <w:pPr>
        <w:pStyle w:val="AERbulletlistfirststyle"/>
      </w:pPr>
      <w:r>
        <w:t xml:space="preserve">The Victorian Energy Consumer and User Alliance (VECUA) referred to an analysis by the Energy Users Rule Change Committee (EURCC) in 2011 to support their view </w:t>
      </w:r>
      <w:r w:rsidRPr="00813C5D">
        <w:t>that we should recognise or have regard to service providers' actual credit ratings.</w:t>
      </w:r>
      <w:r w:rsidRPr="00813C5D">
        <w:rPr>
          <w:rStyle w:val="FootnoteReference"/>
        </w:rPr>
        <w:footnoteReference w:id="453"/>
      </w:r>
      <w:r w:rsidRPr="00813C5D">
        <w:t xml:space="preserve"> </w:t>
      </w:r>
      <w:r>
        <w:t>VECUA submitted that</w:t>
      </w:r>
      <w:r w:rsidRPr="001314DA">
        <w:t xml:space="preserve"> </w:t>
      </w:r>
      <w:r>
        <w:t>we provide higher debt allowances than appropriate by basing these</w:t>
      </w:r>
      <w:r w:rsidRPr="001314DA">
        <w:t xml:space="preserve"> </w:t>
      </w:r>
      <w:r>
        <w:t xml:space="preserve">on </w:t>
      </w:r>
      <w:r w:rsidRPr="00D92C61">
        <w:t>credit ratings</w:t>
      </w:r>
      <w:r>
        <w:t xml:space="preserve"> that are </w:t>
      </w:r>
      <w:r w:rsidRPr="00D92C61">
        <w:t>lower than service providers' actual credit ratings.</w:t>
      </w:r>
      <w:r w:rsidRPr="00D92C61">
        <w:rPr>
          <w:rStyle w:val="FootnoteReference"/>
        </w:rPr>
        <w:footnoteReference w:id="454"/>
      </w:r>
      <w:r w:rsidRPr="00D92C61">
        <w:t xml:space="preserve"> </w:t>
      </w:r>
      <w:r>
        <w:t xml:space="preserve"> Further, VECUA also submitted that by using debt in a broad BBB band to estimate the allowed return on debt, the debt allowance we provide is </w:t>
      </w:r>
      <w:r w:rsidRPr="00D92C61">
        <w:t>predominantly based on more expensive debt ratings.</w:t>
      </w:r>
      <w:r w:rsidRPr="00D92C61">
        <w:rPr>
          <w:rStyle w:val="FootnoteReference"/>
        </w:rPr>
        <w:footnoteReference w:id="455"/>
      </w:r>
      <w:r w:rsidRPr="00D92C61">
        <w:t xml:space="preserve"> </w:t>
      </w:r>
      <w:r>
        <w:t>We note that several service providers disagreed with this submission.</w:t>
      </w:r>
      <w:r>
        <w:rPr>
          <w:rStyle w:val="FootnoteReference"/>
        </w:rPr>
        <w:footnoteReference w:id="456"/>
      </w:r>
    </w:p>
    <w:p w:rsidR="00E943F9" w:rsidRPr="00813C5D" w:rsidRDefault="00E943F9" w:rsidP="00E943F9">
      <w:pPr>
        <w:pStyle w:val="AERbulletlistfirststyle"/>
      </w:pPr>
      <w:r>
        <w:t>The CCP submitted that we should account for the difference between service providers actual cost of debt and the BBB benchmark so the allowance better reflects service providers' actual debt costs.</w:t>
      </w:r>
      <w:r w:rsidRPr="00813C5D">
        <w:rPr>
          <w:rStyle w:val="FootnoteReference"/>
        </w:rPr>
        <w:footnoteReference w:id="457"/>
      </w:r>
    </w:p>
    <w:p w:rsidR="00E943F9" w:rsidRPr="00E46612" w:rsidRDefault="00E943F9" w:rsidP="00E943F9">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58"/>
      </w:r>
      <w:r w:rsidRPr="00E46612">
        <w:t xml:space="preserve"> We consider this is more consistent with incentive regulation than basing our allowance for individual service providers on their actual credit ratings or actual historical costs of debt.</w:t>
      </w:r>
    </w:p>
    <w:p w:rsidR="00E943F9" w:rsidRPr="007B3953" w:rsidRDefault="00E943F9" w:rsidP="00E943F9">
      <w:r w:rsidRPr="007B3953">
        <w:t xml:space="preserve">In our </w:t>
      </w:r>
      <w:r>
        <w:t>draft</w:t>
      </w:r>
      <w:r w:rsidRPr="007B3953">
        <w:t xml:space="preserve"> 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E943F9" w:rsidRPr="00813C5D" w:rsidRDefault="00E943F9" w:rsidP="00E943F9">
      <w:pPr>
        <w:pStyle w:val="AERbulletlistfirststyle"/>
      </w:pPr>
      <w:r w:rsidRPr="007B3953">
        <w:t>Whether the current industry median is BBB+ or BBB (raised by service providers).</w:t>
      </w:r>
      <w:r w:rsidRPr="00813C5D">
        <w:rPr>
          <w:rStyle w:val="FootnoteReference"/>
        </w:rPr>
        <w:footnoteReference w:id="459"/>
      </w:r>
    </w:p>
    <w:p w:rsidR="00E943F9" w:rsidRPr="00813C5D" w:rsidRDefault="00E943F9" w:rsidP="00E943F9">
      <w:pPr>
        <w:pStyle w:val="AERbulletlistfirststyle"/>
      </w:pPr>
      <w:r w:rsidRPr="007B3953">
        <w:t>The length of the period used to estimate the industry median (raised by service providers).</w:t>
      </w:r>
      <w:r w:rsidRPr="00813C5D">
        <w:rPr>
          <w:rStyle w:val="FootnoteReference"/>
        </w:rPr>
        <w:footnoteReference w:id="460"/>
      </w:r>
    </w:p>
    <w:p w:rsidR="00E943F9" w:rsidRPr="00813C5D" w:rsidRDefault="00E943F9" w:rsidP="00E943F9">
      <w:pPr>
        <w:pStyle w:val="AERbulletlistfirststyle"/>
      </w:pPr>
      <w:r w:rsidRPr="007B3953">
        <w:t>Whether we should exclude certain businesses from the comparator set used to estimate the industry median.</w:t>
      </w:r>
      <w:r w:rsidRPr="00813C5D">
        <w:rPr>
          <w:rStyle w:val="FootnoteReference"/>
        </w:rPr>
        <w:footnoteReference w:id="461"/>
      </w:r>
    </w:p>
    <w:p w:rsidR="00E943F9" w:rsidRDefault="00E943F9" w:rsidP="00E943F9">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2"/>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3"/>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4"/>
      </w:r>
      <w:r>
        <w:t xml:space="preserve"> </w:t>
      </w:r>
      <w:r w:rsidRPr="007B3953">
        <w:t>For our supporting analysis</w:t>
      </w:r>
      <w:r>
        <w:t xml:space="preserve">, </w:t>
      </w:r>
      <w:r w:rsidRPr="007B3953">
        <w:t xml:space="preserve">see our </w:t>
      </w:r>
      <w:r>
        <w:t>draft</w:t>
      </w:r>
      <w:r w:rsidRPr="007B3953">
        <w:t xml:space="preserve"> decision.</w:t>
      </w:r>
      <w:r w:rsidRPr="007B3953">
        <w:rPr>
          <w:rStyle w:val="FootnoteReference"/>
        </w:rPr>
        <w:footnoteReference w:id="465"/>
      </w:r>
    </w:p>
    <w:p w:rsidR="00E943F9" w:rsidRPr="007B3953" w:rsidRDefault="00E943F9" w:rsidP="00E943F9">
      <w:pPr>
        <w:pStyle w:val="HeadingItalic"/>
      </w:pPr>
      <w:r>
        <w:t>Update of empirical evidence</w:t>
      </w:r>
    </w:p>
    <w:p w:rsidR="00E943F9" w:rsidRPr="008E3CDC" w:rsidRDefault="00E943F9" w:rsidP="00E943F9">
      <w:r>
        <w:t>Consistent with our estimate in</w:t>
      </w:r>
      <w:r w:rsidRPr="008E3CDC">
        <w:t xml:space="preserve"> </w:t>
      </w:r>
      <w:r>
        <w:t xml:space="preserve">the </w:t>
      </w:r>
      <w:r w:rsidRPr="008E3CDC">
        <w:t xml:space="preserve">Guideline and </w:t>
      </w:r>
      <w:r>
        <w:t xml:space="preserve">draft </w:t>
      </w:r>
      <w:r w:rsidRPr="008E3CDC">
        <w:t>decision</w:t>
      </w:r>
      <w:r>
        <w:t>, we have had regard to empirical evidence in applying a benchmark credit rating of BBB+</w:t>
      </w:r>
      <w:r w:rsidRPr="008E3CDC">
        <w:t>.</w:t>
      </w:r>
      <w:r w:rsidRPr="008E3CDC">
        <w:rPr>
          <w:rStyle w:val="FootnoteReference"/>
        </w:rPr>
        <w:footnoteReference w:id="466"/>
      </w:r>
      <w:r w:rsidRPr="008E3CDC">
        <w:t xml:space="preserve"> </w:t>
      </w:r>
    </w:p>
    <w:p w:rsidR="00E943F9" w:rsidRDefault="00E943F9" w:rsidP="00E943F9">
      <w:r>
        <w:fldChar w:fldCharType="begin"/>
      </w:r>
      <w:r>
        <w:instrText xml:space="preserve"> REF _Ref450564632 \h </w:instrText>
      </w:r>
      <w:r>
        <w:fldChar w:fldCharType="separate"/>
      </w:r>
      <w:r w:rsidR="000230CB">
        <w:t xml:space="preserve">Table </w:t>
      </w:r>
      <w:r w:rsidR="000230CB">
        <w:rPr>
          <w:noProof/>
        </w:rPr>
        <w:t>3</w:t>
      </w:r>
      <w:r w:rsidR="000230CB">
        <w:noBreakHyphen/>
      </w:r>
      <w:r w:rsidR="000230CB">
        <w:rPr>
          <w:noProof/>
        </w:rPr>
        <w:t>12</w:t>
      </w:r>
      <w:r>
        <w:fldChar w:fldCharType="end"/>
      </w:r>
      <w:r>
        <w:t xml:space="preserve"> sets out the median credit rating over historical periods of progressively longer length. While </w:t>
      </w:r>
      <w:r>
        <w:fldChar w:fldCharType="begin"/>
      </w:r>
      <w:r>
        <w:instrText xml:space="preserve"> REF  _Ref450564632 \* Lower \h </w:instrText>
      </w:r>
      <w:r>
        <w:fldChar w:fldCharType="separate"/>
      </w:r>
      <w:r w:rsidR="000230CB">
        <w:t xml:space="preserve">table </w:t>
      </w:r>
      <w:r w:rsidR="000230CB">
        <w:rPr>
          <w:noProof/>
        </w:rPr>
        <w:t>3</w:t>
      </w:r>
      <w:r w:rsidR="000230CB">
        <w:noBreakHyphen/>
      </w:r>
      <w:r w:rsidR="000230CB">
        <w:rPr>
          <w:noProof/>
        </w:rPr>
        <w:t>12</w:t>
      </w:r>
      <w:r>
        <w:fldChar w:fldCharType="end"/>
      </w:r>
      <w:r>
        <w:t xml:space="preserve"> shows some support for a credit rating of BBB, we consider it shows stronger support for a credit rating of BBB+. </w:t>
      </w:r>
    </w:p>
    <w:p w:rsidR="00E943F9" w:rsidRDefault="00E943F9" w:rsidP="00E943F9">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467"/>
      </w:r>
    </w:p>
    <w:p w:rsidR="00E943F9" w:rsidRDefault="00E943F9" w:rsidP="00E943F9">
      <w:r>
        <w:t>For further analysis regarding median credit ratings over historical periods, refer to our past decisions.</w:t>
      </w:r>
      <w:r>
        <w:rPr>
          <w:rStyle w:val="FootnoteReference"/>
        </w:rPr>
        <w:footnoteReference w:id="468"/>
      </w:r>
    </w:p>
    <w:p w:rsidR="00E943F9" w:rsidRPr="00E41C8B" w:rsidRDefault="00E943F9" w:rsidP="00E943F9">
      <w:pPr>
        <w:pStyle w:val="Caption"/>
      </w:pPr>
      <w:bookmarkStart w:id="84" w:name="_Ref450564632"/>
      <w:r>
        <w:t>Table</w:t>
      </w:r>
      <w:r w:rsidR="008638C7">
        <w:t xml:space="preserv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12</w:t>
      </w:r>
      <w:r w:rsidR="00527450">
        <w:rPr>
          <w:noProof/>
        </w:rPr>
        <w:fldChar w:fldCharType="end"/>
      </w:r>
      <w:bookmarkEnd w:id="84"/>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E943F9" w:rsidRPr="00073F41" w:rsidTr="007E6AB8">
        <w:trPr>
          <w:cnfStyle w:val="100000000000" w:firstRow="1" w:lastRow="0" w:firstColumn="0" w:lastColumn="0" w:oddVBand="0" w:evenVBand="0" w:oddHBand="0" w:evenHBand="0" w:firstRowFirstColumn="0" w:firstRowLastColumn="0" w:lastRowFirstColumn="0" w:lastRowLastColumn="0"/>
        </w:trPr>
        <w:tc>
          <w:tcPr>
            <w:tcW w:w="2153" w:type="dxa"/>
          </w:tcPr>
          <w:p w:rsidR="00E943F9" w:rsidRPr="00E943F9" w:rsidRDefault="00E943F9" w:rsidP="008638C7">
            <w:r w:rsidRPr="00073F41">
              <w:t xml:space="preserve">Time </w:t>
            </w:r>
            <w:r w:rsidRPr="00E943F9">
              <w:t xml:space="preserve">period </w:t>
            </w:r>
          </w:p>
        </w:tc>
        <w:tc>
          <w:tcPr>
            <w:tcW w:w="2192" w:type="dxa"/>
          </w:tcPr>
          <w:p w:rsidR="00E943F9" w:rsidRPr="00E943F9" w:rsidRDefault="00E943F9" w:rsidP="008638C7">
            <w:r w:rsidRPr="00073F41">
              <w:t>Median credit rating</w:t>
            </w:r>
          </w:p>
        </w:tc>
        <w:tc>
          <w:tcPr>
            <w:tcW w:w="2155" w:type="dxa"/>
          </w:tcPr>
          <w:p w:rsidR="00E943F9" w:rsidRPr="00E943F9" w:rsidRDefault="00E943F9" w:rsidP="008638C7">
            <w:r w:rsidRPr="00073F41">
              <w:t>Time period</w:t>
            </w:r>
          </w:p>
        </w:tc>
        <w:tc>
          <w:tcPr>
            <w:tcW w:w="2193" w:type="dxa"/>
          </w:tcPr>
          <w:p w:rsidR="00E943F9" w:rsidRPr="00E943F9" w:rsidRDefault="00E943F9" w:rsidP="008638C7">
            <w:r w:rsidRPr="00073F41">
              <w:t>Median credit rating</w:t>
            </w:r>
          </w:p>
        </w:tc>
      </w:tr>
      <w:tr w:rsidR="00E943F9" w:rsidRPr="00073F41" w:rsidTr="007E6AB8">
        <w:trPr>
          <w:trHeight w:val="622"/>
        </w:trPr>
        <w:tc>
          <w:tcPr>
            <w:tcW w:w="2153" w:type="dxa"/>
          </w:tcPr>
          <w:p w:rsidR="00E943F9" w:rsidRPr="00E943F9" w:rsidRDefault="00E943F9" w:rsidP="008638C7">
            <w:r>
              <w:t xml:space="preserve">2015 </w:t>
            </w:r>
          </w:p>
        </w:tc>
        <w:tc>
          <w:tcPr>
            <w:tcW w:w="2192" w:type="dxa"/>
          </w:tcPr>
          <w:p w:rsidR="00E943F9" w:rsidRPr="00E943F9" w:rsidRDefault="00E943F9" w:rsidP="008638C7">
            <w:r w:rsidRPr="00073F41">
              <w:t>BBB+</w:t>
            </w:r>
          </w:p>
        </w:tc>
        <w:tc>
          <w:tcPr>
            <w:tcW w:w="2155" w:type="dxa"/>
          </w:tcPr>
          <w:p w:rsidR="00E943F9" w:rsidRPr="00E943F9" w:rsidRDefault="00E943F9" w:rsidP="008638C7">
            <w:r>
              <w:t>2010</w:t>
            </w:r>
            <w:r w:rsidRPr="00E943F9">
              <w:t>–2015</w:t>
            </w:r>
          </w:p>
        </w:tc>
        <w:tc>
          <w:tcPr>
            <w:tcW w:w="2193" w:type="dxa"/>
          </w:tcPr>
          <w:p w:rsidR="00E943F9" w:rsidRPr="00E943F9" w:rsidRDefault="00E943F9" w:rsidP="008638C7">
            <w:r w:rsidRPr="00073F41">
              <w:t>BBB</w:t>
            </w:r>
            <w:r w:rsidRPr="00E943F9">
              <w:t>/BBB+</w:t>
            </w:r>
          </w:p>
        </w:tc>
      </w:tr>
      <w:tr w:rsidR="00E943F9" w:rsidRPr="00073F41" w:rsidTr="007E6AB8">
        <w:trPr>
          <w:cnfStyle w:val="000000010000" w:firstRow="0" w:lastRow="0" w:firstColumn="0" w:lastColumn="0" w:oddVBand="0" w:evenVBand="0" w:oddHBand="0" w:evenHBand="1" w:firstRowFirstColumn="0" w:firstRowLastColumn="0" w:lastRowFirstColumn="0" w:lastRowLastColumn="0"/>
        </w:trPr>
        <w:tc>
          <w:tcPr>
            <w:tcW w:w="2153" w:type="dxa"/>
          </w:tcPr>
          <w:p w:rsidR="00E943F9" w:rsidRPr="00E943F9" w:rsidRDefault="00E943F9" w:rsidP="008638C7">
            <w:r>
              <w:t>2014–2015</w:t>
            </w:r>
          </w:p>
        </w:tc>
        <w:tc>
          <w:tcPr>
            <w:tcW w:w="2192" w:type="dxa"/>
          </w:tcPr>
          <w:p w:rsidR="00E943F9" w:rsidRPr="00E943F9" w:rsidRDefault="00E943F9" w:rsidP="008638C7">
            <w:r w:rsidRPr="00073F41">
              <w:t>BBB+</w:t>
            </w:r>
          </w:p>
        </w:tc>
        <w:tc>
          <w:tcPr>
            <w:tcW w:w="2155" w:type="dxa"/>
          </w:tcPr>
          <w:p w:rsidR="00E943F9" w:rsidRPr="00E943F9" w:rsidRDefault="00E943F9" w:rsidP="008638C7">
            <w:r>
              <w:t>2009–2015</w:t>
            </w:r>
          </w:p>
        </w:tc>
        <w:tc>
          <w:tcPr>
            <w:tcW w:w="2193" w:type="dxa"/>
          </w:tcPr>
          <w:p w:rsidR="00E943F9" w:rsidRPr="00E943F9" w:rsidRDefault="00E943F9" w:rsidP="008638C7">
            <w:r>
              <w:t>BBB</w:t>
            </w:r>
          </w:p>
        </w:tc>
      </w:tr>
      <w:tr w:rsidR="00E943F9" w:rsidRPr="00073F41" w:rsidTr="007E6AB8">
        <w:tc>
          <w:tcPr>
            <w:tcW w:w="2153" w:type="dxa"/>
          </w:tcPr>
          <w:p w:rsidR="00E943F9" w:rsidRPr="00E943F9" w:rsidRDefault="00E943F9" w:rsidP="008638C7">
            <w:r>
              <w:t>2013–2015</w:t>
            </w:r>
          </w:p>
        </w:tc>
        <w:tc>
          <w:tcPr>
            <w:tcW w:w="2192" w:type="dxa"/>
          </w:tcPr>
          <w:p w:rsidR="00E943F9" w:rsidRPr="00E943F9" w:rsidRDefault="00E943F9" w:rsidP="008638C7">
            <w:r w:rsidRPr="00073F41">
              <w:t>BBB+</w:t>
            </w:r>
          </w:p>
        </w:tc>
        <w:tc>
          <w:tcPr>
            <w:tcW w:w="2155" w:type="dxa"/>
          </w:tcPr>
          <w:p w:rsidR="00E943F9" w:rsidRPr="00E943F9" w:rsidRDefault="00E943F9" w:rsidP="008638C7">
            <w:r>
              <w:t>2008–2015</w:t>
            </w:r>
          </w:p>
        </w:tc>
        <w:tc>
          <w:tcPr>
            <w:tcW w:w="2193" w:type="dxa"/>
          </w:tcPr>
          <w:p w:rsidR="00E943F9" w:rsidRPr="00E943F9" w:rsidRDefault="00E943F9" w:rsidP="008638C7">
            <w:r>
              <w:t>BBB</w:t>
            </w:r>
            <w:r w:rsidRPr="00E943F9">
              <w:t>/BBB+</w:t>
            </w:r>
          </w:p>
        </w:tc>
      </w:tr>
      <w:tr w:rsidR="00E943F9" w:rsidRPr="00073F41" w:rsidTr="007E6AB8">
        <w:trPr>
          <w:cnfStyle w:val="000000010000" w:firstRow="0" w:lastRow="0" w:firstColumn="0" w:lastColumn="0" w:oddVBand="0" w:evenVBand="0" w:oddHBand="0" w:evenHBand="1" w:firstRowFirstColumn="0" w:firstRowLastColumn="0" w:lastRowFirstColumn="0" w:lastRowLastColumn="0"/>
        </w:trPr>
        <w:tc>
          <w:tcPr>
            <w:tcW w:w="2153" w:type="dxa"/>
          </w:tcPr>
          <w:p w:rsidR="00E943F9" w:rsidRPr="00E943F9" w:rsidRDefault="00E943F9" w:rsidP="008638C7">
            <w:r>
              <w:t>2012–2015</w:t>
            </w:r>
          </w:p>
        </w:tc>
        <w:tc>
          <w:tcPr>
            <w:tcW w:w="2192" w:type="dxa"/>
          </w:tcPr>
          <w:p w:rsidR="00E943F9" w:rsidRPr="00E943F9" w:rsidRDefault="00E943F9" w:rsidP="008638C7">
            <w:r w:rsidRPr="00073F41">
              <w:t>BBB</w:t>
            </w:r>
            <w:r w:rsidRPr="00E943F9">
              <w:t>/BBB+</w:t>
            </w:r>
          </w:p>
        </w:tc>
        <w:tc>
          <w:tcPr>
            <w:tcW w:w="2155" w:type="dxa"/>
          </w:tcPr>
          <w:p w:rsidR="00E943F9" w:rsidRPr="00E943F9" w:rsidRDefault="00E943F9" w:rsidP="008638C7">
            <w:r>
              <w:t>2007–2015</w:t>
            </w:r>
          </w:p>
        </w:tc>
        <w:tc>
          <w:tcPr>
            <w:tcW w:w="2193" w:type="dxa"/>
          </w:tcPr>
          <w:p w:rsidR="00E943F9" w:rsidRPr="00E943F9" w:rsidRDefault="00E943F9" w:rsidP="008638C7">
            <w:r>
              <w:t>BBB/</w:t>
            </w:r>
            <w:r w:rsidRPr="00E943F9">
              <w:t>BBB+</w:t>
            </w:r>
          </w:p>
        </w:tc>
      </w:tr>
      <w:tr w:rsidR="00E943F9" w:rsidRPr="00073F41" w:rsidTr="007E6AB8">
        <w:tc>
          <w:tcPr>
            <w:tcW w:w="2153" w:type="dxa"/>
          </w:tcPr>
          <w:p w:rsidR="00E943F9" w:rsidRPr="00E943F9" w:rsidRDefault="00E943F9" w:rsidP="008638C7">
            <w:r>
              <w:t>2011–2015</w:t>
            </w:r>
          </w:p>
        </w:tc>
        <w:tc>
          <w:tcPr>
            <w:tcW w:w="2192" w:type="dxa"/>
          </w:tcPr>
          <w:p w:rsidR="00E943F9" w:rsidRPr="00E943F9" w:rsidRDefault="00E943F9" w:rsidP="008638C7">
            <w:r>
              <w:t>BBB</w:t>
            </w:r>
            <w:r w:rsidRPr="00E943F9">
              <w:t>/BBB+</w:t>
            </w:r>
          </w:p>
        </w:tc>
        <w:tc>
          <w:tcPr>
            <w:tcW w:w="2155" w:type="dxa"/>
          </w:tcPr>
          <w:p w:rsidR="00E943F9" w:rsidRPr="00E943F9" w:rsidRDefault="00E943F9" w:rsidP="008638C7">
            <w:r>
              <w:t>2006–2015</w:t>
            </w:r>
          </w:p>
        </w:tc>
        <w:tc>
          <w:tcPr>
            <w:tcW w:w="2193" w:type="dxa"/>
          </w:tcPr>
          <w:p w:rsidR="00E943F9" w:rsidRPr="00E943F9" w:rsidRDefault="00E943F9" w:rsidP="008638C7">
            <w:r>
              <w:t>BBB/</w:t>
            </w:r>
            <w:r w:rsidRPr="00E943F9">
              <w:t>BBB+</w:t>
            </w:r>
          </w:p>
        </w:tc>
      </w:tr>
    </w:tbl>
    <w:p w:rsidR="00E943F9" w:rsidRDefault="00E943F9" w:rsidP="00E943F9">
      <w:pPr>
        <w:pStyle w:val="AERtablesource"/>
      </w:pPr>
      <w:r w:rsidRPr="00E41C8B">
        <w:t xml:space="preserve">Source: </w:t>
      </w:r>
      <w:r w:rsidRPr="00E41C8B">
        <w:tab/>
        <w:t>Bloomberg (S&amp;P), AER analysis.</w:t>
      </w:r>
      <w:r>
        <w:t xml:space="preserve"> </w:t>
      </w:r>
    </w:p>
    <w:p w:rsidR="00E943F9" w:rsidRDefault="00E943F9" w:rsidP="00E943F9">
      <w:r>
        <w:t>In our draft decision, we also set out the comparator set we use to estimate the industry median.</w:t>
      </w:r>
      <w:r>
        <w:rPr>
          <w:rStyle w:val="FootnoteReference"/>
        </w:rPr>
        <w:footnoteReference w:id="469"/>
      </w:r>
      <w:r>
        <w:t xml:space="preserve"> Since that time, Powercor Australia LLC and the CitiPower Trust now raise debt under a common funding vehicle, Victoria Power Networks (Finance) Pty Ltd.</w:t>
      </w:r>
      <w:r>
        <w:rPr>
          <w:rStyle w:val="FootnoteReference"/>
        </w:rPr>
        <w:footnoteReference w:id="470"/>
      </w:r>
      <w:r>
        <w:t xml:space="preserve"> We have added this common funding vehicle to our comparator set. </w:t>
      </w:r>
    </w:p>
    <w:p w:rsidR="00E943F9" w:rsidRDefault="00E943F9" w:rsidP="00E943F9">
      <w:r>
        <w:t xml:space="preserve">The yearly median credit ratings across our updated comparator set since the 2006 calendar year end are shown in </w:t>
      </w:r>
      <w:r>
        <w:fldChar w:fldCharType="begin"/>
      </w:r>
      <w:r>
        <w:instrText xml:space="preserve"> REF  _Ref450564664 \* Lower \h </w:instrText>
      </w:r>
      <w:r>
        <w:fldChar w:fldCharType="separate"/>
      </w:r>
      <w:r w:rsidR="000230CB">
        <w:t xml:space="preserve">table </w:t>
      </w:r>
      <w:r w:rsidR="000230CB">
        <w:rPr>
          <w:noProof/>
        </w:rPr>
        <w:t>3</w:t>
      </w:r>
      <w:r w:rsidR="000230CB">
        <w:noBreakHyphen/>
      </w:r>
      <w:r w:rsidR="000230CB">
        <w:rPr>
          <w:noProof/>
        </w:rPr>
        <w:t>13</w:t>
      </w:r>
      <w:r>
        <w:fldChar w:fldCharType="end"/>
      </w:r>
      <w:r>
        <w:t>.</w:t>
      </w:r>
    </w:p>
    <w:p w:rsidR="00E943F9" w:rsidRPr="00411A04" w:rsidRDefault="00E943F9" w:rsidP="00E943F9">
      <w:pPr>
        <w:pStyle w:val="Caption"/>
      </w:pPr>
      <w:bookmarkStart w:id="85" w:name="_Ref450564664"/>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13</w:t>
      </w:r>
      <w:r w:rsidR="00527450">
        <w:rPr>
          <w:noProof/>
        </w:rPr>
        <w:fldChar w:fldCharType="end"/>
      </w:r>
      <w:bookmarkEnd w:id="85"/>
      <w:r>
        <w:t xml:space="preserve"> 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E943F9" w:rsidRPr="007D3E67" w:rsidTr="00DB4FCE">
        <w:trPr>
          <w:cnfStyle w:val="100000000000" w:firstRow="1" w:lastRow="0" w:firstColumn="0" w:lastColumn="0" w:oddVBand="0" w:evenVBand="0" w:oddHBand="0" w:evenHBand="0" w:firstRowFirstColumn="0" w:firstRowLastColumn="0" w:lastRowFirstColumn="0" w:lastRowLastColumn="0"/>
          <w:tblHeader/>
        </w:trPr>
        <w:tc>
          <w:tcPr>
            <w:tcW w:w="870" w:type="pct"/>
          </w:tcPr>
          <w:p w:rsidR="00E943F9" w:rsidRPr="00E943F9" w:rsidRDefault="00E943F9" w:rsidP="008638C7">
            <w:r w:rsidRPr="007D3E67">
              <w:t>Issuer</w:t>
            </w:r>
          </w:p>
        </w:tc>
        <w:tc>
          <w:tcPr>
            <w:tcW w:w="422" w:type="pct"/>
          </w:tcPr>
          <w:p w:rsidR="00E943F9" w:rsidRPr="00E943F9" w:rsidRDefault="00E943F9" w:rsidP="008638C7">
            <w:r w:rsidRPr="007D3E67">
              <w:t>2006</w:t>
            </w:r>
          </w:p>
        </w:tc>
        <w:tc>
          <w:tcPr>
            <w:tcW w:w="422" w:type="pct"/>
          </w:tcPr>
          <w:p w:rsidR="00E943F9" w:rsidRPr="00E943F9" w:rsidRDefault="00E943F9" w:rsidP="008638C7">
            <w:r w:rsidRPr="007D3E67">
              <w:t>2007</w:t>
            </w:r>
          </w:p>
        </w:tc>
        <w:tc>
          <w:tcPr>
            <w:tcW w:w="422" w:type="pct"/>
          </w:tcPr>
          <w:p w:rsidR="00E943F9" w:rsidRPr="00E943F9" w:rsidRDefault="00E943F9" w:rsidP="008638C7">
            <w:r w:rsidRPr="007D3E67">
              <w:t>2008</w:t>
            </w:r>
          </w:p>
        </w:tc>
        <w:tc>
          <w:tcPr>
            <w:tcW w:w="422" w:type="pct"/>
          </w:tcPr>
          <w:p w:rsidR="00E943F9" w:rsidRPr="00E943F9" w:rsidRDefault="00E943F9" w:rsidP="008638C7">
            <w:r w:rsidRPr="007D3E67">
              <w:t>2009</w:t>
            </w:r>
          </w:p>
        </w:tc>
        <w:tc>
          <w:tcPr>
            <w:tcW w:w="393" w:type="pct"/>
          </w:tcPr>
          <w:p w:rsidR="00E943F9" w:rsidRPr="00E943F9" w:rsidRDefault="00E943F9" w:rsidP="008638C7">
            <w:r w:rsidRPr="007D3E67">
              <w:t>2010</w:t>
            </w:r>
          </w:p>
        </w:tc>
        <w:tc>
          <w:tcPr>
            <w:tcW w:w="393" w:type="pct"/>
          </w:tcPr>
          <w:p w:rsidR="00E943F9" w:rsidRPr="00E943F9" w:rsidRDefault="00E943F9" w:rsidP="008638C7">
            <w:r w:rsidRPr="007D3E67">
              <w:t>2011</w:t>
            </w:r>
          </w:p>
        </w:tc>
        <w:tc>
          <w:tcPr>
            <w:tcW w:w="393" w:type="pct"/>
          </w:tcPr>
          <w:p w:rsidR="00E943F9" w:rsidRPr="00E943F9" w:rsidRDefault="00E943F9" w:rsidP="008638C7">
            <w:r w:rsidRPr="007D3E67">
              <w:t>2012</w:t>
            </w:r>
          </w:p>
        </w:tc>
        <w:tc>
          <w:tcPr>
            <w:tcW w:w="422" w:type="pct"/>
          </w:tcPr>
          <w:p w:rsidR="00E943F9" w:rsidRPr="00E943F9" w:rsidRDefault="00E943F9" w:rsidP="008638C7">
            <w:r w:rsidRPr="007D3E67">
              <w:t>2013</w:t>
            </w:r>
          </w:p>
        </w:tc>
        <w:tc>
          <w:tcPr>
            <w:tcW w:w="422" w:type="pct"/>
          </w:tcPr>
          <w:p w:rsidR="00E943F9" w:rsidRPr="00E943F9" w:rsidRDefault="00E943F9" w:rsidP="008638C7">
            <w:r w:rsidRPr="007D3E67">
              <w:t xml:space="preserve">2014 </w:t>
            </w:r>
          </w:p>
        </w:tc>
        <w:tc>
          <w:tcPr>
            <w:tcW w:w="422" w:type="pct"/>
          </w:tcPr>
          <w:p w:rsidR="00E943F9" w:rsidRPr="00E943F9" w:rsidRDefault="00E943F9" w:rsidP="008638C7">
            <w:r>
              <w:t>2015</w:t>
            </w:r>
          </w:p>
        </w:tc>
      </w:tr>
      <w:tr w:rsidR="00E943F9" w:rsidRPr="007D3E67" w:rsidTr="007E6AB8">
        <w:tc>
          <w:tcPr>
            <w:tcW w:w="870" w:type="pct"/>
          </w:tcPr>
          <w:p w:rsidR="00E943F9" w:rsidRPr="00E943F9" w:rsidRDefault="00E943F9" w:rsidP="008638C7">
            <w:r w:rsidRPr="007D3E67">
              <w:t xml:space="preserve">APT Pipelines Ltd </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rsidRPr="007D3E67">
              <w:t xml:space="preserve">ATCO Gas Australian LP </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393" w:type="pct"/>
          </w:tcPr>
          <w:p w:rsidR="00E943F9" w:rsidRPr="00E943F9" w:rsidRDefault="00E943F9" w:rsidP="008638C7">
            <w:r w:rsidRPr="007D3E67">
              <w:t>NR</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t>A-</w:t>
            </w:r>
          </w:p>
        </w:tc>
      </w:tr>
      <w:tr w:rsidR="00E943F9" w:rsidRPr="007D3E67" w:rsidTr="007E6AB8">
        <w:tc>
          <w:tcPr>
            <w:tcW w:w="870" w:type="pct"/>
          </w:tcPr>
          <w:p w:rsidR="00E943F9" w:rsidRPr="00E943F9" w:rsidRDefault="00E943F9" w:rsidP="008638C7">
            <w:r w:rsidRPr="007D3E67">
              <w:t>DBNGP Trust</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rsidRPr="007D3E67">
              <w:t xml:space="preserve">DUET Group </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t>NR</w:t>
            </w:r>
          </w:p>
        </w:tc>
      </w:tr>
      <w:tr w:rsidR="00E943F9" w:rsidRPr="007D3E67" w:rsidTr="007E6AB8">
        <w:tc>
          <w:tcPr>
            <w:tcW w:w="870" w:type="pct"/>
          </w:tcPr>
          <w:p w:rsidR="00E943F9" w:rsidRPr="00E943F9" w:rsidRDefault="00E943F9" w:rsidP="008638C7">
            <w:r w:rsidRPr="007D3E67">
              <w:t>ElectraNet</w:t>
            </w:r>
            <w:r w:rsidRPr="00E943F9">
              <w:t xml:space="preserve"> Pty Ltd </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r w:rsidRPr="00E943F9">
              <w:t>+</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rsidRPr="007D3E67">
              <w:t xml:space="preserve">Energy </w:t>
            </w:r>
            <w:r w:rsidRPr="00E943F9">
              <w:t>Partnership (Gas) Pty Ltd</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c>
          <w:tcPr>
            <w:tcW w:w="870" w:type="pct"/>
          </w:tcPr>
          <w:p w:rsidR="00E943F9" w:rsidRPr="00E943F9" w:rsidRDefault="00E943F9" w:rsidP="008638C7">
            <w:r>
              <w:t>Australian Gas Networks</w:t>
            </w:r>
            <w:r w:rsidRPr="00E943F9">
              <w:t xml:space="preserve"> Ltd </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rsidRPr="007D3E67">
              <w:t>ETSA Utilities</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t>A-</w:t>
            </w:r>
          </w:p>
        </w:tc>
      </w:tr>
      <w:tr w:rsidR="00E943F9" w:rsidRPr="007D3E67" w:rsidTr="007E6AB8">
        <w:tc>
          <w:tcPr>
            <w:tcW w:w="870" w:type="pct"/>
          </w:tcPr>
          <w:p w:rsidR="00E943F9" w:rsidRPr="00E943F9" w:rsidRDefault="00E943F9" w:rsidP="008638C7">
            <w:r w:rsidRPr="007D3E67">
              <w:t>Powercor</w:t>
            </w:r>
            <w:r w:rsidRPr="00E943F9">
              <w:t xml:space="preserve"> Australia LLC</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200BFA">
              <w:t>N</w:t>
            </w:r>
            <w:r w:rsidRPr="00E943F9">
              <w:t>R</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t>AusNet Services</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t>A-</w:t>
            </w:r>
          </w:p>
        </w:tc>
      </w:tr>
      <w:tr w:rsidR="00E943F9" w:rsidRPr="007D3E67" w:rsidTr="007E6AB8">
        <w:tc>
          <w:tcPr>
            <w:tcW w:w="870" w:type="pct"/>
          </w:tcPr>
          <w:p w:rsidR="00E943F9" w:rsidRPr="00E943F9" w:rsidRDefault="00E943F9" w:rsidP="008638C7">
            <w:r>
              <w:t xml:space="preserve">SGSP </w:t>
            </w:r>
            <w:r w:rsidRPr="00E943F9">
              <w:t>Australia Assets Pty Ltd</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NR</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rsidRPr="007D3E67">
              <w:t xml:space="preserve">The CitiPower Trust </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422"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393" w:type="pct"/>
          </w:tcPr>
          <w:p w:rsidR="00E943F9" w:rsidRPr="00E943F9" w:rsidRDefault="00E943F9" w:rsidP="008638C7">
            <w:r w:rsidRPr="007D3E67">
              <w:t>A-</w:t>
            </w:r>
          </w:p>
        </w:tc>
        <w:tc>
          <w:tcPr>
            <w:tcW w:w="422" w:type="pct"/>
          </w:tcPr>
          <w:p w:rsidR="00E943F9" w:rsidRPr="00E943F9" w:rsidRDefault="00E943F9" w:rsidP="008638C7">
            <w:r>
              <w:t>BBB+</w:t>
            </w:r>
          </w:p>
        </w:tc>
        <w:tc>
          <w:tcPr>
            <w:tcW w:w="422" w:type="pct"/>
          </w:tcPr>
          <w:p w:rsidR="00E943F9" w:rsidRPr="00E943F9" w:rsidRDefault="00E943F9" w:rsidP="008638C7">
            <w:r>
              <w:t>BBB+</w:t>
            </w:r>
          </w:p>
        </w:tc>
        <w:tc>
          <w:tcPr>
            <w:tcW w:w="422" w:type="pct"/>
          </w:tcPr>
          <w:p w:rsidR="00E943F9" w:rsidRPr="00E943F9" w:rsidRDefault="00E943F9" w:rsidP="008638C7">
            <w:r>
              <w:t>NR</w:t>
            </w:r>
          </w:p>
        </w:tc>
      </w:tr>
      <w:tr w:rsidR="00E943F9" w:rsidRPr="007D3E67" w:rsidTr="007E6AB8">
        <w:tc>
          <w:tcPr>
            <w:tcW w:w="870" w:type="pct"/>
          </w:tcPr>
          <w:p w:rsidR="00E943F9" w:rsidRPr="00E943F9" w:rsidRDefault="00E943F9" w:rsidP="008638C7">
            <w:r w:rsidRPr="007D3E67">
              <w:t xml:space="preserve">United Energy Distribution </w:t>
            </w:r>
            <w:r w:rsidRPr="00E943F9">
              <w:t>Pty Ltd</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r w:rsidR="00E943F9" w:rsidRPr="007D3E67" w:rsidTr="007E6AB8">
        <w:trPr>
          <w:cnfStyle w:val="000000010000" w:firstRow="0" w:lastRow="0" w:firstColumn="0" w:lastColumn="0" w:oddVBand="0" w:evenVBand="0" w:oddHBand="0" w:evenHBand="1" w:firstRowFirstColumn="0" w:firstRowLastColumn="0" w:lastRowFirstColumn="0" w:lastRowLastColumn="0"/>
        </w:trPr>
        <w:tc>
          <w:tcPr>
            <w:tcW w:w="870" w:type="pct"/>
          </w:tcPr>
          <w:p w:rsidR="00E943F9" w:rsidRPr="00E943F9" w:rsidRDefault="00E943F9" w:rsidP="008638C7">
            <w:r>
              <w:t xml:space="preserve">Victoria </w:t>
            </w:r>
            <w:r w:rsidRPr="00E943F9">
              <w:t>Power Networks Pty Ltd</w:t>
            </w:r>
          </w:p>
        </w:tc>
        <w:tc>
          <w:tcPr>
            <w:tcW w:w="422" w:type="pct"/>
          </w:tcPr>
          <w:p w:rsidR="00E943F9" w:rsidRPr="00E943F9" w:rsidRDefault="00E943F9" w:rsidP="008638C7">
            <w:r>
              <w:t>NR</w:t>
            </w:r>
          </w:p>
        </w:tc>
        <w:tc>
          <w:tcPr>
            <w:tcW w:w="422" w:type="pct"/>
          </w:tcPr>
          <w:p w:rsidR="00E943F9" w:rsidRPr="00E943F9" w:rsidRDefault="00E943F9" w:rsidP="008638C7">
            <w:r>
              <w:t>NR</w:t>
            </w:r>
          </w:p>
        </w:tc>
        <w:tc>
          <w:tcPr>
            <w:tcW w:w="422" w:type="pct"/>
          </w:tcPr>
          <w:p w:rsidR="00E943F9" w:rsidRPr="00E943F9" w:rsidRDefault="00E943F9" w:rsidP="008638C7">
            <w:r>
              <w:t>NR</w:t>
            </w:r>
          </w:p>
        </w:tc>
        <w:tc>
          <w:tcPr>
            <w:tcW w:w="422" w:type="pct"/>
          </w:tcPr>
          <w:p w:rsidR="00E943F9" w:rsidRPr="00E943F9" w:rsidRDefault="00E943F9" w:rsidP="008638C7">
            <w:r>
              <w:t>NR</w:t>
            </w:r>
          </w:p>
        </w:tc>
        <w:tc>
          <w:tcPr>
            <w:tcW w:w="393" w:type="pct"/>
          </w:tcPr>
          <w:p w:rsidR="00E943F9" w:rsidRPr="00E943F9" w:rsidRDefault="00E943F9" w:rsidP="008638C7">
            <w:r>
              <w:t>NR</w:t>
            </w:r>
          </w:p>
        </w:tc>
        <w:tc>
          <w:tcPr>
            <w:tcW w:w="393" w:type="pct"/>
          </w:tcPr>
          <w:p w:rsidR="00E943F9" w:rsidRPr="00E943F9" w:rsidRDefault="00E943F9" w:rsidP="008638C7">
            <w:r>
              <w:t>NR</w:t>
            </w:r>
          </w:p>
        </w:tc>
        <w:tc>
          <w:tcPr>
            <w:tcW w:w="393" w:type="pct"/>
          </w:tcPr>
          <w:p w:rsidR="00E943F9" w:rsidRPr="00E943F9" w:rsidRDefault="00E943F9" w:rsidP="008638C7">
            <w:r>
              <w:t>NR</w:t>
            </w:r>
          </w:p>
        </w:tc>
        <w:tc>
          <w:tcPr>
            <w:tcW w:w="422" w:type="pct"/>
          </w:tcPr>
          <w:p w:rsidR="00E943F9" w:rsidRPr="00E943F9" w:rsidRDefault="00E943F9" w:rsidP="008638C7">
            <w:r>
              <w:t>NR</w:t>
            </w:r>
          </w:p>
        </w:tc>
        <w:tc>
          <w:tcPr>
            <w:tcW w:w="422" w:type="pct"/>
          </w:tcPr>
          <w:p w:rsidR="00E943F9" w:rsidRPr="00E943F9" w:rsidRDefault="00E943F9" w:rsidP="008638C7">
            <w:r>
              <w:t>NR</w:t>
            </w:r>
          </w:p>
        </w:tc>
        <w:tc>
          <w:tcPr>
            <w:tcW w:w="422" w:type="pct"/>
          </w:tcPr>
          <w:p w:rsidR="00E943F9" w:rsidRPr="00E943F9" w:rsidRDefault="00E943F9" w:rsidP="008638C7">
            <w:r>
              <w:t>BBB+</w:t>
            </w:r>
          </w:p>
        </w:tc>
      </w:tr>
      <w:tr w:rsidR="00E943F9" w:rsidRPr="007D3E67" w:rsidTr="007E6AB8">
        <w:tc>
          <w:tcPr>
            <w:tcW w:w="870" w:type="pct"/>
          </w:tcPr>
          <w:p w:rsidR="00E943F9" w:rsidRPr="00E943F9" w:rsidRDefault="00E943F9" w:rsidP="008638C7">
            <w:r w:rsidRPr="007D3E67">
              <w:t>Median (year)</w:t>
            </w:r>
          </w:p>
        </w:tc>
        <w:tc>
          <w:tcPr>
            <w:tcW w:w="422" w:type="pct"/>
          </w:tcPr>
          <w:p w:rsidR="00E943F9" w:rsidRPr="00E943F9" w:rsidRDefault="00E943F9" w:rsidP="008638C7">
            <w:r>
              <w:t xml:space="preserve">BBB/ </w:t>
            </w:r>
            <w:r w:rsidRPr="00E943F9">
              <w:t>BBB+</w:t>
            </w:r>
          </w:p>
        </w:tc>
        <w:tc>
          <w:tcPr>
            <w:tcW w:w="422" w:type="pct"/>
          </w:tcPr>
          <w:p w:rsidR="00E943F9" w:rsidRPr="00E943F9" w:rsidRDefault="00E943F9" w:rsidP="008638C7">
            <w:r>
              <w:t xml:space="preserve">BBB/ </w:t>
            </w:r>
            <w:r w:rsidRPr="00E943F9">
              <w:t>BBB+</w:t>
            </w:r>
          </w:p>
        </w:tc>
        <w:tc>
          <w:tcPr>
            <w:tcW w:w="422" w:type="pct"/>
          </w:tcPr>
          <w:p w:rsidR="00E943F9" w:rsidRPr="00E943F9" w:rsidRDefault="00E943F9" w:rsidP="008638C7">
            <w:r w:rsidRPr="007D3E67">
              <w:t>BBB+</w:t>
            </w:r>
          </w:p>
        </w:tc>
        <w:tc>
          <w:tcPr>
            <w:tcW w:w="422"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393" w:type="pct"/>
          </w:tcPr>
          <w:p w:rsidR="00E943F9" w:rsidRPr="00E943F9" w:rsidRDefault="00E943F9" w:rsidP="008638C7">
            <w:r w:rsidRPr="007D3E67">
              <w:t>BBB</w:t>
            </w:r>
          </w:p>
        </w:tc>
        <w:tc>
          <w:tcPr>
            <w:tcW w:w="422" w:type="pct"/>
          </w:tcPr>
          <w:p w:rsidR="00E943F9" w:rsidRPr="00E943F9" w:rsidRDefault="00E943F9" w:rsidP="008638C7">
            <w:r>
              <w:t>BBB/ BBB+</w:t>
            </w:r>
          </w:p>
        </w:tc>
        <w:tc>
          <w:tcPr>
            <w:tcW w:w="422" w:type="pct"/>
          </w:tcPr>
          <w:p w:rsidR="00E943F9" w:rsidRPr="00E943F9" w:rsidRDefault="00E943F9" w:rsidP="008638C7">
            <w:r w:rsidRPr="007D3E67">
              <w:t>BBB+</w:t>
            </w:r>
          </w:p>
        </w:tc>
        <w:tc>
          <w:tcPr>
            <w:tcW w:w="422" w:type="pct"/>
          </w:tcPr>
          <w:p w:rsidR="00E943F9" w:rsidRPr="00E943F9" w:rsidRDefault="00E943F9" w:rsidP="008638C7">
            <w:r>
              <w:t>BBB+</w:t>
            </w:r>
          </w:p>
        </w:tc>
      </w:tr>
    </w:tbl>
    <w:p w:rsidR="00E943F9" w:rsidRPr="00230C56" w:rsidRDefault="00E943F9" w:rsidP="00E943F9">
      <w:pPr>
        <w:pStyle w:val="AERtablesource"/>
      </w:pPr>
      <w:r w:rsidRPr="00411A04">
        <w:t>Source:</w:t>
      </w:r>
      <w:r w:rsidRPr="00411A04">
        <w:tab/>
        <w:t>Bloomberg</w:t>
      </w:r>
      <w:r>
        <w:t xml:space="preserve">, </w:t>
      </w:r>
      <w:r w:rsidRPr="00411A04">
        <w:t xml:space="preserve">Standard and Poor's, AER analysis. </w:t>
      </w:r>
    </w:p>
    <w:p w:rsidR="00230C56" w:rsidRPr="00230C56" w:rsidRDefault="00230C56" w:rsidP="00230C56">
      <w:pPr>
        <w:pStyle w:val="HeadingBoldItalic"/>
      </w:pPr>
      <w:r w:rsidRPr="00230C56">
        <w:t>Use of independent third party data series</w:t>
      </w:r>
    </w:p>
    <w:p w:rsidR="00230C56" w:rsidRPr="00230C56" w:rsidRDefault="00230C56" w:rsidP="00230C56">
      <w:pPr>
        <w:numPr>
          <w:ilvl w:val="0"/>
          <w:numId w:val="24"/>
        </w:numPr>
      </w:pPr>
      <w:r w:rsidRPr="00230C56">
        <w:t>Our decision is to estimate the return on debt by reference to an independent third party data series. Using third party data series is the same approach we proposed in the Guideline.</w:t>
      </w:r>
      <w:r w:rsidRPr="00230C56">
        <w:rPr>
          <w:rStyle w:val="AERsuperscript"/>
        </w:rPr>
        <w:footnoteReference w:id="471"/>
      </w:r>
    </w:p>
    <w:p w:rsidR="00230C56" w:rsidRPr="00230C56" w:rsidRDefault="00230C56" w:rsidP="00230C56">
      <w:pPr>
        <w:numPr>
          <w:ilvl w:val="0"/>
          <w:numId w:val="24"/>
        </w:numPr>
      </w:pPr>
      <w:r w:rsidRPr="00230C56">
        <w:t>Service providers with proposals currently before us all proposed using independent third party data series</w:t>
      </w:r>
      <w:r w:rsidRPr="00230C56" w:rsidDel="0079452F">
        <w:t xml:space="preserve"> </w:t>
      </w:r>
      <w:r w:rsidRPr="00230C56">
        <w:t>to estimate the return on debt, with the exception of United Energy. While United Energy stated its proposal is based only on independent third party data series, an examination of United Energy's proposed method reveals that this is not the case.</w:t>
      </w:r>
      <w:r w:rsidRPr="00230C56">
        <w:rPr>
          <w:rStyle w:val="FootnoteReference"/>
        </w:rPr>
        <w:footnoteReference w:id="472"/>
      </w:r>
    </w:p>
    <w:p w:rsidR="00230C56" w:rsidRPr="00230C56" w:rsidRDefault="00230C56" w:rsidP="00230C56">
      <w:pPr>
        <w:numPr>
          <w:ilvl w:val="0"/>
          <w:numId w:val="24"/>
        </w:numPr>
      </w:pPr>
      <w:r w:rsidRPr="00230C56">
        <w:t xml:space="preserve">We agree with the service providers that proposed to use independent third party data series to estimate the return on debt. We do not agree with United Energy's proposal which would require the AER to empirically derive its own yield curves, based on United Energy's proposed method of estimation, rather than using only yield curves sourced from independent third party providers. </w:t>
      </w:r>
    </w:p>
    <w:p w:rsidR="00230C56" w:rsidRPr="00230C56" w:rsidRDefault="00230C56" w:rsidP="00230C56">
      <w:pPr>
        <w:numPr>
          <w:ilvl w:val="0"/>
          <w:numId w:val="24"/>
        </w:numPr>
      </w:pPr>
      <w:r w:rsidRPr="00230C56">
        <w:t>The CCP and several other consumer groups raised our use of third party data service providers as an issue in several of the current or recent regulatory processes. For instance, the CCP recommended using service providers' actual borrowing costs as a reasonableness check and/or using an industry index based on actual borrowing costs.</w:t>
      </w:r>
      <w:r w:rsidRPr="00230C56">
        <w:rPr>
          <w:rStyle w:val="AERsuperscript"/>
        </w:rPr>
        <w:footnoteReference w:id="473"/>
      </w:r>
      <w:r w:rsidRPr="00230C56">
        <w:t xml:space="preserve"> </w:t>
      </w:r>
    </w:p>
    <w:p w:rsidR="00230C56" w:rsidRPr="00230C56" w:rsidRDefault="00230C56" w:rsidP="00230C56">
      <w:pPr>
        <w:numPr>
          <w:ilvl w:val="0"/>
          <w:numId w:val="24"/>
        </w:numPr>
      </w:pPr>
      <w:r w:rsidRPr="00230C56">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230C56" w:rsidRPr="00230C56" w:rsidRDefault="00230C56" w:rsidP="00230C56">
      <w:pPr>
        <w:pStyle w:val="AERbulletlistfirststyle"/>
      </w:pPr>
      <w:r w:rsidRPr="00230C56">
        <w:t>A third party data series can be practically applied in the annual debt update process—We discuss this point further below.</w:t>
      </w:r>
    </w:p>
    <w:p w:rsidR="00230C56" w:rsidRPr="00230C56" w:rsidRDefault="00230C56" w:rsidP="00230C56">
      <w:pPr>
        <w:pStyle w:val="AERbulletlistfirststyle"/>
      </w:pPr>
      <w:r w:rsidRPr="00230C56">
        <w:t>A third party data series is independent information developed by finance experts with access to financial datasets—These experts develop this independently from the regulatory process and for the use of market practitioners.</w:t>
      </w:r>
    </w:p>
    <w:p w:rsidR="00230C56" w:rsidRPr="00230C56" w:rsidRDefault="00230C56" w:rsidP="00230C56">
      <w:pPr>
        <w:pStyle w:val="AERbulletlistfirststyle"/>
      </w:pPr>
      <w:r w:rsidRPr="00230C56">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68661A">
        <w:t>ARORO</w:t>
      </w:r>
      <w:r w:rsidRPr="00230C56">
        <w:t>.</w:t>
      </w:r>
    </w:p>
    <w:p w:rsidR="00230C56" w:rsidRPr="00230C56" w:rsidRDefault="00230C56" w:rsidP="00230C56">
      <w:pPr>
        <w:pStyle w:val="AERbulletlistfirststyle"/>
      </w:pPr>
      <w:r w:rsidRPr="00230C56">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sidRPr="00230C56">
        <w:rPr>
          <w:rStyle w:val="FootnoteReference"/>
        </w:rPr>
        <w:footnoteReference w:id="474"/>
      </w:r>
      <w:r w:rsidRPr="00230C56">
        <w:t xml:space="preserve"> The Tribunal has found both approaches reasonable.</w:t>
      </w:r>
      <w:r w:rsidRPr="00230C56">
        <w:rPr>
          <w:rStyle w:val="FootnoteReference"/>
        </w:rPr>
        <w:footnoteReference w:id="475"/>
      </w:r>
    </w:p>
    <w:p w:rsidR="00230C56" w:rsidRPr="00230C56" w:rsidRDefault="00230C56" w:rsidP="00230C56">
      <w:r w:rsidRPr="00230C56">
        <w:t>We explain our first reason listed above in more detail here. The rules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we consider using a third party data series is likely to be the only practical option to update the return on debt annually. This position is supported by NERA (commissioned by TransGrid in a recent decision process), who advised that:</w:t>
      </w:r>
    </w:p>
    <w:p w:rsidR="00230C56" w:rsidRPr="00230C56" w:rsidRDefault="00230C56" w:rsidP="00230C56">
      <w:pPr>
        <w:pStyle w:val="AERquote"/>
      </w:pPr>
      <w:r w:rsidRPr="00230C56">
        <w:t>…a third party data service provider is essential to allow the return on debt to be updated automatically'.</w:t>
      </w:r>
      <w:r w:rsidRPr="00230C56">
        <w:rPr>
          <w:rStyle w:val="AERsuperscript"/>
        </w:rPr>
        <w:footnoteReference w:id="476"/>
      </w:r>
    </w:p>
    <w:p w:rsidR="00230C56" w:rsidRPr="00230C56" w:rsidRDefault="00230C56" w:rsidP="00230C56">
      <w:r w:rsidRPr="00230C56">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after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230C56" w:rsidRPr="00230C56" w:rsidRDefault="00230C56" w:rsidP="00230C56">
      <w:pPr>
        <w:pStyle w:val="HeadingItalic"/>
        <w:numPr>
          <w:ilvl w:val="0"/>
          <w:numId w:val="24"/>
        </w:numPr>
      </w:pPr>
      <w:r w:rsidRPr="00230C56">
        <w:t>Response to key issues raised by stakeholders</w:t>
      </w:r>
    </w:p>
    <w:p w:rsidR="00230C56" w:rsidRPr="00230C56" w:rsidRDefault="00230C56" w:rsidP="00230C56">
      <w:pPr>
        <w:numPr>
          <w:ilvl w:val="0"/>
          <w:numId w:val="24"/>
        </w:numPr>
      </w:pPr>
      <w:r w:rsidRPr="00230C56">
        <w:t>During the Guideline development process, we considered the use of a third party data series, in consultation with stakeholders.</w:t>
      </w:r>
      <w:r w:rsidRPr="00230C56">
        <w:rPr>
          <w:rStyle w:val="AERsuperscript"/>
        </w:rPr>
        <w:footnoteReference w:id="477"/>
      </w:r>
      <w:r w:rsidRPr="00230C56">
        <w:rPr>
          <w:rStyle w:val="AERsuperscript"/>
        </w:rPr>
        <w:t xml:space="preserve"> </w:t>
      </w:r>
      <w:r w:rsidRPr="00230C56">
        <w:t>Service providers tended to support using a third party data series.</w:t>
      </w:r>
      <w:r w:rsidRPr="00230C56">
        <w:rPr>
          <w:rStyle w:val="AERsuperscript"/>
        </w:rPr>
        <w:footnoteReference w:id="478"/>
      </w:r>
      <w:r w:rsidRPr="00230C56">
        <w:t xml:space="preserve"> While consumer representatives tended to consider we should develop our own data series.</w:t>
      </w:r>
      <w:r w:rsidRPr="00230C56">
        <w:rPr>
          <w:rStyle w:val="AERsuperscript"/>
        </w:rPr>
        <w:footnoteReference w:id="479"/>
      </w:r>
      <w:r w:rsidRPr="00230C56">
        <w:t xml:space="preserve"> We acknowledge these views. However, our decision is to use a third party data series, in the context of annual updating. This is for the reasons set out above.</w:t>
      </w:r>
    </w:p>
    <w:p w:rsidR="00230C56" w:rsidRPr="00230C56" w:rsidRDefault="00230C56" w:rsidP="00230C56">
      <w:r w:rsidRPr="00230C56">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sidRPr="00230C56">
        <w:rPr>
          <w:rStyle w:val="FootnoteReference"/>
        </w:rPr>
        <w:footnoteReference w:id="480"/>
      </w:r>
    </w:p>
    <w:p w:rsidR="00230C56" w:rsidRPr="00230C56" w:rsidRDefault="00230C56" w:rsidP="00230C56">
      <w:r w:rsidRPr="00230C56">
        <w:t>United Energy's proposed method is contrary to several of the benefits of adopting an independent third party data series. The benefits are:</w:t>
      </w:r>
    </w:p>
    <w:p w:rsidR="00230C56" w:rsidRPr="00230C56" w:rsidRDefault="00230C56" w:rsidP="00230C56">
      <w:pPr>
        <w:pStyle w:val="AERbulletlistfirststyle"/>
      </w:pPr>
      <w:r w:rsidRPr="00230C56">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230C56" w:rsidRPr="00230C56" w:rsidRDefault="00230C56" w:rsidP="00230C56">
      <w:pPr>
        <w:pStyle w:val="AERbulletlistfirststyle"/>
      </w:pPr>
      <w:r w:rsidRPr="00230C56">
        <w:t>An independent third party data series is developed by experts who are independent of the regulatory process. In contrast, United Energy's proposed data series is not independent of the regulatory process. This position is supported by Lally, who stated:</w:t>
      </w:r>
    </w:p>
    <w:p w:rsidR="00230C56" w:rsidRPr="00230C56" w:rsidRDefault="00230C56" w:rsidP="00230C56">
      <w:pPr>
        <w:pStyle w:val="AERquoteindent1"/>
      </w:pPr>
      <w:r w:rsidRPr="00230C56">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sidRPr="00230C56">
        <w:rPr>
          <w:rStyle w:val="FootnoteReference"/>
        </w:rPr>
        <w:footnoteReference w:id="481"/>
      </w:r>
    </w:p>
    <w:p w:rsidR="00230C56" w:rsidRPr="00230C56" w:rsidRDefault="00230C56" w:rsidP="00230C56">
      <w:r w:rsidRPr="00230C56">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w:t>
      </w:r>
      <w:r w:rsidR="0068661A">
        <w:t>ARORO</w:t>
      </w:r>
      <w:r w:rsidRPr="00230C56">
        <w:t>.</w:t>
      </w:r>
    </w:p>
    <w:p w:rsidR="00230C56" w:rsidRPr="00230C56" w:rsidRDefault="00230C56" w:rsidP="00230C56">
      <w:pPr>
        <w:pStyle w:val="HeadingBoldItalic"/>
      </w:pPr>
      <w:r w:rsidRPr="00230C56">
        <w:t>Choice of third party data series (including adjustments)</w:t>
      </w:r>
    </w:p>
    <w:p w:rsidR="00230C56" w:rsidRPr="00230C56" w:rsidRDefault="00230C56" w:rsidP="00230C56">
      <w:pPr>
        <w:numPr>
          <w:ilvl w:val="0"/>
          <w:numId w:val="24"/>
        </w:numPr>
      </w:pPr>
      <w:r w:rsidRPr="00230C56">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230C56" w:rsidRPr="00230C56" w:rsidRDefault="00230C56" w:rsidP="00230C56">
      <w:pPr>
        <w:numPr>
          <w:ilvl w:val="0"/>
          <w:numId w:val="24"/>
        </w:numPr>
      </w:pPr>
      <w:r w:rsidRPr="00230C56">
        <w:t xml:space="preserve">Our decision is to adopt a simple average of the debt data series published by the </w:t>
      </w:r>
      <w:r w:rsidR="00753256">
        <w:t>RBA</w:t>
      </w:r>
      <w:r w:rsidR="00753256" w:rsidRPr="00230C56">
        <w:t xml:space="preserve"> </w:t>
      </w:r>
      <w:r w:rsidRPr="00230C56">
        <w:t>and Bloomberg that match, as close as available, our benchmarks of a BBB+ credit rating and a 10 year debt term. Specifically, our decision is to adopt a simple average of:</w:t>
      </w:r>
    </w:p>
    <w:p w:rsidR="00230C56" w:rsidRPr="00230C56" w:rsidRDefault="00230C56" w:rsidP="00230C56">
      <w:pPr>
        <w:pStyle w:val="AERbulletlistfirststyle"/>
      </w:pPr>
      <w:r w:rsidRPr="00230C56">
        <w:t>the 10 year estimate from the non-financial corporate BBB rated data series published by the RBA (the RBA curve),</w:t>
      </w:r>
      <w:r w:rsidRPr="00D806F7">
        <w:rPr>
          <w:rStyle w:val="AERsuperscript"/>
        </w:rPr>
        <w:footnoteReference w:id="482"/>
      </w:r>
      <w:r w:rsidRPr="00230C56">
        <w:t xml:space="preserve"> and</w:t>
      </w:r>
    </w:p>
    <w:p w:rsidR="00230C56" w:rsidRPr="00230C56" w:rsidRDefault="00230C56" w:rsidP="00230C56">
      <w:pPr>
        <w:pStyle w:val="AERbulletlistfirststyle"/>
      </w:pPr>
      <w:r w:rsidRPr="00230C56">
        <w:t>the 10 year yield estimate from the Australian corporate BBB rated Bloomberg Valuation Service (BVAL) data series published by Bloomberg (the BVAL curve).</w:t>
      </w:r>
      <w:r w:rsidRPr="00D806F7">
        <w:rPr>
          <w:rStyle w:val="AERsuperscript"/>
        </w:rPr>
        <w:footnoteReference w:id="483"/>
      </w:r>
    </w:p>
    <w:p w:rsidR="00230C56" w:rsidRPr="00230C56" w:rsidRDefault="00230C56" w:rsidP="00230C56">
      <w:pPr>
        <w:numPr>
          <w:ilvl w:val="0"/>
          <w:numId w:val="24"/>
        </w:numPr>
      </w:pPr>
      <w:r w:rsidRPr="00230C56">
        <w:t>The RBA and BVAL curves are both 'broad BBB' rated data series in that they reflect bond pricing generally across the BBB+, BBB and BBB- rated spectrum of bonds.</w:t>
      </w:r>
    </w:p>
    <w:p w:rsidR="00230C56" w:rsidRPr="00230C56" w:rsidRDefault="00230C56" w:rsidP="00230C56">
      <w:pPr>
        <w:numPr>
          <w:ilvl w:val="0"/>
          <w:numId w:val="24"/>
        </w:numPr>
      </w:pPr>
      <w:r w:rsidRPr="00230C56">
        <w:t>Our decision is also to make certain adjustments to the RBA and BVAL curves so these rates are consistent with our 10 year benchmark debt term and also so they can be applied across the dates of a service provider's averaging periods. Those adjustments are:</w:t>
      </w:r>
    </w:p>
    <w:p w:rsidR="00230C56" w:rsidRPr="00230C56" w:rsidRDefault="00230C56" w:rsidP="00230C56">
      <w:r w:rsidRPr="00230C56">
        <w:t>For the RBA curve, to extrapolate the data series from a 'target' 10 year term to an 'effective' 10 year term using the method recommended by Dr Lally (the Lally method),</w:t>
      </w:r>
      <w:r w:rsidRPr="00230C56">
        <w:rPr>
          <w:rStyle w:val="AERsuperscript"/>
        </w:rPr>
        <w:footnoteReference w:id="484"/>
      </w:r>
      <w:r w:rsidRPr="00230C56">
        <w:t xml:space="preserve"> to interpolate the monthly data points to produce daily estimates, and to convert the estimates from a semi-annual to an effective annual rate.</w:t>
      </w:r>
    </w:p>
    <w:p w:rsidR="00230C56" w:rsidRPr="00230C56" w:rsidRDefault="00230C56" w:rsidP="00230C56">
      <w:pPr>
        <w:pStyle w:val="AERbulletlistfirststyle"/>
      </w:pPr>
      <w:r w:rsidRPr="00230C56">
        <w:t>For the BVAL curve, to convert the estimates from a semi-annual to an effective annual rate.</w:t>
      </w:r>
      <w:r w:rsidRPr="00230C56">
        <w:rPr>
          <w:rStyle w:val="AERsuperscript"/>
        </w:rPr>
        <w:footnoteReference w:id="485"/>
      </w:r>
    </w:p>
    <w:p w:rsidR="00230C56" w:rsidRPr="00230C56" w:rsidRDefault="00230C56" w:rsidP="00230C56">
      <w:pPr>
        <w:pStyle w:val="AERbulletlistfirststyle"/>
      </w:pPr>
      <w:r w:rsidRPr="00230C56">
        <w:t>The above positions are consistent with the approach we adopted in the first round of decisions since the publication of the Guideline, the most recent being our decisions released in November 2015.</w:t>
      </w:r>
      <w:r w:rsidRPr="00230C56">
        <w:rPr>
          <w:rStyle w:val="AERsuperscript"/>
        </w:rPr>
        <w:footnoteReference w:id="486"/>
      </w:r>
    </w:p>
    <w:p w:rsidR="00230C56" w:rsidRPr="00230C56" w:rsidRDefault="00230C56" w:rsidP="00230C56">
      <w:r w:rsidRPr="00230C56">
        <w:t xml:space="preserve">We are satisfied that a simple average of the two curves will result in a return on debt that contributes to the achievement of the </w:t>
      </w:r>
      <w:r w:rsidR="0068661A">
        <w:t>ARORO</w:t>
      </w:r>
      <w:r w:rsidRPr="00230C56">
        <w:t>. This is because:</w:t>
      </w:r>
    </w:p>
    <w:p w:rsidR="00230C56" w:rsidRPr="00230C56" w:rsidRDefault="00230C56" w:rsidP="00230C56">
      <w:pPr>
        <w:pStyle w:val="AERbulletlistfirststyle"/>
      </w:pPr>
      <w:r w:rsidRPr="00230C56">
        <w:t>Based on analysis of the bond selection criteria (including approach for identifying outliers), we consider that both approaches employed by the RBA and Bloomberg have their unique strengths and weaknesses, but we are not satisfied that either is clearly superior.</w:t>
      </w:r>
    </w:p>
    <w:p w:rsidR="00230C56" w:rsidRPr="00230C56" w:rsidRDefault="00230C56" w:rsidP="00230C56">
      <w:pPr>
        <w:pStyle w:val="AERbulletlistfirststyle"/>
      </w:pPr>
      <w:r w:rsidRPr="00230C56">
        <w:t>Based on analysis of the curve fitting (or averaging) methodologies, we consider that both approaches have their unique strengths and weaknesses, but we are not satisfied that either is clearly superior.</w:t>
      </w:r>
    </w:p>
    <w:p w:rsidR="00230C56" w:rsidRPr="00230C56" w:rsidRDefault="00230C56" w:rsidP="00230C56">
      <w:pPr>
        <w:pStyle w:val="AERbulletlistfirststyle"/>
      </w:pPr>
      <w:r w:rsidRPr="00230C56">
        <w:t>Both curves require adjustments from their published form to make them fit-for-purpose, and we are not satisfied that either can be more simply or reliably adjusted to estimate the annual return on debt.</w:t>
      </w:r>
      <w:r w:rsidRPr="00230C56">
        <w:rPr>
          <w:rStyle w:val="FootnoteReference"/>
        </w:rPr>
        <w:footnoteReference w:id="487"/>
      </w:r>
    </w:p>
    <w:p w:rsidR="00230C56" w:rsidRPr="00230C56" w:rsidRDefault="00230C56" w:rsidP="00230C56">
      <w:pPr>
        <w:pStyle w:val="AERbulletlistfirststyle"/>
      </w:pPr>
      <w:r w:rsidRPr="00230C56">
        <w:t xml:space="preserve">A simple average is consistent with expert advice from Dr Lally that we adopt a simple average of the BVAL curve and the RBA curve, subject to the necessary adjustments to each curve. </w:t>
      </w:r>
      <w:r w:rsidRPr="00230C56">
        <w:rPr>
          <w:rStyle w:val="AERsuperscript"/>
        </w:rPr>
        <w:footnoteReference w:id="488"/>
      </w:r>
      <w:r w:rsidRPr="00230C56">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230C56" w:rsidRPr="00230C56" w:rsidRDefault="00230C56" w:rsidP="00230C56">
      <w:pPr>
        <w:pStyle w:val="AERquoteindent1"/>
      </w:pPr>
      <w:r w:rsidRPr="00230C56">
        <w:t>…on the question of which index better reflects the cost of debt for the efficient benchmark entity, there is no clear winner.</w:t>
      </w:r>
      <w:r w:rsidRPr="00230C56">
        <w:rPr>
          <w:rStyle w:val="AERsuperscript"/>
        </w:rPr>
        <w:footnoteReference w:id="489"/>
      </w:r>
    </w:p>
    <w:p w:rsidR="00230C56" w:rsidRPr="00230C56" w:rsidRDefault="00230C56" w:rsidP="00230C56">
      <w:pPr>
        <w:pStyle w:val="AERbulletlistfirststyle"/>
      </w:pPr>
      <w:r w:rsidRPr="00230C56">
        <w:t>The two curves have regularly produced materially different results at particular points in time. Both curves have their strengths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230C56" w:rsidRPr="00230C56" w:rsidRDefault="00230C56" w:rsidP="00230C56">
      <w:pPr>
        <w:pStyle w:val="AERbulletlistfirststyle"/>
      </w:pPr>
      <w:r w:rsidRPr="00230C56">
        <w:t>A simple average of two curves, in these circumstances, is consistent with the Tribunal's decision in the ActewAGL matter where the Tribunal concluded that:</w:t>
      </w:r>
    </w:p>
    <w:p w:rsidR="00230C56" w:rsidRPr="00230C56" w:rsidRDefault="00230C56" w:rsidP="00230C56">
      <w:pPr>
        <w:pStyle w:val="AERquote"/>
      </w:pPr>
      <w:r w:rsidRPr="00230C56">
        <w:t>…if the AER cannot find a basis upon which to distinguish between the published curves, it is appropriate to average the yields provided by each curve, so long as the published curves are widely used and market respected.</w:t>
      </w:r>
      <w:r w:rsidRPr="00230C56">
        <w:rPr>
          <w:rStyle w:val="AERsuperscript"/>
        </w:rPr>
        <w:footnoteReference w:id="490"/>
      </w:r>
    </w:p>
    <w:p w:rsidR="00230C56" w:rsidRPr="00230C56" w:rsidRDefault="00230C56" w:rsidP="00230C56">
      <w:pPr>
        <w:pStyle w:val="AERbulletlistfirststyle"/>
      </w:pPr>
      <w:r w:rsidRPr="00230C56">
        <w:t>A simple average of the two curves will reduce the likely price shock if either curve becomes unavailable or produces erroneous estimates during the period.</w:t>
      </w:r>
    </w:p>
    <w:p w:rsidR="00230C56" w:rsidRPr="00230C56" w:rsidRDefault="00230C56" w:rsidP="00230C56">
      <w:r w:rsidRPr="00230C56">
        <w:t>In our previous decisions, we have explained each of these reasons in more detail.</w:t>
      </w:r>
      <w:r w:rsidRPr="00230C56">
        <w:rPr>
          <w:rStyle w:val="FootnoteReference"/>
        </w:rPr>
        <w:footnoteReference w:id="491"/>
      </w:r>
      <w:r w:rsidRPr="00230C56">
        <w:t xml:space="preserve"> This analysis included the following evidence.</w:t>
      </w:r>
    </w:p>
    <w:p w:rsidR="00230C56" w:rsidRPr="00230C56" w:rsidRDefault="00230C56" w:rsidP="00230C56">
      <w:pPr>
        <w:numPr>
          <w:ilvl w:val="0"/>
          <w:numId w:val="24"/>
        </w:numPr>
      </w:pPr>
      <w:r w:rsidRPr="00230C56">
        <w:t>Dr Lally used the report of the Regulatory Economic Unit to identify 11 points of distinction between the RBA and BVAL curves. Lally analysed each of those differences and concluded:</w:t>
      </w:r>
    </w:p>
    <w:p w:rsidR="00230C56" w:rsidRPr="00230C56" w:rsidRDefault="00230C56" w:rsidP="00230C56">
      <w:pPr>
        <w:pStyle w:val="AERquote"/>
      </w:pPr>
      <w:r w:rsidRPr="00230C56">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230C56">
        <w:rPr>
          <w:rStyle w:val="FootnoteReference"/>
        </w:rPr>
        <w:footnoteReference w:id="492"/>
      </w:r>
    </w:p>
    <w:p w:rsidR="00230C56" w:rsidRPr="00230C56" w:rsidRDefault="00230C56" w:rsidP="00230C56">
      <w:pPr>
        <w:numPr>
          <w:ilvl w:val="0"/>
          <w:numId w:val="24"/>
        </w:numPr>
      </w:pPr>
      <w:r w:rsidRPr="00230C56">
        <w:t>Based on this analysis, Lally recommended using a simple average of the two curves. Lally advised:</w:t>
      </w:r>
    </w:p>
    <w:p w:rsidR="00230C56" w:rsidRPr="00230C56" w:rsidRDefault="00230C56" w:rsidP="00230C56">
      <w:pPr>
        <w:pStyle w:val="AERquote"/>
      </w:pPr>
      <w:r w:rsidRPr="00230C56">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230C56">
        <w:rPr>
          <w:rStyle w:val="FootnoteReference"/>
        </w:rPr>
        <w:footnoteReference w:id="493"/>
      </w:r>
    </w:p>
    <w:p w:rsidR="00230C56" w:rsidRPr="00230C56" w:rsidRDefault="00230C56" w:rsidP="00230C56">
      <w:r w:rsidRPr="00230C56">
        <w:t>Those 11 points of distinction, and Lally's assessment of those differences between the RBA and BVAL curves, are summarised in the following table.</w:t>
      </w:r>
    </w:p>
    <w:p w:rsidR="00230C56" w:rsidRPr="00230C56" w:rsidRDefault="00230C56" w:rsidP="00230C56">
      <w:pPr>
        <w:pStyle w:val="Caption"/>
      </w:pPr>
      <w:r w:rsidRPr="00230C56">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14</w:t>
      </w:r>
      <w:r w:rsidR="00527450">
        <w:rPr>
          <w:noProof/>
        </w:rPr>
        <w:fldChar w:fldCharType="end"/>
      </w:r>
      <w:r w:rsidRPr="00230C56">
        <w:tab/>
        <w:t>Dr Lally's advice of the differences between the RBA and BVAL curves</w:t>
      </w:r>
      <w:r w:rsidRPr="00230C56">
        <w:tab/>
      </w:r>
    </w:p>
    <w:tbl>
      <w:tblPr>
        <w:tblStyle w:val="AERtable-text0"/>
        <w:tblW w:w="0" w:type="auto"/>
        <w:tblLook w:val="04A0" w:firstRow="1" w:lastRow="0" w:firstColumn="1" w:lastColumn="0" w:noHBand="0" w:noVBand="1"/>
      </w:tblPr>
      <w:tblGrid>
        <w:gridCol w:w="959"/>
        <w:gridCol w:w="4394"/>
        <w:gridCol w:w="3340"/>
      </w:tblGrid>
      <w:tr w:rsidR="00230C56" w:rsidTr="007E6AB8">
        <w:trPr>
          <w:cnfStyle w:val="100000000000" w:firstRow="1" w:lastRow="0" w:firstColumn="0" w:lastColumn="0" w:oddVBand="0" w:evenVBand="0" w:oddHBand="0" w:evenHBand="0" w:firstRowFirstColumn="0" w:firstRowLastColumn="0" w:lastRowFirstColumn="0" w:lastRowLastColumn="0"/>
          <w:tblHeader/>
        </w:trPr>
        <w:tc>
          <w:tcPr>
            <w:tcW w:w="959" w:type="dxa"/>
          </w:tcPr>
          <w:p w:rsidR="00230C56" w:rsidRPr="00230C56" w:rsidRDefault="00230C56" w:rsidP="00230C56">
            <w:pPr>
              <w:numPr>
                <w:ilvl w:val="0"/>
                <w:numId w:val="24"/>
              </w:numPr>
            </w:pPr>
            <w:r w:rsidRPr="00230C56">
              <w:t>No.</w:t>
            </w:r>
          </w:p>
        </w:tc>
        <w:tc>
          <w:tcPr>
            <w:tcW w:w="4394" w:type="dxa"/>
          </w:tcPr>
          <w:p w:rsidR="00230C56" w:rsidRPr="00230C56" w:rsidRDefault="00230C56" w:rsidP="00230C56">
            <w:pPr>
              <w:numPr>
                <w:ilvl w:val="0"/>
                <w:numId w:val="24"/>
              </w:numPr>
            </w:pPr>
            <w:r w:rsidRPr="00230C56">
              <w:t>Points of distinction identified by REU</w:t>
            </w:r>
            <w:r w:rsidRPr="00230C56">
              <w:rPr>
                <w:rStyle w:val="FootnoteReference"/>
              </w:rPr>
              <w:footnoteReference w:id="494"/>
            </w:r>
          </w:p>
        </w:tc>
        <w:tc>
          <w:tcPr>
            <w:tcW w:w="3340" w:type="dxa"/>
          </w:tcPr>
          <w:p w:rsidR="00230C56" w:rsidRPr="00230C56" w:rsidRDefault="00230C56" w:rsidP="00230C56">
            <w:pPr>
              <w:numPr>
                <w:ilvl w:val="0"/>
                <w:numId w:val="24"/>
              </w:numPr>
            </w:pPr>
            <w:r w:rsidRPr="00230C56">
              <w:t>Advice from Dr Lally</w:t>
            </w:r>
            <w:r w:rsidRPr="00230C56">
              <w:rPr>
                <w:rStyle w:val="FootnoteReference"/>
              </w:rPr>
              <w:footnoteReference w:id="495"/>
            </w:r>
          </w:p>
        </w:tc>
      </w:tr>
      <w:tr w:rsidR="00230C56" w:rsidTr="007E6AB8">
        <w:tc>
          <w:tcPr>
            <w:tcW w:w="959" w:type="dxa"/>
          </w:tcPr>
          <w:p w:rsidR="00230C56" w:rsidRPr="00230C56" w:rsidRDefault="00230C56" w:rsidP="00230C56">
            <w:pPr>
              <w:numPr>
                <w:ilvl w:val="0"/>
                <w:numId w:val="24"/>
              </w:numPr>
            </w:pPr>
            <w:r w:rsidRPr="00230C56">
              <w:t>1</w:t>
            </w:r>
          </w:p>
        </w:tc>
        <w:tc>
          <w:tcPr>
            <w:tcW w:w="4394" w:type="dxa"/>
          </w:tcPr>
          <w:p w:rsidR="00230C56" w:rsidRPr="00230C56" w:rsidRDefault="00230C56" w:rsidP="00230C56">
            <w:pPr>
              <w:numPr>
                <w:ilvl w:val="0"/>
                <w:numId w:val="24"/>
              </w:numPr>
            </w:pPr>
            <w:r w:rsidRPr="00230C56">
              <w:t>The BVAL is available daily whilst the RBA is only available monthly.</w:t>
            </w:r>
          </w:p>
        </w:tc>
        <w:tc>
          <w:tcPr>
            <w:tcW w:w="3340" w:type="dxa"/>
          </w:tcPr>
          <w:p w:rsidR="00230C56" w:rsidRPr="00230C56" w:rsidRDefault="00230C56" w:rsidP="00230C56">
            <w:pPr>
              <w:numPr>
                <w:ilvl w:val="0"/>
                <w:numId w:val="24"/>
              </w:numPr>
            </w:pPr>
            <w:r w:rsidRPr="00230C56">
              <w:t>BVAL favoured.</w:t>
            </w:r>
          </w:p>
        </w:tc>
      </w:tr>
      <w:tr w:rsidR="00230C56" w:rsidTr="007E6AB8">
        <w:trPr>
          <w:cnfStyle w:val="000000010000" w:firstRow="0" w:lastRow="0" w:firstColumn="0" w:lastColumn="0" w:oddVBand="0" w:evenVBand="0" w:oddHBand="0" w:evenHBand="1" w:firstRowFirstColumn="0" w:firstRowLastColumn="0" w:lastRowFirstColumn="0" w:lastRowLastColumn="0"/>
        </w:trPr>
        <w:tc>
          <w:tcPr>
            <w:tcW w:w="959" w:type="dxa"/>
          </w:tcPr>
          <w:p w:rsidR="00230C56" w:rsidRPr="00230C56" w:rsidRDefault="00230C56" w:rsidP="00230C56">
            <w:pPr>
              <w:numPr>
                <w:ilvl w:val="0"/>
                <w:numId w:val="24"/>
              </w:numPr>
            </w:pPr>
            <w:r w:rsidRPr="00230C56">
              <w:t>2</w:t>
            </w:r>
          </w:p>
        </w:tc>
        <w:tc>
          <w:tcPr>
            <w:tcW w:w="4394" w:type="dxa"/>
          </w:tcPr>
          <w:p w:rsidR="00230C56" w:rsidRPr="00230C56" w:rsidRDefault="00230C56" w:rsidP="00230C56">
            <w:pPr>
              <w:numPr>
                <w:ilvl w:val="0"/>
                <w:numId w:val="24"/>
              </w:numPr>
            </w:pPr>
            <w:r w:rsidRPr="00230C56">
              <w:t>The BVAL is only available for terms up to seven years, and therefore would have to be extrapolated out to the desired ten years, whilst the RBA is at least notionally available for the desired ten year term.</w:t>
            </w:r>
          </w:p>
        </w:tc>
        <w:tc>
          <w:tcPr>
            <w:tcW w:w="3340" w:type="dxa"/>
          </w:tcPr>
          <w:p w:rsidR="00230C56" w:rsidRPr="00230C56" w:rsidRDefault="00230C56" w:rsidP="00230C56">
            <w:pPr>
              <w:numPr>
                <w:ilvl w:val="0"/>
                <w:numId w:val="24"/>
              </w:numPr>
            </w:pPr>
            <w:r w:rsidRPr="00230C56">
              <w:t>RBA favoured.</w:t>
            </w:r>
          </w:p>
          <w:p w:rsidR="00230C56" w:rsidRPr="00230C56" w:rsidRDefault="00230C56" w:rsidP="00230C56">
            <w:pPr>
              <w:numPr>
                <w:ilvl w:val="0"/>
                <w:numId w:val="24"/>
              </w:numPr>
              <w:rPr>
                <w:rStyle w:val="AERtextitalic"/>
              </w:rPr>
            </w:pPr>
            <w:r w:rsidRPr="00230C56">
              <w:rPr>
                <w:rStyle w:val="AERtextitalic"/>
              </w:rPr>
              <w:t>Note: From April 2015, this point would have changed to “BVAL favoured” as Bloomberg commenced publication of a 10 year BVAL curve, which no longer requires any extrapolation adjustment.</w:t>
            </w:r>
          </w:p>
        </w:tc>
      </w:tr>
      <w:tr w:rsidR="00230C56" w:rsidTr="007E6AB8">
        <w:tc>
          <w:tcPr>
            <w:tcW w:w="959" w:type="dxa"/>
          </w:tcPr>
          <w:p w:rsidR="00230C56" w:rsidRPr="00230C56" w:rsidRDefault="00230C56" w:rsidP="00230C56">
            <w:pPr>
              <w:numPr>
                <w:ilvl w:val="0"/>
                <w:numId w:val="24"/>
              </w:numPr>
            </w:pPr>
            <w:r w:rsidRPr="00230C56">
              <w:t>3</w:t>
            </w:r>
          </w:p>
        </w:tc>
        <w:tc>
          <w:tcPr>
            <w:tcW w:w="4394" w:type="dxa"/>
          </w:tcPr>
          <w:p w:rsidR="00230C56" w:rsidRPr="00230C56" w:rsidRDefault="00230C56" w:rsidP="00230C56">
            <w:pPr>
              <w:numPr>
                <w:ilvl w:val="0"/>
                <w:numId w:val="24"/>
              </w:numPr>
            </w:pPr>
            <w:r w:rsidRPr="00230C56">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230C56" w:rsidRPr="00230C56" w:rsidRDefault="00230C56" w:rsidP="00230C56">
            <w:pPr>
              <w:numPr>
                <w:ilvl w:val="0"/>
                <w:numId w:val="24"/>
              </w:numPr>
            </w:pPr>
            <w:r w:rsidRPr="00230C56">
              <w:t>Not possible to express preference for one over the other.</w:t>
            </w:r>
          </w:p>
        </w:tc>
      </w:tr>
      <w:tr w:rsidR="00230C56" w:rsidTr="007E6AB8">
        <w:trPr>
          <w:cnfStyle w:val="000000010000" w:firstRow="0" w:lastRow="0" w:firstColumn="0" w:lastColumn="0" w:oddVBand="0" w:evenVBand="0" w:oddHBand="0" w:evenHBand="1" w:firstRowFirstColumn="0" w:firstRowLastColumn="0" w:lastRowFirstColumn="0" w:lastRowLastColumn="0"/>
        </w:trPr>
        <w:tc>
          <w:tcPr>
            <w:tcW w:w="959" w:type="dxa"/>
          </w:tcPr>
          <w:p w:rsidR="00230C56" w:rsidRPr="00230C56" w:rsidRDefault="00230C56" w:rsidP="00230C56">
            <w:pPr>
              <w:numPr>
                <w:ilvl w:val="0"/>
                <w:numId w:val="24"/>
              </w:numPr>
            </w:pPr>
            <w:r w:rsidRPr="00230C56">
              <w:t>4</w:t>
            </w:r>
          </w:p>
        </w:tc>
        <w:tc>
          <w:tcPr>
            <w:tcW w:w="4394" w:type="dxa"/>
          </w:tcPr>
          <w:p w:rsidR="00230C56" w:rsidRPr="00230C56" w:rsidRDefault="00230C56" w:rsidP="00230C56">
            <w:pPr>
              <w:numPr>
                <w:ilvl w:val="0"/>
                <w:numId w:val="24"/>
              </w:numPr>
            </w:pPr>
            <w:r w:rsidRPr="00230C56">
              <w:t>The BVAL sample does not exclude financial corporations whilst the RBA’s does.</w:t>
            </w:r>
          </w:p>
        </w:tc>
        <w:tc>
          <w:tcPr>
            <w:tcW w:w="3340" w:type="dxa"/>
          </w:tcPr>
          <w:p w:rsidR="00230C56" w:rsidRPr="00230C56" w:rsidRDefault="00230C56" w:rsidP="00230C56">
            <w:pPr>
              <w:numPr>
                <w:ilvl w:val="0"/>
                <w:numId w:val="24"/>
              </w:numPr>
            </w:pPr>
            <w:r w:rsidRPr="00230C56">
              <w:t>Not possible to express preference for one over the other.</w:t>
            </w:r>
          </w:p>
        </w:tc>
      </w:tr>
      <w:tr w:rsidR="00230C56" w:rsidTr="007E6AB8">
        <w:tc>
          <w:tcPr>
            <w:tcW w:w="959" w:type="dxa"/>
          </w:tcPr>
          <w:p w:rsidR="00230C56" w:rsidRPr="00230C56" w:rsidRDefault="00230C56" w:rsidP="00230C56">
            <w:pPr>
              <w:numPr>
                <w:ilvl w:val="0"/>
                <w:numId w:val="24"/>
              </w:numPr>
            </w:pPr>
            <w:r w:rsidRPr="00230C56">
              <w:t>5</w:t>
            </w:r>
          </w:p>
        </w:tc>
        <w:tc>
          <w:tcPr>
            <w:tcW w:w="4394" w:type="dxa"/>
          </w:tcPr>
          <w:p w:rsidR="00230C56" w:rsidRPr="00230C56" w:rsidRDefault="00230C56" w:rsidP="00230C56">
            <w:pPr>
              <w:numPr>
                <w:ilvl w:val="0"/>
                <w:numId w:val="24"/>
              </w:numPr>
            </w:pPr>
            <w:r w:rsidRPr="00230C56">
              <w:t>The BVAL sample is limited to unsecured bonds whilst the RBA’s sample includes both secured and unsecured bonds.</w:t>
            </w:r>
          </w:p>
        </w:tc>
        <w:tc>
          <w:tcPr>
            <w:tcW w:w="3340" w:type="dxa"/>
          </w:tcPr>
          <w:p w:rsidR="00230C56" w:rsidRPr="00230C56" w:rsidRDefault="00230C56" w:rsidP="00230C56">
            <w:pPr>
              <w:numPr>
                <w:ilvl w:val="0"/>
                <w:numId w:val="24"/>
              </w:numPr>
            </w:pPr>
            <w:r w:rsidRPr="00230C56">
              <w:t>RBA favoured, but advantage is small.</w:t>
            </w:r>
          </w:p>
        </w:tc>
      </w:tr>
      <w:tr w:rsidR="00230C56" w:rsidTr="007E6AB8">
        <w:trPr>
          <w:cnfStyle w:val="000000010000" w:firstRow="0" w:lastRow="0" w:firstColumn="0" w:lastColumn="0" w:oddVBand="0" w:evenVBand="0" w:oddHBand="0" w:evenHBand="1" w:firstRowFirstColumn="0" w:firstRowLastColumn="0" w:lastRowFirstColumn="0" w:lastRowLastColumn="0"/>
        </w:trPr>
        <w:tc>
          <w:tcPr>
            <w:tcW w:w="959" w:type="dxa"/>
          </w:tcPr>
          <w:p w:rsidR="00230C56" w:rsidRPr="00230C56" w:rsidRDefault="00230C56" w:rsidP="00230C56">
            <w:pPr>
              <w:numPr>
                <w:ilvl w:val="0"/>
                <w:numId w:val="24"/>
              </w:numPr>
            </w:pPr>
            <w:r w:rsidRPr="00230C56">
              <w:t>6</w:t>
            </w:r>
          </w:p>
        </w:tc>
        <w:tc>
          <w:tcPr>
            <w:tcW w:w="4394" w:type="dxa"/>
          </w:tcPr>
          <w:p w:rsidR="00230C56" w:rsidRPr="00230C56" w:rsidRDefault="00230C56" w:rsidP="00230C56">
            <w:pPr>
              <w:numPr>
                <w:ilvl w:val="0"/>
                <w:numId w:val="24"/>
              </w:numPr>
            </w:pPr>
            <w:r w:rsidRPr="00230C56">
              <w:t>The BVAL sample is limited to bonds rated by either S&amp;P or Moody’s, whilst the RBA sample is limited to bonds rated by S&amp;P or issued by a firm with an S&amp;P rating.</w:t>
            </w:r>
          </w:p>
        </w:tc>
        <w:tc>
          <w:tcPr>
            <w:tcW w:w="3340" w:type="dxa"/>
          </w:tcPr>
          <w:p w:rsidR="00230C56" w:rsidRPr="00230C56" w:rsidRDefault="00230C56" w:rsidP="00230C56">
            <w:pPr>
              <w:numPr>
                <w:ilvl w:val="0"/>
                <w:numId w:val="24"/>
              </w:numPr>
            </w:pPr>
            <w:r w:rsidRPr="00230C56">
              <w:t>Not possible to express preference for one over the other.</w:t>
            </w:r>
          </w:p>
        </w:tc>
      </w:tr>
      <w:tr w:rsidR="00230C56" w:rsidTr="007E6AB8">
        <w:tc>
          <w:tcPr>
            <w:tcW w:w="959" w:type="dxa"/>
          </w:tcPr>
          <w:p w:rsidR="00230C56" w:rsidRPr="00230C56" w:rsidRDefault="00230C56" w:rsidP="00230C56">
            <w:pPr>
              <w:numPr>
                <w:ilvl w:val="0"/>
                <w:numId w:val="24"/>
              </w:numPr>
            </w:pPr>
            <w:r w:rsidRPr="00230C56">
              <w:t>7</w:t>
            </w:r>
          </w:p>
        </w:tc>
        <w:tc>
          <w:tcPr>
            <w:tcW w:w="4394" w:type="dxa"/>
          </w:tcPr>
          <w:p w:rsidR="00230C56" w:rsidRPr="00230C56" w:rsidRDefault="00230C56" w:rsidP="00230C56">
            <w:pPr>
              <w:numPr>
                <w:ilvl w:val="0"/>
                <w:numId w:val="24"/>
              </w:numPr>
            </w:pPr>
            <w:r w:rsidRPr="00230C56">
              <w:t>The BVAL sample is limited to AUD denominated bonds whilst the RBA sample also includes USD and Euro denominated bonds.</w:t>
            </w:r>
          </w:p>
        </w:tc>
        <w:tc>
          <w:tcPr>
            <w:tcW w:w="3340" w:type="dxa"/>
          </w:tcPr>
          <w:p w:rsidR="00230C56" w:rsidRPr="00230C56" w:rsidRDefault="00230C56" w:rsidP="00230C56">
            <w:pPr>
              <w:numPr>
                <w:ilvl w:val="0"/>
                <w:numId w:val="24"/>
              </w:numPr>
            </w:pPr>
            <w:r w:rsidRPr="00230C56">
              <w:t>Not possible to express preference for one over the other.</w:t>
            </w:r>
          </w:p>
        </w:tc>
      </w:tr>
      <w:tr w:rsidR="00230C56" w:rsidTr="007E6AB8">
        <w:trPr>
          <w:cnfStyle w:val="000000010000" w:firstRow="0" w:lastRow="0" w:firstColumn="0" w:lastColumn="0" w:oddVBand="0" w:evenVBand="0" w:oddHBand="0" w:evenHBand="1" w:firstRowFirstColumn="0" w:firstRowLastColumn="0" w:lastRowFirstColumn="0" w:lastRowLastColumn="0"/>
        </w:trPr>
        <w:tc>
          <w:tcPr>
            <w:tcW w:w="959" w:type="dxa"/>
          </w:tcPr>
          <w:p w:rsidR="00230C56" w:rsidRPr="00230C56" w:rsidRDefault="00230C56" w:rsidP="00230C56">
            <w:pPr>
              <w:numPr>
                <w:ilvl w:val="0"/>
                <w:numId w:val="24"/>
              </w:numPr>
            </w:pPr>
            <w:r w:rsidRPr="00230C56">
              <w:t>8</w:t>
            </w:r>
          </w:p>
        </w:tc>
        <w:tc>
          <w:tcPr>
            <w:tcW w:w="4394" w:type="dxa"/>
          </w:tcPr>
          <w:p w:rsidR="00230C56" w:rsidRPr="00230C56" w:rsidRDefault="00230C56" w:rsidP="00230C56">
            <w:pPr>
              <w:numPr>
                <w:ilvl w:val="0"/>
                <w:numId w:val="24"/>
              </w:numPr>
            </w:pPr>
            <w:r w:rsidRPr="00230C56">
              <w:t>The BVAL sample excludes bonds with call, put and conversion options, whilst the RBA sample does not exclude them.</w:t>
            </w:r>
          </w:p>
        </w:tc>
        <w:tc>
          <w:tcPr>
            <w:tcW w:w="3340" w:type="dxa"/>
          </w:tcPr>
          <w:p w:rsidR="00230C56" w:rsidRPr="00230C56" w:rsidRDefault="00230C56" w:rsidP="00230C56">
            <w:pPr>
              <w:numPr>
                <w:ilvl w:val="0"/>
                <w:numId w:val="24"/>
              </w:numPr>
            </w:pPr>
            <w:r w:rsidRPr="00230C56">
              <w:t>Not possible to express preference for one over the other.</w:t>
            </w:r>
          </w:p>
        </w:tc>
      </w:tr>
      <w:tr w:rsidR="00230C56" w:rsidTr="007E6AB8">
        <w:tc>
          <w:tcPr>
            <w:tcW w:w="959" w:type="dxa"/>
          </w:tcPr>
          <w:p w:rsidR="00230C56" w:rsidRPr="00230C56" w:rsidRDefault="00230C56" w:rsidP="00230C56">
            <w:pPr>
              <w:numPr>
                <w:ilvl w:val="0"/>
                <w:numId w:val="24"/>
              </w:numPr>
            </w:pPr>
            <w:r w:rsidRPr="00230C56">
              <w:t>9</w:t>
            </w:r>
          </w:p>
        </w:tc>
        <w:tc>
          <w:tcPr>
            <w:tcW w:w="4394" w:type="dxa"/>
          </w:tcPr>
          <w:p w:rsidR="00230C56" w:rsidRPr="00230C56" w:rsidRDefault="00230C56" w:rsidP="00230C56">
            <w:pPr>
              <w:numPr>
                <w:ilvl w:val="0"/>
                <w:numId w:val="24"/>
              </w:numPr>
            </w:pPr>
            <w:r w:rsidRPr="00230C56">
              <w:t>The BVAL methodology involves a par yield curve whilst the RBA’s does not.</w:t>
            </w:r>
          </w:p>
        </w:tc>
        <w:tc>
          <w:tcPr>
            <w:tcW w:w="3340" w:type="dxa"/>
          </w:tcPr>
          <w:p w:rsidR="00230C56" w:rsidRPr="00230C56" w:rsidRDefault="00230C56" w:rsidP="00230C56">
            <w:pPr>
              <w:numPr>
                <w:ilvl w:val="0"/>
                <w:numId w:val="24"/>
              </w:numPr>
            </w:pPr>
            <w:r w:rsidRPr="00230C56">
              <w:t>BVAL favoured, but advantage is small.</w:t>
            </w:r>
          </w:p>
        </w:tc>
      </w:tr>
      <w:tr w:rsidR="00230C56" w:rsidTr="007E6AB8">
        <w:trPr>
          <w:cnfStyle w:val="000000010000" w:firstRow="0" w:lastRow="0" w:firstColumn="0" w:lastColumn="0" w:oddVBand="0" w:evenVBand="0" w:oddHBand="0" w:evenHBand="1" w:firstRowFirstColumn="0" w:firstRowLastColumn="0" w:lastRowFirstColumn="0" w:lastRowLastColumn="0"/>
        </w:trPr>
        <w:tc>
          <w:tcPr>
            <w:tcW w:w="959" w:type="dxa"/>
          </w:tcPr>
          <w:p w:rsidR="00230C56" w:rsidRPr="00230C56" w:rsidRDefault="00230C56" w:rsidP="00230C56">
            <w:pPr>
              <w:numPr>
                <w:ilvl w:val="0"/>
                <w:numId w:val="24"/>
              </w:numPr>
            </w:pPr>
            <w:r w:rsidRPr="00230C56">
              <w:t>10</w:t>
            </w:r>
          </w:p>
        </w:tc>
        <w:tc>
          <w:tcPr>
            <w:tcW w:w="4394" w:type="dxa"/>
          </w:tcPr>
          <w:p w:rsidR="00230C56" w:rsidRPr="00230C56" w:rsidRDefault="00230C56" w:rsidP="00230C56">
            <w:pPr>
              <w:numPr>
                <w:ilvl w:val="0"/>
                <w:numId w:val="24"/>
              </w:numPr>
            </w:pPr>
            <w:r w:rsidRPr="00230C56">
              <w:t>The BVAL methodology for curve fitting is (in large part) not disclosed whilst the RBA’s methodology is disclosed.</w:t>
            </w:r>
          </w:p>
        </w:tc>
        <w:tc>
          <w:tcPr>
            <w:tcW w:w="3340" w:type="dxa"/>
          </w:tcPr>
          <w:p w:rsidR="00230C56" w:rsidRPr="00230C56" w:rsidRDefault="00230C56" w:rsidP="00230C56">
            <w:pPr>
              <w:numPr>
                <w:ilvl w:val="0"/>
                <w:numId w:val="24"/>
              </w:numPr>
            </w:pPr>
            <w:r w:rsidRPr="00230C56">
              <w:t>RBA favoured.</w:t>
            </w:r>
          </w:p>
        </w:tc>
      </w:tr>
      <w:tr w:rsidR="00230C56" w:rsidTr="007E6AB8">
        <w:tc>
          <w:tcPr>
            <w:tcW w:w="959" w:type="dxa"/>
          </w:tcPr>
          <w:p w:rsidR="00230C56" w:rsidRPr="00230C56" w:rsidRDefault="00230C56" w:rsidP="00230C56">
            <w:pPr>
              <w:numPr>
                <w:ilvl w:val="0"/>
                <w:numId w:val="24"/>
              </w:numPr>
            </w:pPr>
            <w:r w:rsidRPr="00230C56">
              <w:t>11</w:t>
            </w:r>
          </w:p>
        </w:tc>
        <w:tc>
          <w:tcPr>
            <w:tcW w:w="4394" w:type="dxa"/>
          </w:tcPr>
          <w:p w:rsidR="00230C56" w:rsidRPr="00230C56" w:rsidRDefault="00230C56" w:rsidP="00230C56">
            <w:pPr>
              <w:numPr>
                <w:ilvl w:val="0"/>
                <w:numId w:val="24"/>
              </w:numPr>
            </w:pPr>
            <w:r w:rsidRPr="00230C56">
              <w:t>The BVAL is only available back to February 2011 (continuously) whilst the RBA is available back to January 2005, and therefore there will be more problems obtaining a ten-year trailing average when using the BVAL.</w:t>
            </w:r>
          </w:p>
        </w:tc>
        <w:tc>
          <w:tcPr>
            <w:tcW w:w="3340" w:type="dxa"/>
          </w:tcPr>
          <w:p w:rsidR="00230C56" w:rsidRPr="00230C56" w:rsidRDefault="00230C56" w:rsidP="00230C56">
            <w:pPr>
              <w:numPr>
                <w:ilvl w:val="0"/>
                <w:numId w:val="24"/>
              </w:numPr>
            </w:pPr>
            <w:r w:rsidRPr="00230C56">
              <w:t>Not relevant, as AER does not require historical data.</w:t>
            </w:r>
          </w:p>
        </w:tc>
      </w:tr>
    </w:tbl>
    <w:p w:rsidR="00230C56" w:rsidRPr="00230C56" w:rsidRDefault="00230C56" w:rsidP="00230C56">
      <w:pPr>
        <w:pStyle w:val="AERtablesource"/>
      </w:pPr>
      <w:r w:rsidRPr="00230C56">
        <w:t xml:space="preserve">Source: </w:t>
      </w:r>
      <w:r w:rsidRPr="00230C56">
        <w:tab/>
        <w:t>Advice from Dr Lally.</w:t>
      </w:r>
      <w:r w:rsidRPr="00230C56">
        <w:rPr>
          <w:rStyle w:val="FootnoteReference"/>
        </w:rPr>
        <w:footnoteReference w:id="496"/>
      </w:r>
    </w:p>
    <w:p w:rsidR="00230C56" w:rsidRPr="00230C56" w:rsidRDefault="00230C56" w:rsidP="00230C56">
      <w:r w:rsidRPr="00230C56">
        <w:t>In our previous decisions, we explained each of these reasons in more detail.</w:t>
      </w:r>
      <w:r w:rsidRPr="00230C56">
        <w:rPr>
          <w:rStyle w:val="FootnoteReference"/>
        </w:rPr>
        <w:footnoteReference w:id="497"/>
      </w:r>
      <w:r w:rsidRPr="00230C56">
        <w:t xml:space="preserve"> </w:t>
      </w:r>
    </w:p>
    <w:p w:rsidR="00230C56" w:rsidRPr="00230C56" w:rsidRDefault="00230C56" w:rsidP="00230C56">
      <w:r w:rsidRPr="00230C56">
        <w:t xml:space="preserve">Recently, the Tribunal also upheld this approach, in relation to the NSW/ACT electricity distribution determinations and JGN gas access arrangement. </w:t>
      </w:r>
    </w:p>
    <w:p w:rsidR="00230C56" w:rsidRPr="00230C56" w:rsidRDefault="00230C56" w:rsidP="00230C56">
      <w:r w:rsidRPr="00230C56">
        <w:t>The Tribunal was satisfied that our approach of adopting a simple average of the information from both the RBA and Bloomberg data services in those reviews was legally open and appropriate, stating:</w:t>
      </w:r>
      <w:r w:rsidRPr="00230C56">
        <w:rPr>
          <w:rStyle w:val="FootnoteReference"/>
        </w:rPr>
        <w:footnoteReference w:id="498"/>
      </w:r>
    </w:p>
    <w:p w:rsidR="00230C56" w:rsidRPr="00230C56" w:rsidRDefault="00230C56" w:rsidP="00230C56">
      <w:pPr>
        <w:pStyle w:val="AERquote"/>
      </w:pPr>
      <w:r w:rsidRPr="00230C56">
        <w:t>983 …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230C56" w:rsidRPr="00230C56" w:rsidRDefault="00230C56" w:rsidP="00230C56">
      <w:r w:rsidRPr="00230C56">
        <w:t>Similarly, in relation to the choice of a BBB+ credit rating, the Tribunal noted:</w:t>
      </w:r>
      <w:r w:rsidRPr="00230C56">
        <w:rPr>
          <w:rStyle w:val="FootnoteReference"/>
        </w:rPr>
        <w:footnoteReference w:id="499"/>
      </w:r>
    </w:p>
    <w:p w:rsidR="00230C56" w:rsidRPr="00230C56" w:rsidRDefault="00230C56" w:rsidP="00230C56">
      <w:pPr>
        <w:pStyle w:val="AERquote"/>
      </w:pPr>
      <w:r w:rsidRPr="00230C56">
        <w:t>993  The Tribunal is not satisfied that the AER’s relevant Final Decisions on this topic disclose a ground of review. In the Final Decisions …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230C56" w:rsidRPr="00230C56" w:rsidRDefault="00230C56" w:rsidP="00230C56">
      <w:r w:rsidRPr="00230C56">
        <w:t>Indeed, the Tribunal went further, noting that even if it was wrong in these findings, it would not be persuaded that it was materially preferable and in the long term interests of consumers to adopt a different approach to that adopted by the AER, noting:</w:t>
      </w:r>
      <w:r w:rsidRPr="00230C56">
        <w:rPr>
          <w:rStyle w:val="FootnoteReference"/>
        </w:rPr>
        <w:footnoteReference w:id="500"/>
      </w:r>
    </w:p>
    <w:p w:rsidR="00230C56" w:rsidRPr="00230C56" w:rsidRDefault="00230C56" w:rsidP="00D806F7">
      <w:pPr>
        <w:pStyle w:val="AERquote"/>
      </w:pPr>
      <w:r w:rsidRPr="00230C56">
        <w:t>995  In any event, the Tribunal would not take the step of being satisfied, in either respect, that to vary or set aside the relevant Final Decision would, or would be likely to, result in a materially preferable NEO decision under s 71P(2a)(c).While some aspects of the Tribunal's decision have been challenged in the Full Federal Court, this aspect of the Tribunal's decision has not been challenged by any party.</w:t>
      </w:r>
    </w:p>
    <w:p w:rsidR="00230C56" w:rsidRPr="00230C56" w:rsidRDefault="00230C56" w:rsidP="00230C56">
      <w:r w:rsidRPr="00230C56">
        <w:t>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remainder o</w:t>
      </w:r>
      <w:r w:rsidR="00067443">
        <w:t xml:space="preserve">f this section and in Appendix </w:t>
      </w:r>
      <w:r w:rsidR="00067443">
        <w:fldChar w:fldCharType="begin"/>
      </w:r>
      <w:r w:rsidR="00067443">
        <w:instrText xml:space="preserve"> REF _Ref451328704 \r \h </w:instrText>
      </w:r>
      <w:r w:rsidR="00067443">
        <w:fldChar w:fldCharType="separate"/>
      </w:r>
      <w:r w:rsidR="000230CB">
        <w:t>I</w:t>
      </w:r>
      <w:r w:rsidR="00067443">
        <w:fldChar w:fldCharType="end"/>
      </w:r>
      <w:r w:rsidRPr="00230C56">
        <w:t>.</w:t>
      </w:r>
    </w:p>
    <w:p w:rsidR="00230C56" w:rsidRPr="00230C56" w:rsidRDefault="00230C56" w:rsidP="00230C56">
      <w:r w:rsidRPr="00230C56">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68661A">
        <w:t>ARORO</w:t>
      </w:r>
      <w:r w:rsidRPr="00230C56">
        <w:t>. After reviewing that material, Dr Lally concluded:</w:t>
      </w:r>
    </w:p>
    <w:p w:rsidR="00230C56" w:rsidRPr="00230C56" w:rsidRDefault="00230C56" w:rsidP="00230C56">
      <w:pPr>
        <w:pStyle w:val="AERquote"/>
      </w:pPr>
      <w:r w:rsidRPr="00230C56">
        <w:t>…the AER’s proposed approach satisfies the criteria and these criteria are not satisfied by any other proposed approach.</w:t>
      </w:r>
    </w:p>
    <w:p w:rsidR="00230C56" w:rsidRPr="00230C56" w:rsidRDefault="00230C56" w:rsidP="00230C56">
      <w:pPr>
        <w:pStyle w:val="AERquote"/>
      </w:pPr>
      <w:r w:rsidRPr="00230C56">
        <w:t>Finally, I have previously provided advice on these implementation issues to the AER and nothing in these submissions warrants any change in that advice.</w:t>
      </w:r>
      <w:r w:rsidRPr="00230C56">
        <w:rPr>
          <w:rStyle w:val="FootnoteReference"/>
        </w:rPr>
        <w:footnoteReference w:id="501"/>
      </w:r>
    </w:p>
    <w:p w:rsidR="00230C56" w:rsidRPr="00230C56" w:rsidRDefault="00230C56" w:rsidP="00230C56">
      <w:pPr>
        <w:pStyle w:val="HeadingItalic"/>
      </w:pPr>
      <w:r w:rsidRPr="00230C56">
        <w:t>Response to key issues raised by stakeholders</w:t>
      </w:r>
    </w:p>
    <w:p w:rsidR="00230C56" w:rsidRPr="00230C56" w:rsidRDefault="00230C56" w:rsidP="00230C56">
      <w:r w:rsidRPr="00230C56">
        <w:fldChar w:fldCharType="begin"/>
      </w:r>
      <w:r w:rsidRPr="00230C56">
        <w:instrText xml:space="preserve"> REF _Ref431241994 \h </w:instrText>
      </w:r>
      <w:r w:rsidRPr="00230C56">
        <w:fldChar w:fldCharType="separate"/>
      </w:r>
      <w:r w:rsidR="000230CB" w:rsidRPr="00230C56">
        <w:t xml:space="preserve">Table </w:t>
      </w:r>
      <w:r w:rsidR="000230CB">
        <w:rPr>
          <w:noProof/>
        </w:rPr>
        <w:t>3</w:t>
      </w:r>
      <w:r w:rsidR="000230CB">
        <w:noBreakHyphen/>
      </w:r>
      <w:r w:rsidR="000230CB">
        <w:rPr>
          <w:noProof/>
        </w:rPr>
        <w:t>15</w:t>
      </w:r>
      <w:r w:rsidRPr="00230C56">
        <w:fldChar w:fldCharType="end"/>
      </w:r>
      <w:r w:rsidRPr="00230C56">
        <w:t xml:space="preserve"> sets out the service providers' proposals.</w:t>
      </w:r>
    </w:p>
    <w:p w:rsidR="00230C56" w:rsidRPr="00230C56" w:rsidRDefault="00230C56" w:rsidP="00230C56">
      <w:pPr>
        <w:pStyle w:val="Caption"/>
      </w:pPr>
      <w:bookmarkStart w:id="86" w:name="_Ref431241994"/>
      <w:r w:rsidRPr="00230C56">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15</w:t>
      </w:r>
      <w:r w:rsidR="00527450">
        <w:rPr>
          <w:noProof/>
        </w:rPr>
        <w:fldChar w:fldCharType="end"/>
      </w:r>
      <w:bookmarkEnd w:id="86"/>
      <w:r w:rsidRPr="00230C56">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230C56" w:rsidRPr="00986ABB" w:rsidTr="00DB4FCE">
        <w:trPr>
          <w:cnfStyle w:val="100000000000" w:firstRow="1" w:lastRow="0" w:firstColumn="0" w:lastColumn="0" w:oddVBand="0" w:evenVBand="0" w:oddHBand="0" w:evenHBand="0" w:firstRowFirstColumn="0" w:firstRowLastColumn="0" w:lastRowFirstColumn="0" w:lastRowLastColumn="0"/>
          <w:tblHeader/>
        </w:trPr>
        <w:tc>
          <w:tcPr>
            <w:tcW w:w="3070" w:type="dxa"/>
          </w:tcPr>
          <w:p w:rsidR="00230C56" w:rsidRPr="00230C56" w:rsidRDefault="00230C56" w:rsidP="00230C56">
            <w:pPr>
              <w:numPr>
                <w:ilvl w:val="0"/>
                <w:numId w:val="24"/>
              </w:numPr>
            </w:pPr>
            <w:r w:rsidRPr="00230C56">
              <w:t>Service provider</w:t>
            </w:r>
          </w:p>
        </w:tc>
        <w:tc>
          <w:tcPr>
            <w:tcW w:w="3025" w:type="dxa"/>
          </w:tcPr>
          <w:p w:rsidR="00230C56" w:rsidRPr="00230C56" w:rsidRDefault="00230C56" w:rsidP="00230C56">
            <w:pPr>
              <w:numPr>
                <w:ilvl w:val="0"/>
                <w:numId w:val="24"/>
              </w:numPr>
            </w:pPr>
            <w:r w:rsidRPr="00230C56">
              <w:t>Choice of data series</w:t>
            </w:r>
          </w:p>
        </w:tc>
        <w:tc>
          <w:tcPr>
            <w:tcW w:w="2598" w:type="dxa"/>
          </w:tcPr>
          <w:p w:rsidR="00230C56" w:rsidRPr="00230C56" w:rsidRDefault="00230C56" w:rsidP="00230C56">
            <w:pPr>
              <w:numPr>
                <w:ilvl w:val="0"/>
                <w:numId w:val="24"/>
              </w:numPr>
            </w:pPr>
            <w:r w:rsidRPr="00230C56">
              <w:t>Extrapolation/interpolation adjustments</w:t>
            </w:r>
          </w:p>
        </w:tc>
      </w:tr>
      <w:tr w:rsidR="00230C56" w:rsidRPr="00986ABB" w:rsidTr="007E6AB8">
        <w:tc>
          <w:tcPr>
            <w:tcW w:w="3070" w:type="dxa"/>
          </w:tcPr>
          <w:p w:rsidR="00230C56" w:rsidRPr="00230C56" w:rsidRDefault="00230C56" w:rsidP="00230C56">
            <w:pPr>
              <w:numPr>
                <w:ilvl w:val="0"/>
                <w:numId w:val="24"/>
              </w:numPr>
            </w:pPr>
            <w:r w:rsidRPr="00230C56">
              <w:t>VIC electricity distribution revised proposals</w:t>
            </w:r>
          </w:p>
        </w:tc>
        <w:tc>
          <w:tcPr>
            <w:tcW w:w="3025" w:type="dxa"/>
          </w:tcPr>
          <w:p w:rsidR="00230C56" w:rsidRPr="00230C56" w:rsidRDefault="00230C56" w:rsidP="00230C56">
            <w:pPr>
              <w:numPr>
                <w:ilvl w:val="0"/>
                <w:numId w:val="24"/>
              </w:numPr>
            </w:pPr>
          </w:p>
        </w:tc>
        <w:tc>
          <w:tcPr>
            <w:tcW w:w="2598" w:type="dxa"/>
          </w:tcPr>
          <w:p w:rsidR="00230C56" w:rsidRPr="00230C56" w:rsidRDefault="00230C56" w:rsidP="00230C56">
            <w:pPr>
              <w:numPr>
                <w:ilvl w:val="0"/>
                <w:numId w:val="24"/>
              </w:numPr>
            </w:pPr>
          </w:p>
        </w:tc>
      </w:tr>
      <w:tr w:rsidR="00230C56" w:rsidRPr="00986ABB" w:rsidTr="007E6AB8">
        <w:trPr>
          <w:cnfStyle w:val="000000010000" w:firstRow="0" w:lastRow="0" w:firstColumn="0" w:lastColumn="0" w:oddVBand="0" w:evenVBand="0" w:oddHBand="0" w:evenHBand="1" w:firstRowFirstColumn="0" w:firstRowLastColumn="0" w:lastRowFirstColumn="0" w:lastRowLastColumn="0"/>
        </w:trPr>
        <w:tc>
          <w:tcPr>
            <w:tcW w:w="3070" w:type="dxa"/>
          </w:tcPr>
          <w:p w:rsidR="00230C56" w:rsidRPr="00230C56" w:rsidRDefault="00230C56" w:rsidP="00230C56">
            <w:pPr>
              <w:numPr>
                <w:ilvl w:val="0"/>
                <w:numId w:val="24"/>
              </w:numPr>
            </w:pPr>
            <w:r w:rsidRPr="00230C56">
              <w:t>AusNet Services</w:t>
            </w:r>
          </w:p>
        </w:tc>
        <w:tc>
          <w:tcPr>
            <w:tcW w:w="3025" w:type="dxa"/>
          </w:tcPr>
          <w:p w:rsidR="00230C56" w:rsidRPr="00230C56" w:rsidRDefault="00230C56" w:rsidP="00230C56">
            <w:pPr>
              <w:numPr>
                <w:ilvl w:val="0"/>
                <w:numId w:val="24"/>
              </w:numPr>
            </w:pPr>
            <w:r w:rsidRPr="00230C56">
              <w:t>Proposed simple average of RBA and Reuters curves. AusNet Services made two submissions after the window for submissions in which AusNet Services submitted the BVAL curve would not contribute to an estimate that achieved the ARORO.</w:t>
            </w:r>
          </w:p>
        </w:tc>
        <w:tc>
          <w:tcPr>
            <w:tcW w:w="2598" w:type="dxa"/>
          </w:tcPr>
          <w:p w:rsidR="00230C56" w:rsidRPr="00230C56" w:rsidRDefault="00230C56" w:rsidP="00230C56">
            <w:pPr>
              <w:numPr>
                <w:ilvl w:val="0"/>
                <w:numId w:val="24"/>
              </w:numPr>
            </w:pPr>
            <w:r w:rsidRPr="00230C56">
              <w:t>Proposed the Lally extrapolation method(s), consistent with our recent decisions.</w:t>
            </w:r>
          </w:p>
        </w:tc>
      </w:tr>
      <w:tr w:rsidR="00230C56" w:rsidRPr="00986ABB" w:rsidTr="007E6AB8">
        <w:tc>
          <w:tcPr>
            <w:tcW w:w="3070" w:type="dxa"/>
          </w:tcPr>
          <w:p w:rsidR="00230C56" w:rsidRPr="00230C56" w:rsidRDefault="00230C56" w:rsidP="00230C56">
            <w:pPr>
              <w:numPr>
                <w:ilvl w:val="0"/>
                <w:numId w:val="24"/>
              </w:numPr>
            </w:pPr>
            <w:r w:rsidRPr="00230C56">
              <w:t>CitiPower and Powercor</w:t>
            </w:r>
          </w:p>
        </w:tc>
        <w:tc>
          <w:tcPr>
            <w:tcW w:w="3025" w:type="dxa"/>
          </w:tcPr>
          <w:p w:rsidR="00230C56" w:rsidRPr="00230C56" w:rsidRDefault="00230C56" w:rsidP="00230C56">
            <w:pPr>
              <w:numPr>
                <w:ilvl w:val="0"/>
                <w:numId w:val="24"/>
              </w:numPr>
            </w:pPr>
            <w:r w:rsidRPr="00230C56">
              <w:t>Proposed weighted average of the RBA, BVAL and Reuters curves; with 50 per cent weight allocated to the RBA curve and 25 per cent allocated to each of the BVAL and Reuters curves.</w:t>
            </w:r>
          </w:p>
        </w:tc>
        <w:tc>
          <w:tcPr>
            <w:tcW w:w="2598" w:type="dxa"/>
          </w:tcPr>
          <w:p w:rsidR="00230C56" w:rsidRPr="00230C56" w:rsidRDefault="00230C56" w:rsidP="00230C56">
            <w:pPr>
              <w:numPr>
                <w:ilvl w:val="0"/>
                <w:numId w:val="24"/>
              </w:numPr>
            </w:pPr>
            <w:r w:rsidRPr="00230C56">
              <w:t>Proposed adjustments to the RBA and BVAL curves consistent with our recent decisions.</w:t>
            </w:r>
            <w:r w:rsidRPr="00230C56" w:rsidDel="009D1D24">
              <w:t xml:space="preserve"> </w:t>
            </w:r>
          </w:p>
        </w:tc>
      </w:tr>
      <w:tr w:rsidR="00230C56" w:rsidRPr="00986ABB" w:rsidTr="007E6AB8">
        <w:trPr>
          <w:cnfStyle w:val="000000010000" w:firstRow="0" w:lastRow="0" w:firstColumn="0" w:lastColumn="0" w:oddVBand="0" w:evenVBand="0" w:oddHBand="0" w:evenHBand="1" w:firstRowFirstColumn="0" w:firstRowLastColumn="0" w:lastRowFirstColumn="0" w:lastRowLastColumn="0"/>
        </w:trPr>
        <w:tc>
          <w:tcPr>
            <w:tcW w:w="3070" w:type="dxa"/>
          </w:tcPr>
          <w:p w:rsidR="00230C56" w:rsidRPr="00230C56" w:rsidRDefault="00230C56" w:rsidP="00230C56">
            <w:pPr>
              <w:numPr>
                <w:ilvl w:val="0"/>
                <w:numId w:val="24"/>
              </w:numPr>
            </w:pPr>
            <w:r w:rsidRPr="00230C56">
              <w:t>Jemena Electricity Networks (JEN)</w:t>
            </w:r>
          </w:p>
        </w:tc>
        <w:tc>
          <w:tcPr>
            <w:tcW w:w="3025" w:type="dxa"/>
          </w:tcPr>
          <w:p w:rsidR="00230C56" w:rsidRPr="00230C56" w:rsidRDefault="00230C56" w:rsidP="00230C56">
            <w:pPr>
              <w:numPr>
                <w:ilvl w:val="0"/>
                <w:numId w:val="24"/>
              </w:numPr>
            </w:pPr>
            <w:r w:rsidRPr="00230C56">
              <w:t>For the first averaging period, the data source or combination of data sources that best fits a representative sample of bond yields is used.</w:t>
            </w:r>
          </w:p>
          <w:p w:rsidR="00230C56" w:rsidRPr="00230C56" w:rsidRDefault="00230C56" w:rsidP="00230C56">
            <w:pPr>
              <w:numPr>
                <w:ilvl w:val="0"/>
                <w:numId w:val="24"/>
              </w:numPr>
            </w:pPr>
            <w:r w:rsidRPr="00230C56">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230C56" w:rsidRPr="00230C56" w:rsidRDefault="00230C56" w:rsidP="00230C56">
            <w:pPr>
              <w:numPr>
                <w:ilvl w:val="0"/>
                <w:numId w:val="24"/>
              </w:numPr>
            </w:pPr>
            <w:r w:rsidRPr="00230C56">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230C56" w:rsidRPr="00230C56" w:rsidRDefault="00230C56" w:rsidP="00230C56">
            <w:pPr>
              <w:numPr>
                <w:ilvl w:val="0"/>
                <w:numId w:val="24"/>
              </w:numPr>
            </w:pPr>
            <w:r w:rsidRPr="00230C56">
              <w:t>See description in 'choice of data series' column.</w:t>
            </w:r>
          </w:p>
          <w:p w:rsidR="00230C56" w:rsidRPr="00230C56" w:rsidRDefault="00230C56" w:rsidP="00230C56">
            <w:pPr>
              <w:numPr>
                <w:ilvl w:val="0"/>
                <w:numId w:val="24"/>
              </w:numPr>
            </w:pPr>
            <w:r w:rsidRPr="00230C56">
              <w:t>Selection is between the Lally and SAPN extrapolation methods. The SAPN extrapolation method extends the 7 year yield estimate using the slope of spreads to swap from all published term points (1,3,5 and 7 years) and the difference between the 10 and 7 year base rates.</w:t>
            </w:r>
          </w:p>
        </w:tc>
      </w:tr>
      <w:tr w:rsidR="00230C56" w:rsidRPr="00986ABB" w:rsidTr="007E6AB8">
        <w:tc>
          <w:tcPr>
            <w:tcW w:w="3070" w:type="dxa"/>
          </w:tcPr>
          <w:p w:rsidR="00230C56" w:rsidRPr="00230C56" w:rsidRDefault="00230C56" w:rsidP="00230C56">
            <w:pPr>
              <w:numPr>
                <w:ilvl w:val="0"/>
                <w:numId w:val="24"/>
              </w:numPr>
            </w:pPr>
            <w:r w:rsidRPr="00230C56">
              <w:t>United Energy</w:t>
            </w:r>
          </w:p>
        </w:tc>
        <w:tc>
          <w:tcPr>
            <w:tcW w:w="3025" w:type="dxa"/>
          </w:tcPr>
          <w:p w:rsidR="00230C56" w:rsidRPr="00230C56" w:rsidRDefault="00230C56" w:rsidP="00230C56">
            <w:pPr>
              <w:numPr>
                <w:ilvl w:val="0"/>
                <w:numId w:val="24"/>
              </w:numPr>
            </w:pPr>
            <w:r w:rsidRPr="00230C56">
              <w:t xml:space="preserve">Proposed that a range of third party data series (with different extrapolation methods) and other information be tested each year against observed bond yields using United Energy's proposed 'best fit' approach.  </w:t>
            </w:r>
          </w:p>
          <w:p w:rsidR="00230C56" w:rsidRPr="00230C56" w:rsidRDefault="00230C56" w:rsidP="00230C56">
            <w:pPr>
              <w:numPr>
                <w:ilvl w:val="0"/>
                <w:numId w:val="24"/>
              </w:numPr>
            </w:pPr>
            <w:r w:rsidRPr="00230C56">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230C56" w:rsidRPr="00230C56" w:rsidRDefault="00230C56" w:rsidP="00230C56">
            <w:pPr>
              <w:numPr>
                <w:ilvl w:val="0"/>
                <w:numId w:val="24"/>
              </w:numPr>
            </w:pPr>
            <w:r w:rsidRPr="00230C56">
              <w:t>Proposed an annual 'best fit' test process to select between the Lally and SAPN methods.</w:t>
            </w:r>
          </w:p>
        </w:tc>
      </w:tr>
      <w:tr w:rsidR="00230C56" w:rsidRPr="00986ABB" w:rsidTr="007E6AB8">
        <w:trPr>
          <w:cnfStyle w:val="000000010000" w:firstRow="0" w:lastRow="0" w:firstColumn="0" w:lastColumn="0" w:oddVBand="0" w:evenVBand="0" w:oddHBand="0" w:evenHBand="1" w:firstRowFirstColumn="0" w:firstRowLastColumn="0" w:lastRowFirstColumn="0" w:lastRowLastColumn="0"/>
        </w:trPr>
        <w:tc>
          <w:tcPr>
            <w:tcW w:w="3070" w:type="dxa"/>
          </w:tcPr>
          <w:p w:rsidR="00230C56" w:rsidRPr="00230C56" w:rsidRDefault="00230C56" w:rsidP="00230C56">
            <w:pPr>
              <w:numPr>
                <w:ilvl w:val="0"/>
                <w:numId w:val="24"/>
              </w:numPr>
            </w:pPr>
            <w:r w:rsidRPr="00230C56">
              <w:t>Gas revised proposals</w:t>
            </w:r>
          </w:p>
        </w:tc>
        <w:tc>
          <w:tcPr>
            <w:tcW w:w="3025" w:type="dxa"/>
          </w:tcPr>
          <w:p w:rsidR="00230C56" w:rsidRPr="00230C56" w:rsidRDefault="00230C56" w:rsidP="00230C56">
            <w:pPr>
              <w:numPr>
                <w:ilvl w:val="0"/>
                <w:numId w:val="24"/>
              </w:numPr>
            </w:pPr>
          </w:p>
        </w:tc>
        <w:tc>
          <w:tcPr>
            <w:tcW w:w="2598" w:type="dxa"/>
          </w:tcPr>
          <w:p w:rsidR="00230C56" w:rsidRPr="00230C56" w:rsidRDefault="00230C56" w:rsidP="00230C56">
            <w:pPr>
              <w:numPr>
                <w:ilvl w:val="0"/>
                <w:numId w:val="24"/>
              </w:numPr>
            </w:pPr>
          </w:p>
        </w:tc>
      </w:tr>
      <w:tr w:rsidR="00230C56" w:rsidRPr="00986ABB" w:rsidTr="007E6AB8">
        <w:tc>
          <w:tcPr>
            <w:tcW w:w="3070" w:type="dxa"/>
          </w:tcPr>
          <w:p w:rsidR="00230C56" w:rsidRPr="00230C56" w:rsidRDefault="00230C56" w:rsidP="00230C56">
            <w:pPr>
              <w:numPr>
                <w:ilvl w:val="0"/>
                <w:numId w:val="24"/>
              </w:numPr>
            </w:pPr>
            <w:r w:rsidRPr="00230C56">
              <w:t>ActewAGL</w:t>
            </w:r>
          </w:p>
        </w:tc>
        <w:tc>
          <w:tcPr>
            <w:tcW w:w="3025" w:type="dxa"/>
          </w:tcPr>
          <w:p w:rsidR="00230C56" w:rsidRPr="00230C56" w:rsidRDefault="00230C56" w:rsidP="00230C56">
            <w:pPr>
              <w:numPr>
                <w:ilvl w:val="0"/>
                <w:numId w:val="24"/>
              </w:numPr>
            </w:pPr>
            <w:r w:rsidRPr="00230C56">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230C56" w:rsidRPr="00230C56" w:rsidRDefault="00230C56" w:rsidP="00230C56">
            <w:pPr>
              <w:numPr>
                <w:ilvl w:val="0"/>
                <w:numId w:val="24"/>
              </w:numPr>
            </w:pPr>
            <w:r w:rsidRPr="00230C56">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230C56" w:rsidRPr="00230C56" w:rsidRDefault="00230C56" w:rsidP="00230C56">
            <w:pPr>
              <w:numPr>
                <w:ilvl w:val="0"/>
                <w:numId w:val="24"/>
              </w:numPr>
            </w:pPr>
            <w:r w:rsidRPr="00230C56">
              <w:t>In its revised proposal, ActewAGL submitted that is maintains its initial proposal, but does not appear to refer to the 20 basis point threshold.</w:t>
            </w:r>
            <w:r w:rsidRPr="00230C56">
              <w:rPr>
                <w:rStyle w:val="FootnoteReference"/>
              </w:rPr>
              <w:footnoteReference w:id="502"/>
            </w:r>
          </w:p>
        </w:tc>
        <w:tc>
          <w:tcPr>
            <w:tcW w:w="2598" w:type="dxa"/>
          </w:tcPr>
          <w:p w:rsidR="00230C56" w:rsidRPr="00230C56" w:rsidRDefault="00230C56" w:rsidP="00230C56">
            <w:pPr>
              <w:numPr>
                <w:ilvl w:val="0"/>
                <w:numId w:val="24"/>
              </w:numPr>
            </w:pPr>
            <w:r w:rsidRPr="00230C56">
              <w:t>See description in 'choice of data series' column.</w:t>
            </w:r>
          </w:p>
          <w:p w:rsidR="00230C56" w:rsidRPr="00230C56" w:rsidRDefault="00230C56" w:rsidP="00230C56">
            <w:pPr>
              <w:numPr>
                <w:ilvl w:val="0"/>
                <w:numId w:val="24"/>
              </w:numPr>
            </w:pPr>
            <w:r w:rsidRPr="00230C56">
              <w:t>Selection is between the Lally and SAPN extrapolation methods.</w:t>
            </w:r>
          </w:p>
        </w:tc>
      </w:tr>
      <w:tr w:rsidR="00230C56" w:rsidRPr="00986ABB" w:rsidTr="007E6AB8">
        <w:trPr>
          <w:cnfStyle w:val="000000010000" w:firstRow="0" w:lastRow="0" w:firstColumn="0" w:lastColumn="0" w:oddVBand="0" w:evenVBand="0" w:oddHBand="0" w:evenHBand="1" w:firstRowFirstColumn="0" w:firstRowLastColumn="0" w:lastRowFirstColumn="0" w:lastRowLastColumn="0"/>
        </w:trPr>
        <w:tc>
          <w:tcPr>
            <w:tcW w:w="3070" w:type="dxa"/>
          </w:tcPr>
          <w:p w:rsidR="00230C56" w:rsidRPr="00230C56" w:rsidRDefault="00230C56" w:rsidP="00230C56">
            <w:pPr>
              <w:numPr>
                <w:ilvl w:val="0"/>
                <w:numId w:val="24"/>
              </w:numPr>
            </w:pPr>
            <w:r w:rsidRPr="00230C56">
              <w:t>Australian Gas Networks (AGN)</w:t>
            </w:r>
          </w:p>
        </w:tc>
        <w:tc>
          <w:tcPr>
            <w:tcW w:w="3025" w:type="dxa"/>
          </w:tcPr>
          <w:p w:rsidR="00230C56" w:rsidRPr="00230C56" w:rsidRDefault="00230C56" w:rsidP="00230C56">
            <w:pPr>
              <w:numPr>
                <w:ilvl w:val="0"/>
                <w:numId w:val="24"/>
              </w:numPr>
            </w:pPr>
            <w:r w:rsidRPr="00230C56">
              <w:t>Proposed an annual 'best fit' test process to choose between available third party data series and extrapolation methods.</w:t>
            </w:r>
          </w:p>
        </w:tc>
        <w:tc>
          <w:tcPr>
            <w:tcW w:w="2598" w:type="dxa"/>
          </w:tcPr>
          <w:p w:rsidR="00230C56" w:rsidRPr="00230C56" w:rsidRDefault="00230C56" w:rsidP="00230C56">
            <w:pPr>
              <w:numPr>
                <w:ilvl w:val="0"/>
                <w:numId w:val="24"/>
              </w:numPr>
            </w:pPr>
            <w:r w:rsidRPr="00230C56">
              <w:t>Proposed an annual 'best fit' test to choose between the Lally and SAPN methods.</w:t>
            </w:r>
          </w:p>
        </w:tc>
      </w:tr>
      <w:tr w:rsidR="00230C56" w:rsidRPr="00986ABB" w:rsidTr="007E6AB8">
        <w:tc>
          <w:tcPr>
            <w:tcW w:w="3070" w:type="dxa"/>
          </w:tcPr>
          <w:p w:rsidR="00230C56" w:rsidRPr="00230C56" w:rsidRDefault="00230C56" w:rsidP="00230C56">
            <w:pPr>
              <w:numPr>
                <w:ilvl w:val="0"/>
                <w:numId w:val="24"/>
              </w:numPr>
            </w:pPr>
            <w:r w:rsidRPr="00230C56">
              <w:t>APTNT</w:t>
            </w:r>
          </w:p>
        </w:tc>
        <w:tc>
          <w:tcPr>
            <w:tcW w:w="3025" w:type="dxa"/>
          </w:tcPr>
          <w:p w:rsidR="00230C56" w:rsidRPr="00230C56" w:rsidRDefault="00230C56" w:rsidP="00230C56">
            <w:pPr>
              <w:numPr>
                <w:ilvl w:val="0"/>
                <w:numId w:val="24"/>
              </w:numPr>
            </w:pPr>
            <w:r w:rsidRPr="00230C56">
              <w:t>Proposed sole reliance on RBA curve.</w:t>
            </w:r>
          </w:p>
        </w:tc>
        <w:tc>
          <w:tcPr>
            <w:tcW w:w="2598" w:type="dxa"/>
          </w:tcPr>
          <w:p w:rsidR="00230C56" w:rsidRPr="00230C56" w:rsidRDefault="00230C56" w:rsidP="00230C56">
            <w:pPr>
              <w:numPr>
                <w:ilvl w:val="0"/>
                <w:numId w:val="24"/>
              </w:numPr>
            </w:pPr>
            <w:r w:rsidRPr="00230C56">
              <w:t>Proposed extrapolation (the Lally method)  and interpolation methods for the RBA curve consistent with our recent decisions.</w:t>
            </w:r>
          </w:p>
        </w:tc>
      </w:tr>
    </w:tbl>
    <w:p w:rsidR="00230C56" w:rsidRPr="00230C56" w:rsidRDefault="00230C56" w:rsidP="00230C56">
      <w:pPr>
        <w:pStyle w:val="AERtablesource"/>
      </w:pPr>
      <w:r w:rsidRPr="00230C56">
        <w:t xml:space="preserve">Source: </w:t>
      </w:r>
      <w:r w:rsidRPr="00230C56">
        <w:tab/>
        <w:t>Regulatory proposals.</w:t>
      </w:r>
      <w:r w:rsidRPr="00230C56">
        <w:rPr>
          <w:rStyle w:val="AERsuperscript"/>
        </w:rPr>
        <w:footnoteReference w:id="503"/>
      </w:r>
    </w:p>
    <w:p w:rsidR="00230C56" w:rsidRPr="00230C56" w:rsidRDefault="00230C56" w:rsidP="00D806F7">
      <w:r w:rsidRPr="00230C56">
        <w:t>Having considered these proposals, our final decision is to maintain our approach as adopted in previous decisions and upheld by the Tribunal.</w:t>
      </w:r>
      <w:r w:rsidRPr="00230C56">
        <w:rPr>
          <w:rStyle w:val="FootnoteReference"/>
        </w:rPr>
        <w:footnoteReference w:id="504"/>
      </w:r>
      <w:r w:rsidR="00D806F7">
        <w:t xml:space="preserve"> In summary, we consider </w:t>
      </w:r>
      <w:r w:rsidRPr="00230C56">
        <w:t xml:space="preserve">we have 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230C56" w:rsidRPr="00230C56" w:rsidRDefault="00230C56" w:rsidP="00230C56">
      <w:r w:rsidRPr="00230C56">
        <w:t xml:space="preserve">Nonetheless, we have sought to evaluate all three curves to the fullest extent possible. For the reasons in this section and in </w:t>
      </w:r>
      <w:r w:rsidR="00067443" w:rsidRPr="00067443">
        <w:t xml:space="preserve">Appendix </w:t>
      </w:r>
      <w:r w:rsidR="00067443" w:rsidRPr="00067443">
        <w:fldChar w:fldCharType="begin"/>
      </w:r>
      <w:r w:rsidR="00067443" w:rsidRPr="00067443">
        <w:instrText xml:space="preserve"> REF _Ref451328704 \r \h </w:instrText>
      </w:r>
      <w:r w:rsidR="00067443" w:rsidRPr="00067443">
        <w:fldChar w:fldCharType="separate"/>
      </w:r>
      <w:r w:rsidR="000230CB">
        <w:t>I</w:t>
      </w:r>
      <w:r w:rsidR="00067443" w:rsidRPr="00067443">
        <w:fldChar w:fldCharType="end"/>
      </w:r>
      <w:r w:rsidR="00067443">
        <w:t xml:space="preserve"> </w:t>
      </w:r>
      <w:r w:rsidRPr="00230C56">
        <w:t xml:space="preserve">we remain satisfied that a simple average of the BVAL and RBA curves will contribute to an estimate that will achieve the </w:t>
      </w:r>
      <w:r w:rsidR="0068661A">
        <w:t>ARORO</w:t>
      </w:r>
      <w:r w:rsidRPr="00230C56">
        <w:t>. We have not yet formed a definitive view on the suitability of the Reuters curve, and are open to further consideration of this curve in the future.</w:t>
      </w:r>
    </w:p>
    <w:p w:rsidR="00230C56" w:rsidRPr="00230C56" w:rsidRDefault="00230C56" w:rsidP="00230C56">
      <w:pPr>
        <w:pStyle w:val="AERbulletlistfirststyle"/>
      </w:pPr>
      <w:r w:rsidRPr="00230C56">
        <w:t xml:space="preserve">more specifically, we remain satisfied that the BVAL curve is fit-for-purpose, and combined with the RBA curve , are satisfied that it will contribute to an estimate which achieves the </w:t>
      </w:r>
      <w:r w:rsidR="0068661A">
        <w:t>ARORO.</w:t>
      </w:r>
    </w:p>
    <w:p w:rsidR="00230C56" w:rsidRPr="00230C56" w:rsidRDefault="00230C56" w:rsidP="00230C56">
      <w:pPr>
        <w:pStyle w:val="AERbulletlistfirststyle"/>
      </w:pPr>
      <w:r w:rsidRPr="00230C56">
        <w:t>in proposing their recommendations, neither the service providers nor CEG have addressed the impact of our conservative benchmark assumptions. Specifically:</w:t>
      </w:r>
    </w:p>
    <w:p w:rsidR="00230C56" w:rsidRPr="00230C56" w:rsidRDefault="00230C56" w:rsidP="00230C56">
      <w:pPr>
        <w:pStyle w:val="AERbulletlistsecondstyle"/>
      </w:pPr>
      <w:r w:rsidRPr="00230C56">
        <w:t xml:space="preserve"> in the </w:t>
      </w:r>
      <w:r w:rsidR="00B15269">
        <w:t>G</w:t>
      </w:r>
      <w:r w:rsidRPr="00230C56">
        <w:t>uideline, we adopted a 10 year benchmark term based on a weighted average term at issuance of 8.7 years observed amongst service providers.</w:t>
      </w:r>
      <w:r w:rsidRPr="00230C56">
        <w:rPr>
          <w:rStyle w:val="FootnoteReference"/>
        </w:rPr>
        <w:footnoteReference w:id="505"/>
      </w:r>
      <w:r w:rsidRPr="00230C56">
        <w:t xml:space="preserve"> Ordinarily, this will lead to an upward bias in our benchmark compared to the sector's costs of debt. Using the RBA curve since 2005, this difference leads to an average upward bias of approximately 14 basis points.</w:t>
      </w:r>
      <w:r w:rsidRPr="00230C56">
        <w:rPr>
          <w:rStyle w:val="FootnoteReference"/>
        </w:rPr>
        <w:footnoteReference w:id="506"/>
      </w:r>
      <w:r w:rsidRPr="00230C56">
        <w:t xml:space="preserve"> </w:t>
      </w:r>
    </w:p>
    <w:p w:rsidR="00230C56" w:rsidRPr="00230C56" w:rsidRDefault="00230C56" w:rsidP="00230C56">
      <w:pPr>
        <w:pStyle w:val="AERbulletlistsecondstyle"/>
      </w:pPr>
      <w:r w:rsidRPr="00230C56">
        <w:t>we adopt a benchmark credit rating of BBB+ but estimate the return on debt using the 'broad-BBB' rated curves published by the RBA and Bloomberg. This means that these curves are estimated based on a bond sample that includes lower rated BBB and BBB</w:t>
      </w:r>
      <w:r w:rsidRPr="00230C56">
        <w:softHyphen/>
        <w:t>– rated bonds. To the extent that the estimates produced by these curves reflect those lower rated bonds, this would similarly introduce an upward bias.</w:t>
      </w:r>
    </w:p>
    <w:p w:rsidR="00230C56" w:rsidRPr="00230C56" w:rsidRDefault="00230C56" w:rsidP="00230C56">
      <w:r w:rsidRPr="00230C56">
        <w:t xml:space="preserve">In </w:t>
      </w:r>
      <w:r w:rsidR="00067443" w:rsidRPr="00067443">
        <w:t xml:space="preserve">Appendix </w:t>
      </w:r>
      <w:r w:rsidR="00067443" w:rsidRPr="00067443">
        <w:fldChar w:fldCharType="begin"/>
      </w:r>
      <w:r w:rsidR="00067443" w:rsidRPr="00067443">
        <w:instrText xml:space="preserve"> REF _Ref451328704 \r \h </w:instrText>
      </w:r>
      <w:r w:rsidR="00067443" w:rsidRPr="00067443">
        <w:fldChar w:fldCharType="separate"/>
      </w:r>
      <w:r w:rsidR="000230CB">
        <w:t>I</w:t>
      </w:r>
      <w:r w:rsidR="00067443" w:rsidRPr="00067443">
        <w:fldChar w:fldCharType="end"/>
      </w:r>
      <w:r w:rsidRPr="00230C56">
        <w:t xml:space="preserve">, we have set out more detailed analysis on our responses to issues raised by key stakeholders, including: </w:t>
      </w:r>
    </w:p>
    <w:p w:rsidR="00230C56" w:rsidRPr="00230C56" w:rsidRDefault="00230C56" w:rsidP="00230C56">
      <w:pPr>
        <w:pStyle w:val="AERbulletlistfirststyle"/>
      </w:pPr>
      <w:r w:rsidRPr="00230C56">
        <w:t>the Reuters curve</w:t>
      </w:r>
    </w:p>
    <w:p w:rsidR="00230C56" w:rsidRPr="00230C56" w:rsidRDefault="00230C56" w:rsidP="00230C56">
      <w:pPr>
        <w:pStyle w:val="AERbulletlistfirststyle"/>
      </w:pPr>
      <w:r w:rsidRPr="00230C56">
        <w:t>new criticisms of the BVAL curve</w:t>
      </w:r>
    </w:p>
    <w:p w:rsidR="00230C56" w:rsidRPr="00230C56" w:rsidRDefault="00230C56" w:rsidP="00230C56">
      <w:pPr>
        <w:pStyle w:val="AERbulletlistfirststyle"/>
      </w:pPr>
      <w:r w:rsidRPr="00230C56">
        <w:t>other issues.</w:t>
      </w:r>
    </w:p>
    <w:p w:rsidR="00230C56" w:rsidRPr="00230C56" w:rsidRDefault="00230C56" w:rsidP="00230C56">
      <w:pPr>
        <w:pStyle w:val="HeadingBoldItalic"/>
      </w:pPr>
      <w:r w:rsidRPr="00230C56">
        <w:t>Annual testing for the choice of data series</w:t>
      </w:r>
    </w:p>
    <w:p w:rsidR="00230C56" w:rsidRPr="00230C56" w:rsidRDefault="00230C56" w:rsidP="00230C56">
      <w:r w:rsidRPr="00230C56">
        <w:t xml:space="preserve">Since our decision for JGN, we have set out our reasons for not adopting the annual testing approaches proposed by some service providers and recommended by CEG.  In contrast, we are satisfied that a simple average of the BVAL and RBA curves extrapolated using the AER methodology will contribute to an estimate of the return on debt which achieves the </w:t>
      </w:r>
      <w:r w:rsidR="0068661A">
        <w:t>ARORO</w:t>
      </w:r>
      <w:r w:rsidRPr="00230C56">
        <w:t>. Amongst current proposals, ActewAGL,</w:t>
      </w:r>
      <w:r w:rsidRPr="00230C56">
        <w:rPr>
          <w:rStyle w:val="FootnoteReference"/>
        </w:rPr>
        <w:footnoteReference w:id="507"/>
      </w:r>
      <w:r w:rsidRPr="00230C56">
        <w:t xml:space="preserve"> AGN, JEN and United Energy proposed an annual process to test which of various curves, or averages of curves, 'best fit' a sample of bond yields during the particular service provider's averaging period in a particular year. These service providers propose to apply this annual testing methodology to select both the choice of data series and the extrapolation method.</w:t>
      </w:r>
    </w:p>
    <w:p w:rsidR="00230C56" w:rsidRPr="00230C56" w:rsidRDefault="00230C56" w:rsidP="00230C56">
      <w:pPr>
        <w:numPr>
          <w:ilvl w:val="0"/>
          <w:numId w:val="24"/>
        </w:numPr>
      </w:pPr>
      <w:r w:rsidRPr="00230C56">
        <w:t>We are not persuaded that either the service providers or CEG has identified material new reasons to justify adoption of an annual testing approach. In previous decisions, we have not adopted this annual testing approach for the following reasons:</w:t>
      </w:r>
    </w:p>
    <w:p w:rsidR="00230C56" w:rsidRPr="00230C56" w:rsidRDefault="00230C56" w:rsidP="00230C56">
      <w:pPr>
        <w:pStyle w:val="AERbulletlistfirststyle"/>
      </w:pPr>
      <w:r w:rsidRPr="00230C56">
        <w:t>The premise of the 'best fit' method is that it assumes, by definition, that this test better reflects efficient financing costs than either the RBA or BVAL method, and we are not persuaded this is the case.</w:t>
      </w:r>
    </w:p>
    <w:p w:rsidR="00230C56" w:rsidRPr="00230C56" w:rsidRDefault="00230C56" w:rsidP="00230C56">
      <w:pPr>
        <w:pStyle w:val="AERbulletlistfirststyle"/>
      </w:pPr>
      <w:r w:rsidRPr="00230C56">
        <w:t>Placing sole weight on the 'best fit' method ignores useful information that can be gathered from examining and analysing the underlying bond selection criteria and curve fitting methodologies of the RBA and BVAL methods.</w:t>
      </w:r>
    </w:p>
    <w:p w:rsidR="00230C56" w:rsidRPr="00230C56" w:rsidRDefault="00230C56" w:rsidP="00230C56">
      <w:pPr>
        <w:pStyle w:val="AERbulletlistfirststyle"/>
      </w:pPr>
      <w:r w:rsidRPr="00230C56">
        <w:t>The particular 'best fit' methods that have been proposed to us by service providers are inconsistent with the rules requirement for a change in revenue from the annual debt update to be from an automatic application of a formula in the decision.</w:t>
      </w:r>
      <w:r w:rsidRPr="00230C56">
        <w:rPr>
          <w:rStyle w:val="AERsuperscript"/>
        </w:rPr>
        <w:footnoteReference w:id="508"/>
      </w:r>
    </w:p>
    <w:p w:rsidR="00230C56" w:rsidRPr="00230C56" w:rsidRDefault="00230C56" w:rsidP="00230C56">
      <w:pPr>
        <w:numPr>
          <w:ilvl w:val="0"/>
          <w:numId w:val="24"/>
        </w:numPr>
      </w:pPr>
      <w:r w:rsidRPr="00230C56">
        <w:t>We explain each of these reasons below.</w:t>
      </w:r>
    </w:p>
    <w:p w:rsidR="00230C56" w:rsidRPr="00230C56" w:rsidRDefault="00230C56" w:rsidP="00230C56">
      <w:pPr>
        <w:numPr>
          <w:ilvl w:val="0"/>
          <w:numId w:val="24"/>
        </w:numPr>
      </w:pPr>
      <w:r w:rsidRPr="00230C56">
        <w:t>Firstly, the following is a simplified explanation of the range of annual testing methods proposed by various service providers, which is helpful to illustrate our objection to its core premise:</w:t>
      </w:r>
    </w:p>
    <w:p w:rsidR="00230C56" w:rsidRPr="00230C56" w:rsidRDefault="00230C56" w:rsidP="00230C56">
      <w:pPr>
        <w:pStyle w:val="AERbulletlistfirststyle"/>
      </w:pPr>
      <w:r w:rsidRPr="00230C56">
        <w:t>Assume there are three sets of bonds labelled Group A, Group B and Group C. The selection criteria for each group is different, but partially overlapping, meaning there is some commonality of the bonds in each group.</w:t>
      </w:r>
    </w:p>
    <w:p w:rsidR="00230C56" w:rsidRPr="00230C56" w:rsidRDefault="00230C56" w:rsidP="00230C56">
      <w:pPr>
        <w:pStyle w:val="AERbulletlistfirststyle"/>
      </w:pPr>
      <w:r w:rsidRPr="00230C56">
        <w:t>Group A bonds are used to construct Curve A, Group B bonds are used to construct Curve B, and Group C bonds are used as a ‘test group’.</w:t>
      </w:r>
    </w:p>
    <w:p w:rsidR="00230C56" w:rsidRPr="00230C56" w:rsidRDefault="00230C56" w:rsidP="00230C56">
      <w:pPr>
        <w:pStyle w:val="AERbulletlistfirststyle"/>
      </w:pPr>
      <w:r w:rsidRPr="00230C56">
        <w:t>The test is applied as follows—Curve A and Curve B are tested to assess which curve better fits the bonds in Group C, the test group.</w:t>
      </w:r>
    </w:p>
    <w:p w:rsidR="00230C56" w:rsidRPr="00230C56" w:rsidRDefault="00230C56" w:rsidP="00230C56">
      <w:pPr>
        <w:pStyle w:val="AERbulletlistfirststyle"/>
      </w:pPr>
      <w:r w:rsidRPr="00230C56">
        <w:t>Assume Group A bonds and Curve A represent the BVAL methodology, Group B bonds and Curve B represent the RBA methodology, and Group C bonds represent the test group of bonds proposed by service providers (based on either the CEG or Esquant methodology).</w:t>
      </w:r>
    </w:p>
    <w:p w:rsidR="00230C56" w:rsidRPr="00230C56" w:rsidRDefault="00230C56" w:rsidP="00230C56">
      <w:pPr>
        <w:pStyle w:val="AERbulletlistfirststyle"/>
      </w:pPr>
      <w:r w:rsidRPr="00230C56">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230C56" w:rsidRPr="00230C56" w:rsidRDefault="00230C56" w:rsidP="00230C56">
      <w:pPr>
        <w:numPr>
          <w:ilvl w:val="0"/>
          <w:numId w:val="24"/>
        </w:numPr>
      </w:pPr>
      <w:r w:rsidRPr="00230C56">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230C56" w:rsidRPr="00230C56" w:rsidRDefault="00230C56" w:rsidP="00230C56">
      <w:pPr>
        <w:numPr>
          <w:ilvl w:val="0"/>
          <w:numId w:val="24"/>
        </w:numPr>
      </w:pPr>
      <w:r w:rsidRPr="00230C56">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 however, neither was clearly superior to the other.</w:t>
      </w:r>
    </w:p>
    <w:p w:rsidR="00230C56" w:rsidRPr="00230C56" w:rsidRDefault="00230C56" w:rsidP="00230C56">
      <w:pPr>
        <w:numPr>
          <w:ilvl w:val="0"/>
          <w:numId w:val="24"/>
        </w:numPr>
      </w:pPr>
      <w:r w:rsidRPr="00230C56">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230C56" w:rsidRPr="00230C56" w:rsidRDefault="00230C56" w:rsidP="00230C56">
      <w:pPr>
        <w:numPr>
          <w:ilvl w:val="0"/>
          <w:numId w:val="24"/>
        </w:numPr>
      </w:pPr>
      <w:r w:rsidRPr="00230C56">
        <w:t xml:space="preserve">Secondly, 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230C56" w:rsidRPr="00230C56" w:rsidRDefault="00230C56" w:rsidP="00230C56">
      <w:pPr>
        <w:numPr>
          <w:ilvl w:val="0"/>
          <w:numId w:val="24"/>
        </w:numPr>
      </w:pPr>
      <w:r w:rsidRPr="00230C56">
        <w:t>In contrast, the annual testing approach treats each curve as a 'black box', when they are not. We might adopt an approach like that if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substantial amount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230C56" w:rsidRPr="00230C56" w:rsidRDefault="00230C56" w:rsidP="00230C56">
      <w:pPr>
        <w:numPr>
          <w:ilvl w:val="0"/>
          <w:numId w:val="24"/>
        </w:numPr>
      </w:pPr>
      <w:r w:rsidRPr="00230C56">
        <w:t xml:space="preserve">Some service providers have stated this reasoning is inconsistent with the principles articulated by the Tribunal in </w:t>
      </w:r>
      <w:r w:rsidRPr="00230C56">
        <w:rPr>
          <w:rStyle w:val="AERtextitalic"/>
        </w:rPr>
        <w:t>Application by Jemena Gas Networks (NSW) Ltd (No 5) [2011] ACompT 10</w:t>
      </w:r>
      <w:r w:rsidRPr="00230C56">
        <w:t>, in which the Tribunal determined to use a particular curve over another on the basis that it provided a better fit to the available data.</w:t>
      </w:r>
      <w:r w:rsidRPr="00230C56">
        <w:rPr>
          <w:rStyle w:val="FootnoteReference"/>
        </w:rPr>
        <w:footnoteReference w:id="509"/>
      </w:r>
      <w:r w:rsidRPr="00230C56">
        <w:t xml:space="preserve">  We disagree.  In the JGN matter, the Tribunal said:</w:t>
      </w:r>
    </w:p>
    <w:p w:rsidR="00230C56" w:rsidRPr="00230C56" w:rsidRDefault="00230C56" w:rsidP="00230C56">
      <w:pPr>
        <w:pStyle w:val="AERquote"/>
      </w:pPr>
      <w:r w:rsidRPr="00230C56">
        <w:t>In ActewAGL averaging of rival fair value curves was undertaken because there was no clear basis to justify a preference for one curve over the other. Here, by way of contrast, Professor Handley was somewhat equivocal in his support for the CBA 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sidRPr="00230C56">
        <w:rPr>
          <w:rStyle w:val="FootnoteReference"/>
        </w:rPr>
        <w:footnoteReference w:id="510"/>
      </w:r>
    </w:p>
    <w:p w:rsidR="00230C56" w:rsidRPr="00230C56" w:rsidRDefault="00230C56" w:rsidP="00230C56">
      <w:pPr>
        <w:numPr>
          <w:ilvl w:val="0"/>
          <w:numId w:val="24"/>
        </w:numPr>
      </w:pPr>
      <w:r w:rsidRPr="00230C56">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Application by Jemena Gas Networks (NSW) Ltd (No 5), and also with the endorsement given by the Tribunal to curve averaging in </w:t>
      </w:r>
      <w:r w:rsidRPr="00230C56">
        <w:rPr>
          <w:rStyle w:val="AERtextitalic"/>
        </w:rPr>
        <w:t>Application by ActewAGL Distribution [2010] ACompT 4</w:t>
      </w:r>
      <w:r w:rsidRPr="00230C56">
        <w:t>.</w:t>
      </w:r>
      <w:r w:rsidRPr="00230C56">
        <w:rPr>
          <w:rStyle w:val="FootnoteReference"/>
        </w:rPr>
        <w:footnoteReference w:id="511"/>
      </w:r>
    </w:p>
    <w:p w:rsidR="00230C56" w:rsidRPr="00230C56" w:rsidRDefault="00230C56" w:rsidP="00230C56">
      <w:pPr>
        <w:numPr>
          <w:ilvl w:val="0"/>
          <w:numId w:val="24"/>
        </w:numPr>
      </w:pPr>
      <w:r w:rsidRPr="00230C56">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sidRPr="00230C56">
        <w:rPr>
          <w:rStyle w:val="FootnoteReference"/>
        </w:rPr>
        <w:footnoteReference w:id="512"/>
      </w:r>
      <w:r w:rsidRPr="00230C56">
        <w:t xml:space="preserve"> However, the new rules that permit annual updating also require for a change in revenue from the annual debt update to be from an automatic application of a formula in the decision.</w:t>
      </w:r>
      <w:r w:rsidRPr="00230C56">
        <w:rPr>
          <w:rStyle w:val="FootnoteReference"/>
        </w:rPr>
        <w:footnoteReference w:id="513"/>
      </w:r>
      <w:r w:rsidRPr="00230C56">
        <w:t xml:space="preserve"> Accordingly, the rules no not permit the sort of qualitative approach to checking for outliers that the Tribunal considers important if an annual testing approach was adopted. </w:t>
      </w:r>
    </w:p>
    <w:p w:rsidR="00230C56" w:rsidRPr="00230C56" w:rsidRDefault="00230C56" w:rsidP="00230C56">
      <w:r w:rsidRPr="00230C56">
        <w:t>Thirdly, 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“a resulting change to the service provider's total revenue must be effected through the automatic application of a formula that is specified in the determination”.</w:t>
      </w:r>
      <w:r w:rsidRPr="00230C56">
        <w:rPr>
          <w:rStyle w:val="FootnoteReference"/>
        </w:rPr>
        <w:footnoteReference w:id="514"/>
      </w:r>
      <w:r w:rsidRPr="00230C56">
        <w:t xml:space="preserve">  In the 2012 rule determination, the AEMC said in relation to this rule that “the formula for calculating the updated return on debt must be specified in the regulatory determination or access arrangement and must be capable of applying automatically”.</w:t>
      </w:r>
      <w:r w:rsidRPr="00230C56">
        <w:rPr>
          <w:rStyle w:val="FootnoteReference"/>
        </w:rPr>
        <w:footnoteReference w:id="515"/>
      </w:r>
      <w:r w:rsidRPr="00230C56">
        <w:t xml:space="preserve"> We are not satisfied that proposed approaches to estimating return on debt by reason to a 'best fit' data source could be formulaically applied as required by this rule.  </w:t>
      </w:r>
    </w:p>
    <w:p w:rsidR="00230C56" w:rsidRPr="00230C56" w:rsidRDefault="00230C56" w:rsidP="00230C56">
      <w:pPr>
        <w:numPr>
          <w:ilvl w:val="0"/>
          <w:numId w:val="24"/>
        </w:numPr>
      </w:pPr>
      <w:r w:rsidRPr="00230C56">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230C56" w:rsidRPr="00230C56" w:rsidRDefault="00230C56" w:rsidP="00230C56">
      <w:pPr>
        <w:numPr>
          <w:ilvl w:val="0"/>
          <w:numId w:val="24"/>
        </w:numPr>
      </w:pPr>
      <w:r w:rsidRPr="00230C56">
        <w:t xml:space="preserve">However, the rules do not permit the calculation of return on debt from year to year by reference to qualitative assessments of whether a particular data source is “well-accepted”. In this regard, rule 87 of the NGR formerly provided that in determining a rate of return on capital, a “well accepted approach that incorporates the cost of equity and debt, such as the Weighted Average Cost of Capital” and a “well accepted financial model, such as the Capital Asset Pricing Model”, are to be used.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230C56" w:rsidRPr="00230C56" w:rsidRDefault="00230C56" w:rsidP="00230C56">
      <w:pPr>
        <w:numPr>
          <w:ilvl w:val="0"/>
          <w:numId w:val="24"/>
        </w:numPr>
      </w:pPr>
      <w:r w:rsidRPr="00230C56">
        <w:t>We consider both of these steps (i.e. determination of a well-accepted or well-recognised methodology) requires extensive use of judgement, as there is no objective standard for wide use, recognition or acceptance of a method within the finance industry. For example, in relation to:</w:t>
      </w:r>
    </w:p>
    <w:p w:rsidR="00230C56" w:rsidRPr="00230C56" w:rsidRDefault="00230C56" w:rsidP="00230C56">
      <w:pPr>
        <w:pStyle w:val="AERbulletlistfirststyle"/>
      </w:pPr>
      <w:r w:rsidRPr="00230C56">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230C56" w:rsidRPr="00230C56" w:rsidRDefault="00230C56" w:rsidP="00230C56">
      <w:pPr>
        <w:pStyle w:val="AERbulletlistfirststyle"/>
      </w:pPr>
      <w:r w:rsidRPr="00230C56">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230C56" w:rsidRPr="00230C56" w:rsidRDefault="00230C56" w:rsidP="00230C56">
      <w:pPr>
        <w:numPr>
          <w:ilvl w:val="0"/>
          <w:numId w:val="24"/>
        </w:numPr>
      </w:pPr>
      <w:r w:rsidRPr="00230C56">
        <w:t>Accordingly, the JGN method, which has been adopted by a number of service providers leaves many questions unanswered. Answering these questions would involve, each year, considerable amounts of analysis, judgement and possibly consultation. We are not satisfied this proposed formula can be 'automatically applied', as required by the rules.</w:t>
      </w:r>
    </w:p>
    <w:p w:rsidR="00230C56" w:rsidRPr="00230C56" w:rsidRDefault="00230C56" w:rsidP="00230C56">
      <w:r w:rsidRPr="00230C56">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230C56" w:rsidRPr="00230C56" w:rsidRDefault="00230C56" w:rsidP="00230C56">
      <w:pPr>
        <w:pStyle w:val="AERquote"/>
      </w:pPr>
      <w:r w:rsidRPr="00230C56">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230C56" w:rsidRPr="00230C56" w:rsidRDefault="00230C56" w:rsidP="00230C56">
      <w:pPr>
        <w:pStyle w:val="AERquote"/>
      </w:pPr>
      <w:r w:rsidRPr="00230C56">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sidRPr="00230C56">
        <w:rPr>
          <w:rStyle w:val="FootnoteReference"/>
        </w:rPr>
        <w:footnoteReference w:id="516"/>
      </w:r>
      <w:r w:rsidRPr="00230C56">
        <w:t xml:space="preserve">  </w:t>
      </w:r>
    </w:p>
    <w:p w:rsidR="00230C56" w:rsidRPr="00230C56" w:rsidRDefault="00230C56" w:rsidP="00230C56">
      <w:r w:rsidRPr="00230C56">
        <w:t>We maintain these reasons as set out in previous decisions,</w:t>
      </w:r>
      <w:r w:rsidRPr="00230C56">
        <w:rPr>
          <w:rStyle w:val="FootnoteReference"/>
        </w:rPr>
        <w:footnoteReference w:id="517"/>
      </w:r>
      <w:r w:rsidRPr="00230C56">
        <w:t xml:space="preserve"> and are satisfied that they remain relevant. Our detailed explanation of these reasons is set out in previous decisions. In addition, we note that our decision on the JGN approach was upheld by the Tribunal.</w:t>
      </w:r>
      <w:r w:rsidRPr="00230C56">
        <w:rPr>
          <w:rStyle w:val="FootnoteReference"/>
        </w:rPr>
        <w:footnoteReference w:id="518"/>
      </w:r>
    </w:p>
    <w:p w:rsidR="00230C56" w:rsidRPr="00230C56" w:rsidRDefault="00230C56" w:rsidP="00230C56">
      <w:pPr>
        <w:pStyle w:val="HeadingBoldItalic"/>
      </w:pPr>
      <w:r w:rsidRPr="00230C56">
        <w:t>Extrapolation and interpolation</w:t>
      </w:r>
    </w:p>
    <w:p w:rsidR="00230C56" w:rsidRPr="00230C56" w:rsidRDefault="00230C56" w:rsidP="00230C56">
      <w:r w:rsidRPr="00230C56">
        <w:t>Our decision on extrapolation and interpolation issues is to maintain the approach set out in our recent decisions. This refers to:</w:t>
      </w:r>
    </w:p>
    <w:p w:rsidR="00230C56" w:rsidRPr="00230C56" w:rsidRDefault="00230C56" w:rsidP="00230C56">
      <w:pPr>
        <w:pStyle w:val="AERbulletlistfirststyle"/>
      </w:pPr>
      <w:r w:rsidRPr="00230C56">
        <w:t>Extrapolation—where we need to extend a curve beyond its observed or published range. For example, before April 2015, Bloomberg publishes its BVAL curve to a maximum term of 7 years, whereas we require an estimate for a 10 year term.</w:t>
      </w:r>
    </w:p>
    <w:p w:rsidR="00230C56" w:rsidRPr="00230C56" w:rsidRDefault="00230C56" w:rsidP="00230C56">
      <w:pPr>
        <w:pStyle w:val="AERbulletlistfirststyle"/>
      </w:pPr>
      <w:r w:rsidRPr="00230C56">
        <w:t>Interpolation—where we need a value for which there is no published estimate but it lies between two published estimates. For example, the RBA only publishes its curve estimates for one day each month, but we require estimates for each business day.</w:t>
      </w:r>
    </w:p>
    <w:p w:rsidR="00230C56" w:rsidRPr="00230C56" w:rsidRDefault="00230C56" w:rsidP="00230C56">
      <w:r w:rsidRPr="00230C56">
        <w:t xml:space="preserve">Specifically, we will make the following adjustments as set out in </w:t>
      </w:r>
      <w:r w:rsidRPr="00230C56">
        <w:fldChar w:fldCharType="begin"/>
      </w:r>
      <w:r w:rsidRPr="00230C56">
        <w:instrText xml:space="preserve"> REF  _Ref415565506 \* Lower \h </w:instrText>
      </w:r>
      <w:r w:rsidRPr="00230C56">
        <w:fldChar w:fldCharType="separate"/>
      </w:r>
      <w:r w:rsidR="000230CB" w:rsidRPr="00230C56">
        <w:t xml:space="preserve">table </w:t>
      </w:r>
      <w:r w:rsidR="000230CB">
        <w:rPr>
          <w:noProof/>
        </w:rPr>
        <w:t>3</w:t>
      </w:r>
      <w:r w:rsidR="000230CB">
        <w:noBreakHyphen/>
      </w:r>
      <w:r w:rsidR="000230CB">
        <w:rPr>
          <w:noProof/>
        </w:rPr>
        <w:t>16</w:t>
      </w:r>
      <w:r w:rsidRPr="00230C56">
        <w:fldChar w:fldCharType="end"/>
      </w:r>
      <w:r w:rsidRPr="00230C56">
        <w:t xml:space="preserve"> and </w:t>
      </w:r>
      <w:r w:rsidRPr="00230C56">
        <w:fldChar w:fldCharType="begin"/>
      </w:r>
      <w:r w:rsidRPr="00230C56">
        <w:instrText xml:space="preserve"> REF  _Ref415565534 \* Lower \h </w:instrText>
      </w:r>
      <w:r w:rsidRPr="00230C56">
        <w:fldChar w:fldCharType="separate"/>
      </w:r>
      <w:r w:rsidR="000230CB" w:rsidRPr="00230C56">
        <w:t xml:space="preserve">table </w:t>
      </w:r>
      <w:r w:rsidR="000230CB">
        <w:rPr>
          <w:noProof/>
        </w:rPr>
        <w:t>3</w:t>
      </w:r>
      <w:r w:rsidR="000230CB">
        <w:noBreakHyphen/>
      </w:r>
      <w:r w:rsidR="000230CB">
        <w:rPr>
          <w:noProof/>
        </w:rPr>
        <w:t>17</w:t>
      </w:r>
      <w:r w:rsidRPr="00230C56">
        <w:fldChar w:fldCharType="end"/>
      </w:r>
      <w:r w:rsidRPr="00230C56">
        <w:t xml:space="preserve">. </w:t>
      </w:r>
    </w:p>
    <w:p w:rsidR="00230C56" w:rsidRPr="00230C56" w:rsidRDefault="00230C56" w:rsidP="00230C56">
      <w:pPr>
        <w:pStyle w:val="Caption"/>
      </w:pPr>
      <w:r w:rsidRPr="00230C56">
        <w:t xml:space="preserve"> </w:t>
      </w:r>
      <w:bookmarkStart w:id="87" w:name="_Ref415565506"/>
      <w:bookmarkStart w:id="88" w:name="_Ref415565496"/>
      <w:r w:rsidRPr="00230C56">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16</w:t>
      </w:r>
      <w:r w:rsidR="00527450">
        <w:rPr>
          <w:noProof/>
        </w:rPr>
        <w:fldChar w:fldCharType="end"/>
      </w:r>
      <w:bookmarkEnd w:id="87"/>
      <w:r w:rsidRPr="00230C56">
        <w:tab/>
        <w:t>Adjustments to the RBA curve</w:t>
      </w:r>
      <w:bookmarkEnd w:id="88"/>
    </w:p>
    <w:tbl>
      <w:tblPr>
        <w:tblStyle w:val="AERtable-text0"/>
        <w:tblW w:w="0" w:type="auto"/>
        <w:tblLook w:val="04A0" w:firstRow="1" w:lastRow="0" w:firstColumn="1" w:lastColumn="0" w:noHBand="0" w:noVBand="1"/>
      </w:tblPr>
      <w:tblGrid>
        <w:gridCol w:w="1763"/>
        <w:gridCol w:w="1262"/>
        <w:gridCol w:w="5668"/>
      </w:tblGrid>
      <w:tr w:rsidR="00230C56" w:rsidRPr="00F427A1" w:rsidTr="007E6AB8">
        <w:trPr>
          <w:cnfStyle w:val="100000000000" w:firstRow="1" w:lastRow="0" w:firstColumn="0" w:lastColumn="0" w:oddVBand="0" w:evenVBand="0" w:oddHBand="0" w:evenHBand="0" w:firstRowFirstColumn="0" w:firstRowLastColumn="0" w:lastRowFirstColumn="0" w:lastRowLastColumn="0"/>
          <w:tblHeader/>
        </w:trPr>
        <w:tc>
          <w:tcPr>
            <w:tcW w:w="1763" w:type="dxa"/>
          </w:tcPr>
          <w:p w:rsidR="00230C56" w:rsidRPr="00230C56" w:rsidRDefault="00230C56" w:rsidP="00230C56">
            <w:r w:rsidRPr="00230C56">
              <w:t>Adjustment Type</w:t>
            </w:r>
          </w:p>
        </w:tc>
        <w:tc>
          <w:tcPr>
            <w:tcW w:w="1262" w:type="dxa"/>
          </w:tcPr>
          <w:p w:rsidR="00230C56" w:rsidRPr="00230C56" w:rsidRDefault="00230C56" w:rsidP="00230C56">
            <w:r w:rsidRPr="00230C56">
              <w:t>Amendment made?</w:t>
            </w:r>
          </w:p>
        </w:tc>
        <w:tc>
          <w:tcPr>
            <w:tcW w:w="5668" w:type="dxa"/>
          </w:tcPr>
          <w:p w:rsidR="00230C56" w:rsidRPr="00230C56" w:rsidRDefault="00230C56" w:rsidP="00230C56">
            <w:r w:rsidRPr="00230C56">
              <w:t>Comments</w:t>
            </w:r>
          </w:p>
        </w:tc>
      </w:tr>
      <w:tr w:rsidR="00230C56" w:rsidRPr="00F427A1" w:rsidTr="007E6AB8">
        <w:tc>
          <w:tcPr>
            <w:tcW w:w="1763" w:type="dxa"/>
          </w:tcPr>
          <w:p w:rsidR="00230C56" w:rsidRPr="00230C56" w:rsidRDefault="00230C56" w:rsidP="00230C56">
            <w:r w:rsidRPr="00230C56">
              <w:t>Interpolation to construct daily estimates.</w:t>
            </w:r>
          </w:p>
        </w:tc>
        <w:tc>
          <w:tcPr>
            <w:tcW w:w="1262" w:type="dxa"/>
          </w:tcPr>
          <w:p w:rsidR="00230C56" w:rsidRPr="00230C56" w:rsidRDefault="00230C56" w:rsidP="00230C56">
            <w:r w:rsidRPr="00230C56">
              <w:t>Yes</w:t>
            </w:r>
          </w:p>
        </w:tc>
        <w:tc>
          <w:tcPr>
            <w:tcW w:w="5668" w:type="dxa"/>
          </w:tcPr>
          <w:p w:rsidR="00230C56" w:rsidRPr="00230C56" w:rsidRDefault="00230C56" w:rsidP="00230C56">
            <w:r w:rsidRPr="00230C56">
              <w:t xml:space="preserve">The RBA curve only provides an estimate for one business day at the end of each month. In our experience, averaging periods commonly start and/or end on dates during the month.  </w:t>
            </w:r>
          </w:p>
          <w:p w:rsidR="00230C56" w:rsidRPr="00230C56" w:rsidRDefault="00230C56" w:rsidP="00230C56">
            <w:r w:rsidRPr="00230C56">
              <w:t>We will address this issue by linearly interpolating between month end values where possible. While we are satisfied that interpolation over business days is also reasonable, we will interpolate over all days because:</w:t>
            </w:r>
          </w:p>
          <w:p w:rsidR="00230C56" w:rsidRPr="00230C56" w:rsidRDefault="00230C56" w:rsidP="00230C56">
            <w:pPr>
              <w:pStyle w:val="AERbulletlistfirststyle"/>
            </w:pPr>
            <w:r w:rsidRPr="00230C56">
              <w:t>this is consistent with our widely accepted approach to interpolate estimates of the risk free rate using CGS</w:t>
            </w:r>
          </w:p>
          <w:p w:rsidR="00230C56" w:rsidRPr="00230C56" w:rsidRDefault="00230C56" w:rsidP="00230C56">
            <w:pPr>
              <w:pStyle w:val="AERbulletlistfirststyle"/>
            </w:pPr>
            <w:r w:rsidRPr="00230C56">
              <w:t>interpolating over all days is simpler to implement</w:t>
            </w:r>
          </w:p>
          <w:p w:rsidR="00230C56" w:rsidRPr="00230C56" w:rsidRDefault="00230C56" w:rsidP="00230C56">
            <w:pPr>
              <w:pStyle w:val="AERbulletlistfirststyle"/>
            </w:pPr>
            <w:r w:rsidRPr="00230C56">
              <w:t>it is impractical to interpolate over business days for estimating the risk free rate, as this would require calculations relative to specific trading days 10 years in advance</w:t>
            </w:r>
          </w:p>
          <w:p w:rsidR="00230C56" w:rsidRPr="00230C56" w:rsidRDefault="00230C56" w:rsidP="00230C56">
            <w:pPr>
              <w:pStyle w:val="AERbulletlistfirststyle"/>
            </w:pPr>
            <w:r w:rsidRPr="00230C56">
              <w:t>the difference to the estimates between interpolating over business days or interpolating over all days is immaterial.</w:t>
            </w:r>
            <w:r w:rsidRPr="00230C56">
              <w:rPr>
                <w:rStyle w:val="AERsuperscript"/>
              </w:rPr>
              <w:footnoteReference w:id="519"/>
            </w:r>
          </w:p>
          <w:p w:rsidR="00230C56" w:rsidRPr="00230C56" w:rsidRDefault="00230C56" w:rsidP="00230C56">
            <w:r w:rsidRPr="00230C56">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230C56" w:rsidRPr="00F427A1" w:rsidTr="007E6AB8">
        <w:trPr>
          <w:cnfStyle w:val="000000010000" w:firstRow="0" w:lastRow="0" w:firstColumn="0" w:lastColumn="0" w:oddVBand="0" w:evenVBand="0" w:oddHBand="0" w:evenHBand="1" w:firstRowFirstColumn="0" w:firstRowLastColumn="0" w:lastRowFirstColumn="0" w:lastRowLastColumn="0"/>
        </w:trPr>
        <w:tc>
          <w:tcPr>
            <w:tcW w:w="1763" w:type="dxa"/>
          </w:tcPr>
          <w:p w:rsidR="00230C56" w:rsidRPr="00230C56" w:rsidRDefault="00230C56" w:rsidP="00230C56">
            <w:r w:rsidRPr="00230C56">
              <w:t>Extrapolation to target term.</w:t>
            </w:r>
          </w:p>
        </w:tc>
        <w:tc>
          <w:tcPr>
            <w:tcW w:w="1262" w:type="dxa"/>
          </w:tcPr>
          <w:p w:rsidR="00230C56" w:rsidRPr="00230C56" w:rsidRDefault="00230C56" w:rsidP="00230C56">
            <w:r w:rsidRPr="00230C56">
              <w:t>Yes</w:t>
            </w:r>
          </w:p>
        </w:tc>
        <w:tc>
          <w:tcPr>
            <w:tcW w:w="5668" w:type="dxa"/>
          </w:tcPr>
          <w:p w:rsidR="00230C56" w:rsidRPr="00230C56" w:rsidRDefault="00230C56" w:rsidP="00230C56">
            <w:r w:rsidRPr="00230C56">
              <w:t>The 'effective term' of the RBA bond sample is commonly less than 10 years. For this reason, Lally recommended that the spread component of the yield should be extrapolated from its effective term at publication to the benchmark term (10 years).</w:t>
            </w:r>
            <w:r w:rsidRPr="00230C56">
              <w:rPr>
                <w:rStyle w:val="AERsuperscript"/>
              </w:rPr>
              <w:footnoteReference w:id="520"/>
            </w:r>
            <w:r w:rsidRPr="00230C56">
              <w:rPr>
                <w:rStyle w:val="AERsuperscript"/>
              </w:rPr>
              <w:t xml:space="preserve"> </w:t>
            </w:r>
          </w:p>
          <w:p w:rsidR="00230C56" w:rsidRPr="00230C56" w:rsidRDefault="00230C56" w:rsidP="00230C56">
            <w:r w:rsidRPr="00230C56">
              <w:t xml:space="preserve">We agree with Lally's recommendation to extrapolate the spread component of the RBA's published yield in order to match it with the benchmark term of debt. </w:t>
            </w:r>
          </w:p>
          <w:p w:rsidR="00230C56" w:rsidRPr="00230C56" w:rsidRDefault="00230C56" w:rsidP="00230C56">
            <w:r w:rsidRPr="00230C56">
              <w:t>Further, while the benchmark term of debt is 10 years, this benchmark was based on analysis of debt issuance that indicated a weighted average of 8.7 years amongst the benchmark sample.</w:t>
            </w:r>
            <w:r w:rsidRPr="00230C56">
              <w:rPr>
                <w:rStyle w:val="AERsuperscript"/>
              </w:rPr>
              <w:footnoteReference w:id="521"/>
            </w:r>
            <w:r w:rsidRPr="00230C56">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230C56">
              <w:rPr>
                <w:rStyle w:val="AERsuperscript"/>
              </w:rPr>
              <w:footnoteReference w:id="522"/>
            </w:r>
            <w:r w:rsidRPr="00230C56">
              <w:rPr>
                <w:rStyle w:val="AERsuperscript"/>
              </w:rPr>
              <w:t xml:space="preserve"> </w:t>
            </w:r>
            <w:r w:rsidRPr="00230C56">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230C56" w:rsidRPr="00F427A1" w:rsidTr="007E6AB8">
        <w:tc>
          <w:tcPr>
            <w:tcW w:w="1763" w:type="dxa"/>
          </w:tcPr>
          <w:p w:rsidR="00230C56" w:rsidRPr="00230C56" w:rsidRDefault="00230C56" w:rsidP="00230C56">
            <w:r w:rsidRPr="00230C56">
              <w:t>Conversion to effective annual rate</w:t>
            </w:r>
          </w:p>
        </w:tc>
        <w:tc>
          <w:tcPr>
            <w:tcW w:w="1262" w:type="dxa"/>
          </w:tcPr>
          <w:p w:rsidR="00230C56" w:rsidRPr="00230C56" w:rsidRDefault="00230C56" w:rsidP="00230C56">
            <w:r w:rsidRPr="00230C56">
              <w:t>Yes</w:t>
            </w:r>
          </w:p>
        </w:tc>
        <w:tc>
          <w:tcPr>
            <w:tcW w:w="5668" w:type="dxa"/>
          </w:tcPr>
          <w:p w:rsidR="00230C56" w:rsidRPr="00230C56" w:rsidRDefault="00230C56" w:rsidP="00230C56">
            <w:r w:rsidRPr="00230C56">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230C56">
              <w:rPr>
                <w:rStyle w:val="AERsuperscript"/>
              </w:rPr>
              <w:footnoteReference w:id="523"/>
            </w:r>
            <w:r w:rsidRPr="00230C56">
              <w:rPr>
                <w:rStyle w:val="AERsuperscript"/>
              </w:rPr>
              <w:t xml:space="preserve"> </w:t>
            </w:r>
            <w:r w:rsidRPr="00230C56">
              <w:t xml:space="preserve">Therefore, this would require conversion into an effective annual rate, using the same approach as is applied to the BVAL yield estimate. </w:t>
            </w:r>
          </w:p>
          <w:p w:rsidR="00230C56" w:rsidRPr="00230C56" w:rsidRDefault="00230C56" w:rsidP="00230C56">
            <w:r w:rsidRPr="00230C56">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230C56" w:rsidRPr="00230C56" w:rsidRDefault="00230C56" w:rsidP="00230C56">
      <w:pPr>
        <w:pStyle w:val="AERtablesource"/>
      </w:pPr>
      <w:bookmarkStart w:id="89" w:name="_Ref414863290"/>
      <w:r w:rsidRPr="00230C56">
        <w:t>Source: AER analysis</w:t>
      </w:r>
    </w:p>
    <w:p w:rsidR="00230C56" w:rsidRPr="00230C56" w:rsidRDefault="00230C56" w:rsidP="00230C56">
      <w:pPr>
        <w:pStyle w:val="Caption"/>
      </w:pPr>
      <w:bookmarkStart w:id="90" w:name="_Ref415565534"/>
      <w:r w:rsidRPr="00230C56">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17</w:t>
      </w:r>
      <w:r w:rsidR="00527450">
        <w:rPr>
          <w:noProof/>
        </w:rPr>
        <w:fldChar w:fldCharType="end"/>
      </w:r>
      <w:bookmarkEnd w:id="89"/>
      <w:bookmarkEnd w:id="90"/>
      <w:r w:rsidRPr="00230C56">
        <w:tab/>
        <w:t>Adjustments to the BVAL curve</w:t>
      </w:r>
    </w:p>
    <w:tbl>
      <w:tblPr>
        <w:tblStyle w:val="AERtable-text0"/>
        <w:tblW w:w="0" w:type="auto"/>
        <w:tblLook w:val="04A0" w:firstRow="1" w:lastRow="0" w:firstColumn="1" w:lastColumn="0" w:noHBand="0" w:noVBand="1"/>
      </w:tblPr>
      <w:tblGrid>
        <w:gridCol w:w="2891"/>
        <w:gridCol w:w="1416"/>
        <w:gridCol w:w="4386"/>
      </w:tblGrid>
      <w:tr w:rsidR="00230C56" w:rsidRPr="00F427A1" w:rsidTr="007E6AB8">
        <w:trPr>
          <w:cnfStyle w:val="100000000000" w:firstRow="1" w:lastRow="0" w:firstColumn="0" w:lastColumn="0" w:oddVBand="0" w:evenVBand="0" w:oddHBand="0" w:evenHBand="0" w:firstRowFirstColumn="0" w:firstRowLastColumn="0" w:lastRowFirstColumn="0" w:lastRowLastColumn="0"/>
          <w:tblHeader/>
        </w:trPr>
        <w:tc>
          <w:tcPr>
            <w:tcW w:w="2891" w:type="dxa"/>
          </w:tcPr>
          <w:p w:rsidR="00230C56" w:rsidRPr="00230C56" w:rsidRDefault="00230C56" w:rsidP="00230C56">
            <w:r w:rsidRPr="00230C56">
              <w:t>Adjustment Type</w:t>
            </w:r>
          </w:p>
        </w:tc>
        <w:tc>
          <w:tcPr>
            <w:tcW w:w="1416" w:type="dxa"/>
          </w:tcPr>
          <w:p w:rsidR="00230C56" w:rsidRPr="00230C56" w:rsidRDefault="00230C56" w:rsidP="00230C56">
            <w:r w:rsidRPr="00230C56">
              <w:t>Amendment made?</w:t>
            </w:r>
          </w:p>
        </w:tc>
        <w:tc>
          <w:tcPr>
            <w:tcW w:w="4386" w:type="dxa"/>
          </w:tcPr>
          <w:p w:rsidR="00230C56" w:rsidRPr="00230C56" w:rsidRDefault="00230C56" w:rsidP="00230C56">
            <w:pPr>
              <w:numPr>
                <w:ilvl w:val="0"/>
                <w:numId w:val="24"/>
              </w:numPr>
            </w:pPr>
            <w:r w:rsidRPr="00230C56">
              <w:t>Comments</w:t>
            </w:r>
          </w:p>
        </w:tc>
      </w:tr>
      <w:tr w:rsidR="00230C56" w:rsidRPr="00F427A1" w:rsidTr="007E6AB8">
        <w:tc>
          <w:tcPr>
            <w:tcW w:w="2891" w:type="dxa"/>
          </w:tcPr>
          <w:p w:rsidR="00230C56" w:rsidRPr="00230C56" w:rsidRDefault="00230C56" w:rsidP="00230C56">
            <w:r w:rsidRPr="00230C56">
              <w:t>Interpolation to construct daily estimates</w:t>
            </w:r>
          </w:p>
        </w:tc>
        <w:tc>
          <w:tcPr>
            <w:tcW w:w="1416" w:type="dxa"/>
          </w:tcPr>
          <w:p w:rsidR="00230C56" w:rsidRPr="00230C56" w:rsidRDefault="00230C56" w:rsidP="00230C56">
            <w:r w:rsidRPr="00230C56">
              <w:t>No</w:t>
            </w:r>
          </w:p>
        </w:tc>
        <w:tc>
          <w:tcPr>
            <w:tcW w:w="4386" w:type="dxa"/>
          </w:tcPr>
          <w:p w:rsidR="00230C56" w:rsidRPr="00230C56" w:rsidRDefault="00230C56" w:rsidP="00230C56">
            <w:pPr>
              <w:numPr>
                <w:ilvl w:val="0"/>
                <w:numId w:val="24"/>
              </w:numPr>
            </w:pPr>
            <w:r w:rsidRPr="00230C56">
              <w:t>Bloomberg publishes daily estimates.</w:t>
            </w:r>
          </w:p>
        </w:tc>
      </w:tr>
      <w:tr w:rsidR="00230C56" w:rsidRPr="00F427A1" w:rsidTr="007E6AB8">
        <w:trPr>
          <w:cnfStyle w:val="000000010000" w:firstRow="0" w:lastRow="0" w:firstColumn="0" w:lastColumn="0" w:oddVBand="0" w:evenVBand="0" w:oddHBand="0" w:evenHBand="1" w:firstRowFirstColumn="0" w:firstRowLastColumn="0" w:lastRowFirstColumn="0" w:lastRowLastColumn="0"/>
        </w:trPr>
        <w:tc>
          <w:tcPr>
            <w:tcW w:w="2891" w:type="dxa"/>
          </w:tcPr>
          <w:p w:rsidR="00230C56" w:rsidRPr="00230C56" w:rsidRDefault="00230C56" w:rsidP="00230C56">
            <w:r w:rsidRPr="00230C56">
              <w:t>Extrapolation to target term</w:t>
            </w:r>
          </w:p>
        </w:tc>
        <w:tc>
          <w:tcPr>
            <w:tcW w:w="1416" w:type="dxa"/>
          </w:tcPr>
          <w:p w:rsidR="00230C56" w:rsidRPr="00230C56" w:rsidRDefault="00230C56" w:rsidP="00230C56">
            <w:r w:rsidRPr="00230C56">
              <w:t>Depends on maximum term published by Bloomberg</w:t>
            </w:r>
          </w:p>
        </w:tc>
        <w:tc>
          <w:tcPr>
            <w:tcW w:w="4386" w:type="dxa"/>
          </w:tcPr>
          <w:p w:rsidR="00230C56" w:rsidRPr="00230C56" w:rsidRDefault="00230C56" w:rsidP="00230C56">
            <w:pPr>
              <w:numPr>
                <w:ilvl w:val="0"/>
                <w:numId w:val="24"/>
              </w:numPr>
            </w:pPr>
            <w:r w:rsidRPr="00230C56">
              <w:t>For most of the time that the BVAL curve has been published, it has had a maximum term of 7 years. However, between September 2014 and November 2014, it was published to a maximum 5 year term.</w:t>
            </w:r>
            <w:r w:rsidRPr="00230C56">
              <w:rPr>
                <w:rStyle w:val="AERsuperscript"/>
              </w:rPr>
              <w:footnoteReference w:id="524"/>
            </w:r>
            <w:r w:rsidRPr="00230C56">
              <w:t xml:space="preserve"> In April 2015, Bloomberg revised its methodology for the BVAL curve (BVCSAB10) and it now publishes a 10 year estimate.</w:t>
            </w:r>
            <w:r w:rsidRPr="00230C56">
              <w:rPr>
                <w:rStyle w:val="AERsuperscript"/>
              </w:rPr>
              <w:footnoteReference w:id="525"/>
            </w:r>
            <w:r w:rsidRPr="00230C56">
              <w:rPr>
                <w:rStyle w:val="AERsuperscript"/>
              </w:rPr>
              <w:t xml:space="preserve"> </w:t>
            </w:r>
          </w:p>
          <w:p w:rsidR="00230C56" w:rsidRPr="00230C56" w:rsidRDefault="00230C56" w:rsidP="00230C56">
            <w:pPr>
              <w:numPr>
                <w:ilvl w:val="0"/>
                <w:numId w:val="24"/>
              </w:numPr>
            </w:pPr>
            <w:r w:rsidRPr="00230C56">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230C56" w:rsidRPr="00230C56" w:rsidRDefault="00230C56" w:rsidP="00230C56">
            <w:pPr>
              <w:numPr>
                <w:ilvl w:val="0"/>
                <w:numId w:val="24"/>
              </w:numPr>
            </w:pPr>
            <w:r w:rsidRPr="00230C56">
              <w:t>BVAL yield 10 years = BVAL yield 7 years + difference in CGS from 7 to 10 years + difference in RBA extrapolated spread to CGS from 7 to 10 years</w:t>
            </w:r>
          </w:p>
          <w:p w:rsidR="00230C56" w:rsidRPr="00230C56" w:rsidRDefault="00230C56" w:rsidP="00230C56">
            <w:pPr>
              <w:numPr>
                <w:ilvl w:val="0"/>
                <w:numId w:val="24"/>
              </w:numPr>
            </w:pPr>
            <w:r w:rsidRPr="00230C56">
              <w:t>As recommended by Lally,</w:t>
            </w:r>
            <w:r w:rsidRPr="00230C56">
              <w:rPr>
                <w:rStyle w:val="AERsuperscript"/>
              </w:rPr>
              <w:footnoteReference w:id="526"/>
            </w:r>
            <w:r w:rsidRPr="00230C56">
              <w:t xml:space="preserve"> we are satisfied this approach is comparably reliable to the more complex approaches submitted by other stakeholders,</w:t>
            </w:r>
            <w:r w:rsidRPr="00230C56">
              <w:footnoteReference w:id="527"/>
            </w:r>
            <w:r w:rsidRPr="00230C56">
              <w:t xml:space="preserve"> but is simpler to implement and based on publicly available data.</w:t>
            </w:r>
          </w:p>
          <w:p w:rsidR="00230C56" w:rsidRPr="00230C56" w:rsidRDefault="00230C56" w:rsidP="00230C56">
            <w:pPr>
              <w:numPr>
                <w:ilvl w:val="0"/>
                <w:numId w:val="24"/>
              </w:numPr>
            </w:pPr>
            <w:r w:rsidRPr="00230C56">
              <w:t>For a period of time in 2014, the maximum published BVAL term was 5 years. Accordingly, we extrapolate the spread component of the 5 year yield estimate to the 10 year target term using an analogous methodology to that used to extrapolate from 7 to 10 years.</w:t>
            </w:r>
          </w:p>
          <w:p w:rsidR="00230C56" w:rsidRPr="00230C56" w:rsidRDefault="00230C56" w:rsidP="00230C56">
            <w:pPr>
              <w:numPr>
                <w:ilvl w:val="0"/>
                <w:numId w:val="24"/>
              </w:numPr>
            </w:pPr>
            <w:r w:rsidRPr="00230C56">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230C56" w:rsidRPr="00F427A1" w:rsidTr="007E6AB8">
        <w:tc>
          <w:tcPr>
            <w:tcW w:w="2891" w:type="dxa"/>
          </w:tcPr>
          <w:p w:rsidR="00230C56" w:rsidRPr="00230C56" w:rsidRDefault="00230C56" w:rsidP="00230C56">
            <w:r w:rsidRPr="00230C56">
              <w:t>Conversion to effective annual rate</w:t>
            </w:r>
          </w:p>
        </w:tc>
        <w:tc>
          <w:tcPr>
            <w:tcW w:w="1416" w:type="dxa"/>
          </w:tcPr>
          <w:p w:rsidR="00230C56" w:rsidRPr="00230C56" w:rsidRDefault="00230C56" w:rsidP="00230C56">
            <w:r w:rsidRPr="00230C56">
              <w:t>Yes</w:t>
            </w:r>
          </w:p>
        </w:tc>
        <w:tc>
          <w:tcPr>
            <w:tcW w:w="4386" w:type="dxa"/>
          </w:tcPr>
          <w:p w:rsidR="00230C56" w:rsidRPr="00230C56" w:rsidRDefault="00230C56" w:rsidP="00230C56">
            <w:pPr>
              <w:numPr>
                <w:ilvl w:val="0"/>
                <w:numId w:val="24"/>
              </w:numPr>
            </w:pPr>
            <w:r w:rsidRPr="00230C56">
              <w:t>Bloomberg publishes its yield as annual rates with semi-annual compounding. This needs to be converted into an effective annual rate.</w:t>
            </w:r>
          </w:p>
        </w:tc>
      </w:tr>
    </w:tbl>
    <w:p w:rsidR="00230C56" w:rsidRPr="00230C56" w:rsidRDefault="00230C56" w:rsidP="00230C56">
      <w:pPr>
        <w:pStyle w:val="HeadingItalic"/>
      </w:pPr>
      <w:r w:rsidRPr="00230C56">
        <w:t>Response to key issues raised by stakeholders</w:t>
      </w:r>
    </w:p>
    <w:p w:rsidR="00230C56" w:rsidRPr="00230C56" w:rsidRDefault="00230C56" w:rsidP="00230C56">
      <w:r w:rsidRPr="00230C56">
        <w:t xml:space="preserve">Some service providers proposed an annual testing approach to choose between the Lally and SAPN extrapolation methods. We have not adopted an annual testing approach for the reasons set out above. CitiPower and Powercor </w:t>
      </w:r>
      <w:r w:rsidR="0095169E" w:rsidRPr="00230C56">
        <w:t>initially</w:t>
      </w:r>
      <w:r w:rsidRPr="00230C56">
        <w:t xml:space="preserve"> proposed an annual testing approach, but in their revised proposals adopted adjustments to the RBA and BVAL curves consistent with our recent decisions.</w:t>
      </w:r>
      <w:r w:rsidRPr="00230C56">
        <w:rPr>
          <w:rStyle w:val="AERsuperscript"/>
        </w:rPr>
        <w:footnoteReference w:id="528"/>
      </w:r>
    </w:p>
    <w:p w:rsidR="00230C56" w:rsidRPr="00230C56" w:rsidRDefault="00230C56" w:rsidP="00230C56">
      <w:r w:rsidRPr="00230C56">
        <w:t>AusNet Services initially proposed that if one method was adopted, it should be the SAPN method.</w:t>
      </w:r>
      <w:r w:rsidRPr="00230C56">
        <w:rPr>
          <w:rStyle w:val="AERsuperscript"/>
        </w:rPr>
        <w:footnoteReference w:id="529"/>
      </w:r>
      <w:r w:rsidRPr="00230C56">
        <w:t xml:space="preserve"> However, in its revised proposal it adopted extrapolation method(s) consistent with our recent decisions.</w:t>
      </w:r>
      <w:r w:rsidRPr="00230C56">
        <w:rPr>
          <w:rStyle w:val="AERsuperscript"/>
        </w:rPr>
        <w:footnoteReference w:id="530"/>
      </w:r>
      <w:r w:rsidRPr="00230C56">
        <w:rPr>
          <w:rStyle w:val="AERsuperscript"/>
        </w:rPr>
        <w:t xml:space="preserve"> </w:t>
      </w:r>
    </w:p>
    <w:p w:rsidR="00230C56" w:rsidRPr="00230C56" w:rsidRDefault="00230C56" w:rsidP="00230C56">
      <w:r w:rsidRPr="00230C56">
        <w:t>Dr Lally examined the initial proposal from AusNet Services and advised:</w:t>
      </w:r>
    </w:p>
    <w:p w:rsidR="00230C56" w:rsidRPr="00230C56" w:rsidRDefault="00230C56" w:rsidP="00230C56">
      <w:pPr>
        <w:pStyle w:val="AERquote"/>
      </w:pPr>
      <w:r w:rsidRPr="00230C56">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230C56">
        <w:rPr>
          <w:rStyle w:val="AERsuperscript"/>
        </w:rPr>
        <w:footnoteReference w:id="531"/>
      </w:r>
    </w:p>
    <w:p w:rsidR="00230C56" w:rsidRPr="00230C56" w:rsidRDefault="00230C56" w:rsidP="00230C56">
      <w:r w:rsidRPr="00230C56">
        <w:t>We agree with Dr Lally's assessment. In relation to the SAPN extrapolation method, we are not satisfied that there is a compelling conceptual or practical basis to assume that yield curves should conform to a straight line along their entire length. While the impact of the SAPN extrapolation methodology only affects the curve from 7 to 10 years, its slope implicitly assumes a straight line path through all prior term points. In contrast, our approach relies only on the shape of the yield curve from 7 to 10 years as published by the RBA. We are satisfied that this is likely to be informative about the appropriate shape for the yield curve from 7 to 10 years. Further, we note that the 7 year RBA yield exceeded the 10 year RBA yield over the past year. CEG has previously criticised the Bloomberg curve on the basis that it exhibited an inverted spread-to-swap curve and that this appears to be 'inconsistent with finance theory'.</w:t>
      </w:r>
      <w:r w:rsidRPr="00230C56">
        <w:rPr>
          <w:rStyle w:val="FootnoteReference"/>
        </w:rPr>
        <w:footnoteReference w:id="532"/>
      </w:r>
      <w:r w:rsidRPr="00230C56">
        <w:t xml:space="preserve"> However:</w:t>
      </w:r>
    </w:p>
    <w:p w:rsidR="00230C56" w:rsidRPr="00230C56" w:rsidRDefault="00230C56" w:rsidP="00230C56">
      <w:pPr>
        <w:pStyle w:val="AERbulletlistfirststyle"/>
      </w:pPr>
      <w:r w:rsidRPr="00230C56">
        <w:t>we are not satisfied that an inverted yield curve, or an inverted segment of a yield curve appears to be inconsistent with any of the key finance theories to describe the shape of the yield curve.</w:t>
      </w:r>
      <w:r w:rsidRPr="00230C56">
        <w:rPr>
          <w:rStyle w:val="FootnoteReference"/>
        </w:rPr>
        <w:footnoteReference w:id="533"/>
      </w:r>
      <w:r w:rsidRPr="00230C56">
        <w:t xml:space="preserve"> In contrast, these theories provide direct explanations for why an inverted yield curve might occur.</w:t>
      </w:r>
    </w:p>
    <w:p w:rsidR="00230C56" w:rsidRPr="00230C56" w:rsidRDefault="00230C56" w:rsidP="00230C56">
      <w:pPr>
        <w:pStyle w:val="AERbulletlistfirststyle"/>
      </w:pPr>
      <w:r w:rsidRPr="00230C56">
        <w:t xml:space="preserve">CEG's preferred RBA curve, on which it proposes whole reliance unless we adopt annual testing, has also recently and previously exhibited a negative slope from the 7 to 10 year yield and spread-to-swap estimates. This can be observed in </w:t>
      </w:r>
      <w:r w:rsidRPr="00230C56">
        <w:fldChar w:fldCharType="begin"/>
      </w:r>
      <w:r w:rsidRPr="00230C56">
        <w:instrText xml:space="preserve"> REF _Ref447617152 \h </w:instrText>
      </w:r>
      <w:r w:rsidRPr="00230C56">
        <w:fldChar w:fldCharType="separate"/>
      </w:r>
      <w:r w:rsidR="000230CB" w:rsidRPr="004E4474">
        <w:t xml:space="preserve">Figure </w:t>
      </w:r>
      <w:r w:rsidR="000230CB">
        <w:rPr>
          <w:noProof/>
        </w:rPr>
        <w:t>3</w:t>
      </w:r>
      <w:r w:rsidR="000230CB">
        <w:noBreakHyphen/>
      </w:r>
      <w:r w:rsidR="000230CB">
        <w:rPr>
          <w:noProof/>
        </w:rPr>
        <w:t>23</w:t>
      </w:r>
      <w:r w:rsidRPr="00230C56">
        <w:fldChar w:fldCharType="end"/>
      </w:r>
      <w:r w:rsidRPr="00230C56">
        <w:t xml:space="preserve">, and in </w:t>
      </w:r>
      <w:r w:rsidR="00067443" w:rsidRPr="00067443">
        <w:t xml:space="preserve">Appendix </w:t>
      </w:r>
      <w:r w:rsidR="00067443" w:rsidRPr="00067443">
        <w:fldChar w:fldCharType="begin"/>
      </w:r>
      <w:r w:rsidR="00067443" w:rsidRPr="00067443">
        <w:instrText xml:space="preserve"> REF _Ref451328704 \r \h </w:instrText>
      </w:r>
      <w:r w:rsidR="00067443" w:rsidRPr="00067443">
        <w:fldChar w:fldCharType="separate"/>
      </w:r>
      <w:r w:rsidR="000230CB">
        <w:t>I</w:t>
      </w:r>
      <w:r w:rsidR="00067443" w:rsidRPr="00067443">
        <w:fldChar w:fldCharType="end"/>
      </w:r>
      <w:r w:rsidRPr="00230C56">
        <w:t xml:space="preserve">. </w:t>
      </w:r>
    </w:p>
    <w:p w:rsidR="00230C56" w:rsidRPr="00230C56" w:rsidRDefault="00230C56" w:rsidP="00230C56">
      <w:pPr>
        <w:pStyle w:val="AERbulletlistfirststyle"/>
      </w:pPr>
      <w:r w:rsidRPr="00230C56">
        <w:t xml:space="preserve">Over 2016, application of the SAPN method introduces a 'kink' into the yield curve which CEG has not justified or reconciled with finance theory. </w:t>
      </w:r>
    </w:p>
    <w:p w:rsidR="00230C56" w:rsidRPr="00230C56" w:rsidRDefault="00230C56" w:rsidP="00230C56">
      <w:r w:rsidRPr="00230C56">
        <w:t>In addition, some service providers have previously expressed a preference to independently extrapolate the BVAL curve from 7 to 10 years, rather than adopting the published BVAL 10 year estimate.</w:t>
      </w:r>
      <w:r w:rsidRPr="00230C56">
        <w:rPr>
          <w:rStyle w:val="AERsuperscript"/>
        </w:rPr>
        <w:footnoteReference w:id="534"/>
      </w:r>
      <w:r w:rsidRPr="00230C56">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230C56">
        <w:rPr>
          <w:rStyle w:val="AERsuperscript"/>
        </w:rPr>
        <w:footnoteReference w:id="535"/>
      </w:r>
      <w:r w:rsidRPr="00230C56">
        <w:t xml:space="preserve"> Dr Lally's report also sets out Bloomberg's response to us, which we provided to Dr Lally to assist his analysis. Further, Dr Lally has examined the new 10 year estimate and concluded it is fit for the AER's purposes.</w:t>
      </w:r>
    </w:p>
    <w:p w:rsidR="00230C56" w:rsidRPr="00230C56" w:rsidRDefault="00230C56" w:rsidP="00230C56">
      <w:r w:rsidRPr="00230C56">
        <w:t xml:space="preserve">For these reasons, we remain satisfied that the method of extrapolation recommended by Dr Lally will contribute to achievement of the </w:t>
      </w:r>
      <w:r w:rsidR="0068661A">
        <w:t>ARORO</w:t>
      </w:r>
      <w:r w:rsidRPr="00230C56">
        <w:t>. Specifically, where there is a 10 year BVAL estimate we will use that estimate, but where that estimate is unavailable we will use the longest published BVAL estimate extrapolated to 10 years using the corresponding margin in the RBA estimate.</w:t>
      </w:r>
    </w:p>
    <w:p w:rsidR="00230C56" w:rsidRPr="00230C56" w:rsidRDefault="00230C56" w:rsidP="00230C56">
      <w:pPr>
        <w:pStyle w:val="HeadingBoldItalic"/>
      </w:pPr>
      <w:r w:rsidRPr="00230C56">
        <w:t>Choice of data series—Contingencies</w:t>
      </w:r>
    </w:p>
    <w:p w:rsidR="00230C56" w:rsidRPr="00230C56" w:rsidRDefault="00230C56" w:rsidP="00230C56">
      <w:r w:rsidRPr="00230C56">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230C56" w:rsidRPr="00230C56" w:rsidRDefault="00230C56" w:rsidP="00230C56">
      <w:pPr>
        <w:pStyle w:val="AERbulletlistfirststyle"/>
      </w:pPr>
      <w:r w:rsidRPr="00230C56">
        <w:t>The change of approach previously referred to data providers not evaluated and included in our draft decision. We have updated this to reflect the final decision stage.</w:t>
      </w:r>
    </w:p>
    <w:p w:rsidR="00230C56" w:rsidRPr="00230C56" w:rsidRDefault="00230C56" w:rsidP="00230C56">
      <w:pPr>
        <w:pStyle w:val="AERbulletlistfirststyle"/>
      </w:pPr>
      <w:r w:rsidRPr="00230C56">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230C56" w:rsidRPr="00230C56" w:rsidRDefault="00230C56" w:rsidP="00230C56">
      <w:r w:rsidRPr="00230C56">
        <w:t>We have made our decision based on the information and third party data that is currently available.</w:t>
      </w:r>
      <w:r w:rsidRPr="00230C56">
        <w:rPr>
          <w:rStyle w:val="FootnoteReference"/>
        </w:rPr>
        <w:footnoteReference w:id="536"/>
      </w:r>
      <w:r w:rsidRPr="00230C56">
        <w:t xml:space="preserve"> Nonetheless, in our experience it is common that the availability of third party data changes. Our decision is to annually update the trailing average portfolio return on debt. Under the rules, the change in revenue resulting from the annual update must occur by automatic application of a formula that is specified in the decision.</w:t>
      </w:r>
      <w:r w:rsidRPr="00230C56">
        <w:rPr>
          <w:rStyle w:val="AERsuperscript"/>
        </w:rPr>
        <w:t xml:space="preserve"> </w:t>
      </w:r>
      <w:r w:rsidRPr="00230C56">
        <w:rPr>
          <w:rStyle w:val="AERsuperscript"/>
        </w:rPr>
        <w:footnoteReference w:id="537"/>
      </w:r>
      <w:r w:rsidRPr="00230C56">
        <w:t xml:space="preserve"> This means our decision on how to apply these third party data sources must be fully specified upfront in the determination or access arrangement, and must be capable of application over the regulatory control or access arrangement period without the use of subsequent judgement or discretion. For this reason, we have set out a series of contingencies in </w:t>
      </w:r>
      <w:r w:rsidRPr="00230C56">
        <w:fldChar w:fldCharType="begin"/>
      </w:r>
      <w:r w:rsidRPr="00230C56">
        <w:instrText xml:space="preserve"> REF  _Ref415565798 \* Lower \h </w:instrText>
      </w:r>
      <w:r w:rsidRPr="00230C56">
        <w:fldChar w:fldCharType="separate"/>
      </w:r>
      <w:r w:rsidR="000230CB" w:rsidRPr="00230C56">
        <w:t xml:space="preserve">table </w:t>
      </w:r>
      <w:r w:rsidR="000230CB">
        <w:rPr>
          <w:noProof/>
        </w:rPr>
        <w:t>3</w:t>
      </w:r>
      <w:r w:rsidR="000230CB">
        <w:noBreakHyphen/>
      </w:r>
      <w:r w:rsidR="000230CB">
        <w:rPr>
          <w:noProof/>
        </w:rPr>
        <w:t>18</w:t>
      </w:r>
      <w:r w:rsidRPr="00230C56">
        <w:fldChar w:fldCharType="end"/>
      </w:r>
      <w:r w:rsidRPr="00230C56">
        <w:t>, below. These describe how we propose to estimate the annual return on debt in the event of revisions in the RBA's or Bloomberg's methodologies or other changes to data availability.</w:t>
      </w:r>
    </w:p>
    <w:p w:rsidR="00230C56" w:rsidRPr="00230C56" w:rsidRDefault="00230C56" w:rsidP="00230C56">
      <w:pPr>
        <w:pStyle w:val="Caption"/>
      </w:pPr>
      <w:bookmarkStart w:id="91" w:name="_Ref415565798"/>
      <w:r w:rsidRPr="00230C56">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18</w:t>
      </w:r>
      <w:r w:rsidR="00527450">
        <w:rPr>
          <w:noProof/>
        </w:rPr>
        <w:fldChar w:fldCharType="end"/>
      </w:r>
      <w:bookmarkEnd w:id="91"/>
      <w:r w:rsidRPr="00230C5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230C56" w:rsidRPr="00BB7AB1" w:rsidTr="007E6AB8">
        <w:trPr>
          <w:cnfStyle w:val="100000000000" w:firstRow="1" w:lastRow="0" w:firstColumn="0" w:lastColumn="0" w:oddVBand="0" w:evenVBand="0" w:oddHBand="0" w:evenHBand="0" w:firstRowFirstColumn="0" w:firstRowLastColumn="0" w:lastRowFirstColumn="0" w:lastRowLastColumn="0"/>
          <w:tblHeader/>
        </w:trPr>
        <w:tc>
          <w:tcPr>
            <w:tcW w:w="1461" w:type="pct"/>
          </w:tcPr>
          <w:p w:rsidR="00230C56" w:rsidRPr="00230C56" w:rsidRDefault="00230C56" w:rsidP="00230C56">
            <w:pPr>
              <w:numPr>
                <w:ilvl w:val="0"/>
                <w:numId w:val="24"/>
              </w:numPr>
            </w:pPr>
            <w:r w:rsidRPr="00230C56">
              <w:t>Event</w:t>
            </w:r>
          </w:p>
        </w:tc>
        <w:tc>
          <w:tcPr>
            <w:tcW w:w="3539" w:type="pct"/>
          </w:tcPr>
          <w:p w:rsidR="00230C56" w:rsidRPr="00230C56" w:rsidRDefault="00230C56" w:rsidP="00230C56">
            <w:pPr>
              <w:numPr>
                <w:ilvl w:val="0"/>
                <w:numId w:val="24"/>
              </w:numPr>
            </w:pPr>
            <w:r w:rsidRPr="00230C56">
              <w:t>Changes to approach</w:t>
            </w:r>
          </w:p>
        </w:tc>
      </w:tr>
      <w:tr w:rsidR="00230C56" w:rsidRPr="00BB7AB1" w:rsidTr="007E6AB8">
        <w:tc>
          <w:tcPr>
            <w:tcW w:w="1461" w:type="pct"/>
          </w:tcPr>
          <w:p w:rsidR="00230C56" w:rsidRPr="00230C56" w:rsidRDefault="00230C56" w:rsidP="00230C56">
            <w:pPr>
              <w:numPr>
                <w:ilvl w:val="0"/>
                <w:numId w:val="24"/>
              </w:numPr>
            </w:pPr>
            <w:r w:rsidRPr="00230C56">
              <w:t>Either the RBA or Bloomberg ceases publication of Australian yield curves that reflect a broad BBB rating.</w:t>
            </w:r>
          </w:p>
        </w:tc>
        <w:tc>
          <w:tcPr>
            <w:tcW w:w="3539" w:type="pct"/>
          </w:tcPr>
          <w:p w:rsidR="00230C56" w:rsidRPr="00230C56" w:rsidRDefault="00230C56" w:rsidP="00230C56">
            <w:pPr>
              <w:numPr>
                <w:ilvl w:val="0"/>
                <w:numId w:val="24"/>
              </w:numPr>
            </w:pPr>
            <w:r w:rsidRPr="00230C56">
              <w:t>We will estimate the annual return on debt using the remaining curve.</w:t>
            </w:r>
          </w:p>
        </w:tc>
      </w:tr>
      <w:tr w:rsidR="00230C56"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230C56" w:rsidRPr="00230C56" w:rsidRDefault="00230C56" w:rsidP="00230C56">
            <w:pPr>
              <w:numPr>
                <w:ilvl w:val="0"/>
                <w:numId w:val="24"/>
              </w:numPr>
            </w:pPr>
            <w:r w:rsidRPr="00230C56">
              <w:t>A different third party commences publication of a 10 year yield estimate (or we are made aware of a different third party publishing a 10 year yield estimate)</w:t>
            </w:r>
            <w:r w:rsidRPr="00230C56">
              <w:rPr>
                <w:rStyle w:val="AERsuperscript"/>
              </w:rPr>
              <w:footnoteReference w:id="538"/>
            </w:r>
            <w:r w:rsidRPr="00230C56">
              <w:t>.</w:t>
            </w:r>
          </w:p>
        </w:tc>
        <w:tc>
          <w:tcPr>
            <w:tcW w:w="3539" w:type="pct"/>
          </w:tcPr>
          <w:p w:rsidR="00230C56" w:rsidRPr="00230C56" w:rsidRDefault="00230C56" w:rsidP="00230C56">
            <w:pPr>
              <w:numPr>
                <w:ilvl w:val="0"/>
                <w:numId w:val="24"/>
              </w:numPr>
            </w:pPr>
            <w:r w:rsidRPr="00230C56">
              <w:t xml:space="preserve">We will not apply estimates from a third party data provider that we have not evaluated and included in our final decision approach. We will consider any new data sources in future determinations. </w:t>
            </w:r>
          </w:p>
        </w:tc>
      </w:tr>
      <w:tr w:rsidR="00230C56" w:rsidRPr="00BB7AB1" w:rsidTr="007E6AB8">
        <w:tc>
          <w:tcPr>
            <w:tcW w:w="1461" w:type="pct"/>
          </w:tcPr>
          <w:p w:rsidR="00230C56" w:rsidRPr="00230C56" w:rsidRDefault="00230C56" w:rsidP="00230C56">
            <w:pPr>
              <w:numPr>
                <w:ilvl w:val="0"/>
                <w:numId w:val="24"/>
              </w:numPr>
            </w:pPr>
            <w:r w:rsidRPr="00230C56">
              <w:t>Either Bloomberg or RBA substitutes its current methodology for a revised or updated methodology.</w:t>
            </w:r>
          </w:p>
        </w:tc>
        <w:tc>
          <w:tcPr>
            <w:tcW w:w="3539" w:type="pct"/>
          </w:tcPr>
          <w:p w:rsidR="00230C56" w:rsidRPr="00230C56" w:rsidRDefault="00230C56" w:rsidP="00230C56">
            <w:pPr>
              <w:numPr>
                <w:ilvl w:val="0"/>
                <w:numId w:val="24"/>
              </w:numPr>
            </w:pPr>
            <w:r w:rsidRPr="00230C56">
              <w:t>We will adopt the revised or updated methodology. Then, at the next regulatory determination, we will review this updated methodology. As noted above, we would also review any new data sources.</w:t>
            </w:r>
          </w:p>
          <w:p w:rsidR="00230C56" w:rsidRPr="00230C56" w:rsidRDefault="00230C56" w:rsidP="00230C56">
            <w:pPr>
              <w:numPr>
                <w:ilvl w:val="0"/>
                <w:numId w:val="24"/>
              </w:numPr>
            </w:pPr>
            <w:r w:rsidRPr="00230C5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230C56">
              <w:rPr>
                <w:rStyle w:val="FootnoteReference"/>
              </w:rPr>
              <w:footnoteReference w:id="539"/>
            </w:r>
          </w:p>
        </w:tc>
      </w:tr>
      <w:tr w:rsidR="00230C56"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230C56" w:rsidRPr="00230C56" w:rsidRDefault="00230C56" w:rsidP="00230C56">
            <w:pPr>
              <w:numPr>
                <w:ilvl w:val="0"/>
                <w:numId w:val="24"/>
              </w:numPr>
            </w:pPr>
            <w:r w:rsidRPr="00230C56">
              <w:t>Bloomberg reduces the maximum published BVAL term from 10 years</w:t>
            </w:r>
          </w:p>
        </w:tc>
        <w:tc>
          <w:tcPr>
            <w:tcW w:w="3539" w:type="pct"/>
          </w:tcPr>
          <w:p w:rsidR="00230C56" w:rsidRPr="00230C56" w:rsidRDefault="00230C56" w:rsidP="00230C56">
            <w:pPr>
              <w:numPr>
                <w:ilvl w:val="0"/>
                <w:numId w:val="24"/>
              </w:numPr>
            </w:pPr>
            <w:r w:rsidRPr="00230C56">
              <w:t xml:space="preserve">If Bloomberg still publishes the BVAL curve to 5 or more years, we will extrapolate the BVAL curve from the longest published term using the 5 to 10 year yield margin from the RBA curve. </w:t>
            </w:r>
          </w:p>
          <w:p w:rsidR="00230C56" w:rsidRPr="00230C56" w:rsidRDefault="00230C56" w:rsidP="00230C56">
            <w:pPr>
              <w:numPr>
                <w:ilvl w:val="0"/>
                <w:numId w:val="24"/>
              </w:numPr>
            </w:pPr>
            <w:r w:rsidRPr="00230C56">
              <w:t>If Bloomberg no longer publishes the BVAL curve to 5 years, we will rely entirely on the RBA curve.</w:t>
            </w:r>
          </w:p>
        </w:tc>
      </w:tr>
      <w:tr w:rsidR="00230C56" w:rsidRPr="00BB7AB1" w:rsidTr="007E6AB8">
        <w:tc>
          <w:tcPr>
            <w:tcW w:w="1461" w:type="pct"/>
          </w:tcPr>
          <w:p w:rsidR="00230C56" w:rsidRPr="00230C56" w:rsidRDefault="00230C56" w:rsidP="00230C56">
            <w:pPr>
              <w:numPr>
                <w:ilvl w:val="0"/>
                <w:numId w:val="24"/>
              </w:numPr>
            </w:pPr>
            <w:r w:rsidRPr="00230C56">
              <w:t>The RBA ceases publication of a 10 year yield estimate.</w:t>
            </w:r>
            <w:r w:rsidRPr="00230C56">
              <w:tab/>
            </w:r>
          </w:p>
        </w:tc>
        <w:tc>
          <w:tcPr>
            <w:tcW w:w="3539" w:type="pct"/>
          </w:tcPr>
          <w:p w:rsidR="00230C56" w:rsidRPr="00230C56" w:rsidRDefault="00230C56" w:rsidP="00230C56">
            <w:pPr>
              <w:numPr>
                <w:ilvl w:val="0"/>
                <w:numId w:val="24"/>
              </w:numPr>
            </w:pPr>
            <w:r w:rsidRPr="00230C56">
              <w:t>If the RBA ceases publication of a 10 year yield estimate, we will extrapolate the RBA estimate to 10 years using:</w:t>
            </w:r>
          </w:p>
          <w:p w:rsidR="00230C56" w:rsidRPr="00230C56" w:rsidRDefault="00230C56" w:rsidP="00230C56">
            <w:pPr>
              <w:pStyle w:val="AERbulletlistfirststyle"/>
            </w:pPr>
            <w:r w:rsidRPr="00230C56">
              <w:t>if available, the margin between spreads in the Bloomberg curve,</w:t>
            </w:r>
            <w:r w:rsidRPr="00230C56">
              <w:rPr>
                <w:rStyle w:val="FootnoteReference"/>
              </w:rPr>
              <w:footnoteReference w:id="540"/>
            </w:r>
            <w:r w:rsidRPr="00230C56">
              <w:t xml:space="preserve"> from the RBA's longest published target term to 10 years</w:t>
            </w:r>
          </w:p>
          <w:p w:rsidR="00230C56" w:rsidRPr="00230C56" w:rsidRDefault="00230C56" w:rsidP="00230C56">
            <w:pPr>
              <w:pStyle w:val="AERbulletlistfirststyle"/>
            </w:pPr>
            <w:r w:rsidRPr="00230C56">
              <w:t>otherwise, the actual CGS margin from the RBA's longest published estimate to 10 years, plus the average DRP spread for the same term margin over the last month prior to the end of its publication.</w:t>
            </w:r>
          </w:p>
        </w:tc>
      </w:tr>
      <w:tr w:rsidR="00230C56"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230C56" w:rsidRPr="00230C56" w:rsidRDefault="00230C56" w:rsidP="00230C56">
            <w:pPr>
              <w:numPr>
                <w:ilvl w:val="0"/>
                <w:numId w:val="24"/>
              </w:numPr>
            </w:pPr>
            <w:r w:rsidRPr="00230C56">
              <w:t>The RBA commences publication of daily estimates.</w:t>
            </w:r>
          </w:p>
        </w:tc>
        <w:tc>
          <w:tcPr>
            <w:tcW w:w="3539" w:type="pct"/>
          </w:tcPr>
          <w:p w:rsidR="00230C56" w:rsidRPr="00230C56" w:rsidRDefault="00230C56" w:rsidP="00230C56">
            <w:pPr>
              <w:numPr>
                <w:ilvl w:val="0"/>
                <w:numId w:val="24"/>
              </w:numPr>
            </w:pPr>
            <w:r w:rsidRPr="00230C56">
              <w:t>We will cease interpolating the RBA monthly yields. Instead, we will estimate both the RBA yield and the RBA year extrapolation margin (used with the BVAL curve) using these daily estimates.</w:t>
            </w:r>
          </w:p>
        </w:tc>
      </w:tr>
      <w:tr w:rsidR="00230C56" w:rsidRPr="00BB7AB1" w:rsidTr="007E6AB8">
        <w:tc>
          <w:tcPr>
            <w:tcW w:w="1461" w:type="pct"/>
          </w:tcPr>
          <w:p w:rsidR="00230C56" w:rsidRPr="00230C56" w:rsidRDefault="00230C56" w:rsidP="00230C56">
            <w:pPr>
              <w:numPr>
                <w:ilvl w:val="0"/>
                <w:numId w:val="24"/>
              </w:numPr>
            </w:pPr>
            <w:r w:rsidRPr="00230C56">
              <w:t>Either Bloomberg or the RBA publishes a BBB+ or utilities specific yield curve.</w:t>
            </w:r>
          </w:p>
        </w:tc>
        <w:tc>
          <w:tcPr>
            <w:tcW w:w="3539" w:type="pct"/>
          </w:tcPr>
          <w:p w:rsidR="00230C56" w:rsidRPr="00230C56" w:rsidRDefault="00230C56" w:rsidP="00230C56">
            <w:pPr>
              <w:numPr>
                <w:ilvl w:val="0"/>
                <w:numId w:val="24"/>
              </w:numPr>
            </w:pPr>
            <w:r w:rsidRPr="00230C56">
              <w:t>We will adopt the BBB+ or utilities curve in place of the provider's existing curve, on the basis that it is a closer fit to our benchmark efficient entity.</w:t>
            </w:r>
          </w:p>
        </w:tc>
      </w:tr>
    </w:tbl>
    <w:p w:rsidR="00230C56" w:rsidRPr="00230C56" w:rsidRDefault="00230C56" w:rsidP="00230C56">
      <w:pPr>
        <w:pStyle w:val="AERtablesource"/>
      </w:pPr>
      <w:r w:rsidRPr="00230C56">
        <w:t>Source:</w:t>
      </w:r>
      <w:r w:rsidRPr="00230C56">
        <w:tab/>
      </w:r>
      <w:r w:rsidRPr="00230C56">
        <w:tab/>
        <w:t>AER analysis</w:t>
      </w:r>
    </w:p>
    <w:p w:rsidR="00230C56" w:rsidRPr="00230C56" w:rsidRDefault="00230C56" w:rsidP="00230C56">
      <w:r w:rsidRPr="00230C56">
        <w:t>In general, we have decided on these contingencies based on a series of guiding principles. These are that the contingency must:</w:t>
      </w:r>
    </w:p>
    <w:p w:rsidR="00230C56" w:rsidRPr="00230C56" w:rsidRDefault="00230C56" w:rsidP="00230C56">
      <w:pPr>
        <w:pStyle w:val="AERbulletlistfirststyle"/>
      </w:pPr>
      <w:r w:rsidRPr="00230C5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230C56" w:rsidRPr="00230C56" w:rsidRDefault="00230C56" w:rsidP="00230C56">
      <w:pPr>
        <w:pStyle w:val="AERbulletlistfirststyle"/>
      </w:pPr>
      <w:r w:rsidRPr="00230C5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230C56" w:rsidRPr="00230C56" w:rsidRDefault="00230C56" w:rsidP="00230C56">
      <w:pPr>
        <w:pStyle w:val="AERbulletlistfirststyle"/>
      </w:pPr>
      <w:r w:rsidRPr="00230C5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0C56">
        <w:rPr>
          <w:rStyle w:val="FootnoteReference"/>
        </w:rPr>
        <w:footnoteReference w:id="541"/>
      </w:r>
      <w:r w:rsidRPr="00230C5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30C56" w:rsidRPr="00230C56" w:rsidRDefault="00230C56" w:rsidP="00230C56">
      <w:pPr>
        <w:pStyle w:val="HeadingItalic"/>
      </w:pPr>
      <w:r w:rsidRPr="00230C56">
        <w:t>Response to key issues raised by stakeholders</w:t>
      </w:r>
    </w:p>
    <w:p w:rsidR="00230C56" w:rsidRPr="00230C56" w:rsidRDefault="00230C56" w:rsidP="00230C56">
      <w:r w:rsidRPr="00230C56">
        <w:t>Citipower and Powercor proposed to make some adjustments to these contingencies. In particular, they proposed to:</w:t>
      </w:r>
    </w:p>
    <w:p w:rsidR="00230C56" w:rsidRPr="00230C56" w:rsidRDefault="00230C56" w:rsidP="00230C56">
      <w:pPr>
        <w:pStyle w:val="AERbulletlistfirststyle"/>
      </w:pPr>
      <w:r w:rsidRPr="00230C56">
        <w:t>include the Reuters curve throughout the contingencies table</w:t>
      </w:r>
    </w:p>
    <w:p w:rsidR="00230C56" w:rsidRPr="00230C56" w:rsidRDefault="00230C56" w:rsidP="00230C56">
      <w:pPr>
        <w:pStyle w:val="AERbulletlistfirststyle"/>
      </w:pPr>
      <w:r w:rsidRPr="00230C56">
        <w:t>remove the contingency relating to the BBB+ or utilities specific curve.</w:t>
      </w:r>
    </w:p>
    <w:p w:rsidR="00230C56" w:rsidRPr="00230C56" w:rsidRDefault="00230C56" w:rsidP="00230C56">
      <w:r w:rsidRPr="00230C56">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68661A">
        <w:t>ARORO</w:t>
      </w:r>
      <w:r w:rsidRPr="00230C56">
        <w:t>. We therefore do not agree that it should be included within the scope of our contingencies.</w:t>
      </w:r>
    </w:p>
    <w:p w:rsidR="00230C56" w:rsidRDefault="00230C56" w:rsidP="00230C56">
      <w:r w:rsidRPr="00230C56">
        <w:t>We also maintain our decision to adopt the BBB+ or utilities specific curve where either the RBA or Bloomberg commences publication of such a curve. In the rate of return guideline and in subsequent decisions, we have defined the benchmark entity as 'Similarly, for the reasons set out in this section, we have adopted a BBB+ benchmark credit rating.</w:t>
      </w:r>
    </w:p>
    <w:p w:rsidR="008638C7" w:rsidRDefault="008638C7" w:rsidP="008638C7">
      <w:pPr>
        <w:pStyle w:val="HeadingBoldItalic"/>
      </w:pPr>
      <w:r>
        <w:t>New Issue Premium</w:t>
      </w:r>
    </w:p>
    <w:p w:rsidR="008638C7" w:rsidRDefault="008638C7" w:rsidP="008638C7">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542"/>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543"/>
      </w:r>
      <w:r>
        <w:t xml:space="preserve"> </w:t>
      </w:r>
      <w:r w:rsidRPr="006D5821">
        <w:t>Our main reasons for our position are:</w:t>
      </w:r>
    </w:p>
    <w:p w:rsidR="008638C7" w:rsidRDefault="008638C7" w:rsidP="008638C7">
      <w:pPr>
        <w:pStyle w:val="AERbulletlistfirststyle"/>
      </w:pPr>
      <w:r w:rsidRPr="001426E4">
        <w:t xml:space="preserve">Conceptually, we </w:t>
      </w:r>
      <w:r>
        <w:t>consider</w:t>
      </w:r>
      <w:r w:rsidRPr="001426E4">
        <w:t xml:space="preserve"> that </w:t>
      </w:r>
      <w:r>
        <w:t xml:space="preserve">a </w:t>
      </w:r>
      <w:r w:rsidRPr="001426E4">
        <w:t xml:space="preserve">benchmark efficient entity </w:t>
      </w:r>
      <w:r>
        <w:t>w</w:t>
      </w:r>
      <w:r w:rsidRPr="001426E4">
        <w:t>ould</w:t>
      </w:r>
      <w:r>
        <w:t xml:space="preserve"> not</w:t>
      </w:r>
      <w:r w:rsidRPr="001426E4">
        <w:t xml:space="preserve"> face a new issue premium as part of its efficient financing costs.</w:t>
      </w:r>
    </w:p>
    <w:p w:rsidR="008638C7" w:rsidRDefault="008638C7" w:rsidP="008638C7">
      <w:pPr>
        <w:pStyle w:val="AERbulletlistfirststyle"/>
      </w:pPr>
      <w:r>
        <w:t>T</w:t>
      </w:r>
      <w:r w:rsidRPr="0023403A">
        <w:t>he evidence before us indicates that our return on debt allowance</w:t>
      </w:r>
      <w:r>
        <w:t xml:space="preserve"> already appropriately compensates a</w:t>
      </w:r>
      <w:r w:rsidRPr="0023403A">
        <w:t xml:space="preserve"> benchmark efficient entity overall for its efficient financing costs.</w:t>
      </w:r>
    </w:p>
    <w:p w:rsidR="008638C7" w:rsidRDefault="008638C7" w:rsidP="008638C7">
      <w:pPr>
        <w:pStyle w:val="AERbulletlistfirststyle"/>
      </w:pPr>
      <w:r>
        <w:t>W</w:t>
      </w:r>
      <w:r w:rsidRPr="001426E4">
        <w:t>e consider that the empirical evidence on the new issue premium is inconclusive</w:t>
      </w:r>
      <w:r>
        <w:t xml:space="preserve"> in general and that there is little </w:t>
      </w:r>
      <w:r w:rsidRPr="001426E4">
        <w:t xml:space="preserve">consensus among experts on how </w:t>
      </w:r>
      <w:r>
        <w:t>to measure potential</w:t>
      </w:r>
      <w:r w:rsidRPr="001426E4">
        <w:t xml:space="preserve"> new issue premi</w:t>
      </w:r>
      <w:r>
        <w:t>a</w:t>
      </w:r>
      <w:r w:rsidRPr="001426E4">
        <w:t>.</w:t>
      </w:r>
    </w:p>
    <w:p w:rsidR="008638C7" w:rsidRDefault="008638C7" w:rsidP="008638C7">
      <w:pPr>
        <w:pStyle w:val="AERbulletlistfirststyle"/>
      </w:pPr>
      <w:r>
        <w:t>We are unaware of any academic literature on the new issue premium in the Australian market. On behalf of several service providers, CEG conducted an empirical analysis on the Australian marke</w:t>
      </w:r>
      <w:r w:rsidRPr="009644D3">
        <w:t>t.</w:t>
      </w:r>
      <w:r w:rsidRPr="009644D3">
        <w:rPr>
          <w:rStyle w:val="FootnoteReference"/>
        </w:rPr>
        <w:footnoteReference w:id="544"/>
      </w:r>
      <w:r w:rsidRPr="009644D3">
        <w:t xml:space="preserve"> </w:t>
      </w:r>
      <w:r>
        <w:t xml:space="preserve">However, we have </w:t>
      </w:r>
      <w:r w:rsidRPr="009644D3">
        <w:t>concerns with CEG's methodology</w:t>
      </w:r>
      <w:r>
        <w:t>, which we do not consider CEG has satisfactorily addressed</w:t>
      </w:r>
      <w:r w:rsidRPr="009644D3">
        <w:t>.</w:t>
      </w:r>
      <w:r w:rsidRPr="009644D3">
        <w:rPr>
          <w:rStyle w:val="FootnoteReference"/>
        </w:rPr>
        <w:footnoteReference w:id="545"/>
      </w:r>
    </w:p>
    <w:p w:rsidR="008638C7" w:rsidRDefault="008638C7" w:rsidP="008638C7">
      <w:r>
        <w:t>For these reasons, w</w:t>
      </w:r>
      <w:r w:rsidRPr="0018148E">
        <w:t xml:space="preserve">e do not accept </w:t>
      </w:r>
      <w:r>
        <w:t>AGN</w:t>
      </w:r>
      <w:r w:rsidRPr="0018148E">
        <w:t>'</w:t>
      </w:r>
      <w:r>
        <w:t>s revised proposal</w:t>
      </w:r>
      <w:r w:rsidRPr="0018148E">
        <w:t xml:space="preserve"> to include a new issue premium of 27 basis points in the</w:t>
      </w:r>
      <w:r>
        <w:t>ir</w:t>
      </w:r>
      <w:r w:rsidRPr="0018148E">
        <w:t xml:space="preserve"> return on debt calculation</w:t>
      </w:r>
      <w:r>
        <w:t>.</w:t>
      </w:r>
      <w:r>
        <w:rPr>
          <w:rStyle w:val="FootnoteReference"/>
        </w:rPr>
        <w:footnoteReference w:id="546"/>
      </w:r>
      <w:r>
        <w:t xml:space="preserve"> Similarly, we do not accept United Energy's submission that we should </w:t>
      </w:r>
      <w:r w:rsidRPr="00FC1CBB">
        <w:t>include a new issue premium of 27 basis points</w:t>
      </w:r>
      <w:r>
        <w:t xml:space="preserve"> if we do not adopt the immediate transition approach to the cost of debt.</w:t>
      </w:r>
      <w:r>
        <w:rPr>
          <w:rStyle w:val="FootnoteReference"/>
        </w:rPr>
        <w:footnoteReference w:id="547"/>
      </w:r>
      <w:r>
        <w:t xml:space="preserve"> </w:t>
      </w:r>
      <w:r w:rsidRPr="0018148E">
        <w:t>We accept the</w:t>
      </w:r>
      <w:r>
        <w:t xml:space="preserve"> revised</w:t>
      </w:r>
      <w:r w:rsidRPr="0018148E">
        <w:t xml:space="preserve"> proposals of the other service providers that did not propose to include an explicit allowance for the new issue premium. However, we do not agree with the commentary by some service providers that the exclusion of a new issue premium makes</w:t>
      </w:r>
      <w:r>
        <w:t xml:space="preserve"> their proposed return on debt 'highly conservative'</w:t>
      </w:r>
      <w:r w:rsidRPr="0018148E">
        <w:t>.</w:t>
      </w:r>
      <w:r>
        <w:rPr>
          <w:rStyle w:val="FootnoteReference"/>
        </w:rPr>
        <w:footnoteReference w:id="548"/>
      </w:r>
    </w:p>
    <w:p w:rsidR="008638C7" w:rsidRPr="00230C56" w:rsidRDefault="008638C7" w:rsidP="00230C56">
      <w:r>
        <w:t xml:space="preserve">For a more detailed explanation of our reasons, see Appendix </w:t>
      </w:r>
      <w:r>
        <w:fldChar w:fldCharType="begin"/>
      </w:r>
      <w:r>
        <w:instrText xml:space="preserve"> REF _Ref451334872 \r \h </w:instrText>
      </w:r>
      <w:r>
        <w:fldChar w:fldCharType="separate"/>
      </w:r>
      <w:r w:rsidR="000230CB">
        <w:t>I</w:t>
      </w:r>
      <w:r>
        <w:fldChar w:fldCharType="end"/>
      </w:r>
      <w:r>
        <w:t>.</w:t>
      </w:r>
    </w:p>
    <w:p w:rsidR="00230C56" w:rsidRDefault="00230C56" w:rsidP="00230C56">
      <w:pPr>
        <w:pStyle w:val="HeadingBoldItalic"/>
      </w:pPr>
      <w:r w:rsidRPr="00230C56">
        <w:t xml:space="preserve">Averaging periods </w:t>
      </w:r>
    </w:p>
    <w:p w:rsidR="00E10A41" w:rsidRDefault="004C3B1E" w:rsidP="004C3B1E">
      <w:r>
        <w:t>Our final decision is to accept the debt averaging periods for 2016–17 to 2020–21 AGN proposed for the base rate under a '"hybrid transition" approach with 100% hedging of the base rate'.</w:t>
      </w:r>
      <w:r>
        <w:rPr>
          <w:rStyle w:val="FootnoteReference"/>
        </w:rPr>
        <w:footnoteReference w:id="549"/>
      </w:r>
      <w:r>
        <w:t xml:space="preserve"> However, we use these averaging periods to estimate the entire return on debt for each regulatory year, and we use them under a full transition approach</w:t>
      </w:r>
      <w:r w:rsidRPr="004E7036">
        <w:t>.</w:t>
      </w:r>
      <w:r w:rsidR="00E10A41">
        <w:t xml:space="preserve"> </w:t>
      </w:r>
    </w:p>
    <w:p w:rsidR="004C3B1E" w:rsidRDefault="00E10A41" w:rsidP="004C3B1E">
      <w:r w:rsidRPr="00E10A41">
        <w:t xml:space="preserve">We specify these averaging periods for the 2017–18 to 2020–21 regulatory years in confidential </w:t>
      </w:r>
      <w:r w:rsidR="00067443">
        <w:t>A</w:t>
      </w:r>
      <w:r w:rsidRPr="00E10A41">
        <w:t xml:space="preserve">ppendix </w:t>
      </w:r>
      <w:r w:rsidR="00067443">
        <w:fldChar w:fldCharType="begin"/>
      </w:r>
      <w:r w:rsidR="00067443">
        <w:instrText xml:space="preserve"> REF _Ref451328742 \r \h </w:instrText>
      </w:r>
      <w:r w:rsidR="00067443">
        <w:fldChar w:fldCharType="separate"/>
      </w:r>
      <w:r w:rsidR="000230CB">
        <w:t>L</w:t>
      </w:r>
      <w:r w:rsidR="00067443">
        <w:fldChar w:fldCharType="end"/>
      </w:r>
      <w:r w:rsidRPr="00E10A41">
        <w:t>. This is because our practice is to keep the dates of averaging periods confidential until they have expired.</w:t>
      </w:r>
    </w:p>
    <w:p w:rsidR="00E10A41" w:rsidRDefault="004C3B1E" w:rsidP="004C3B1E">
      <w:r>
        <w:t xml:space="preserve">AGN's first preference is to use </w:t>
      </w:r>
      <w:r w:rsidRPr="00B03D59">
        <w:t>separate averaging periods for the DRP and base rate components of the return on debt</w:t>
      </w:r>
      <w:r>
        <w:t>.</w:t>
      </w:r>
      <w:r>
        <w:rPr>
          <w:rStyle w:val="FootnoteReference"/>
        </w:rPr>
        <w:footnoteReference w:id="550"/>
      </w:r>
      <w:r w:rsidRPr="00EA62B0">
        <w:t xml:space="preserve"> </w:t>
      </w:r>
      <w:r>
        <w:t xml:space="preserve">However, we do not consider debt averaging periods should be separated into DRP and base rate components (see section </w:t>
      </w:r>
      <w:r w:rsidR="00E10A41">
        <w:t xml:space="preserve">I.4 of </w:t>
      </w:r>
      <w:r>
        <w:t xml:space="preserve">appendix </w:t>
      </w:r>
      <w:r w:rsidR="00E10A41">
        <w:t>I)</w:t>
      </w:r>
      <w:r>
        <w:t>. AGN also proposed different averaging periods for different return on debt approaches (that is, no transition, hybrid transition with 100% hedging of the base rate and hybrid transition with partial hedging of the base rate).</w:t>
      </w:r>
      <w:r>
        <w:rPr>
          <w:rStyle w:val="FootnoteReference"/>
        </w:rPr>
        <w:footnoteReference w:id="551"/>
      </w:r>
      <w:r>
        <w:t xml:space="preserve"> However, we adopt a full transition in this decision (see </w:t>
      </w:r>
      <w:r w:rsidR="00067443" w:rsidRPr="00067443">
        <w:t>Appendix</w:t>
      </w:r>
      <w:r w:rsidR="00067443">
        <w:t xml:space="preserve"> </w:t>
      </w:r>
      <w:r w:rsidR="00067443">
        <w:fldChar w:fldCharType="begin"/>
      </w:r>
      <w:r w:rsidR="00067443">
        <w:instrText xml:space="preserve"> REF _Ref451328793 \r \h </w:instrText>
      </w:r>
      <w:r w:rsidR="00067443">
        <w:fldChar w:fldCharType="separate"/>
      </w:r>
      <w:r w:rsidR="000230CB">
        <w:t>H</w:t>
      </w:r>
      <w:r w:rsidR="00067443">
        <w:fldChar w:fldCharType="end"/>
      </w:r>
      <w:r w:rsidR="00E10A41">
        <w:t>)</w:t>
      </w:r>
      <w:r>
        <w:t>.</w:t>
      </w:r>
    </w:p>
    <w:p w:rsidR="004C3B1E" w:rsidRDefault="00E10A41" w:rsidP="004C3B1E">
      <w:r w:rsidRPr="00E761F9">
        <w:t xml:space="preserve">In the </w:t>
      </w:r>
      <w:r>
        <w:t>draft</w:t>
      </w:r>
      <w:r w:rsidRPr="00E761F9">
        <w:t xml:space="preserve"> decision for </w:t>
      </w:r>
      <w:r>
        <w:t>AGN</w:t>
      </w:r>
      <w:r w:rsidRPr="00E761F9">
        <w:t>, we used a</w:t>
      </w:r>
      <w:r>
        <w:t>n</w:t>
      </w:r>
      <w:r w:rsidRPr="00E761F9">
        <w:t xml:space="preserve"> </w:t>
      </w:r>
      <w:r>
        <w:t xml:space="preserve">indicative </w:t>
      </w:r>
      <w:r w:rsidRPr="00E761F9">
        <w:t>averaging period to estimate the allowed return on debt for the 2016</w:t>
      </w:r>
      <w:r>
        <w:t>–17</w:t>
      </w:r>
      <w:r w:rsidRPr="00E761F9">
        <w:t xml:space="preserve"> regulatory year. At that time, we also stated we would update this averaging period for the final decision and stated, in a confidential appendix, the dates we would use for this updating. In this final decision, we have updated </w:t>
      </w:r>
      <w:r>
        <w:t>AGN's</w:t>
      </w:r>
      <w:r w:rsidRPr="00E761F9">
        <w:t xml:space="preserve"> allowed return on debt for the 2016</w:t>
      </w:r>
      <w:r>
        <w:t>–17</w:t>
      </w:r>
      <w:r w:rsidRPr="00E761F9">
        <w:t xml:space="preserve"> regulatory year based on this averaging period, which was </w:t>
      </w:r>
      <w:r w:rsidR="00897666" w:rsidRPr="00897666">
        <w:t>20 business days ending 26 February 2016</w:t>
      </w:r>
      <w:r w:rsidRPr="00E761F9">
        <w:t>. We can specify this averaging period now because it has expired.</w:t>
      </w:r>
      <w:r w:rsidR="004C3B1E">
        <w:t xml:space="preserve"> </w:t>
      </w:r>
    </w:p>
    <w:p w:rsidR="00551321" w:rsidRPr="00E761F9" w:rsidRDefault="00551321" w:rsidP="00551321">
      <w:r w:rsidRPr="00E761F9">
        <w:t>In the Guideline, we proposed that service providers could nominate averaging periods of 10 or more consecutive business days up to a maximum of 12 months.</w:t>
      </w:r>
      <w:r w:rsidRPr="00E761F9">
        <w:rPr>
          <w:rStyle w:val="FootnoteReference"/>
        </w:rPr>
        <w:footnoteReference w:id="552"/>
      </w:r>
      <w:r w:rsidRPr="00E761F9">
        <w:t xml:space="preserve"> We also proposed that an averaging period should satisfy certain conditions. We developed these conditions so that the application of the averaging period contributes to the achievement of the </w:t>
      </w:r>
      <w:r w:rsidR="0068661A">
        <w:t>ARORO</w:t>
      </w:r>
      <w:r w:rsidRPr="00E761F9">
        <w:t>.</w:t>
      </w:r>
      <w:r w:rsidRPr="00E761F9">
        <w:rPr>
          <w:rStyle w:val="FootnoteReference"/>
        </w:rPr>
        <w:footnoteReference w:id="553"/>
      </w:r>
    </w:p>
    <w:p w:rsidR="00551321" w:rsidRPr="00E761F9" w:rsidRDefault="00551321" w:rsidP="00551321">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the </w:t>
      </w:r>
      <w:r w:rsidR="0068661A">
        <w:t>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68661A">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897666">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551321" w:rsidRPr="00E761F9" w:rsidRDefault="00897666" w:rsidP="00551321">
      <w:pPr>
        <w:numPr>
          <w:ilvl w:val="0"/>
          <w:numId w:val="24"/>
        </w:numPr>
      </w:pPr>
      <w:r>
        <w:fldChar w:fldCharType="begin"/>
      </w:r>
      <w:r>
        <w:instrText xml:space="preserve"> REF _Ref451266042 \h </w:instrText>
      </w:r>
      <w:r>
        <w:fldChar w:fldCharType="separate"/>
      </w:r>
      <w:r w:rsidR="000230CB">
        <w:t xml:space="preserve">Table </w:t>
      </w:r>
      <w:r w:rsidR="000230CB">
        <w:rPr>
          <w:noProof/>
        </w:rPr>
        <w:t>3</w:t>
      </w:r>
      <w:r w:rsidR="000230CB">
        <w:noBreakHyphen/>
      </w:r>
      <w:r w:rsidR="000230CB">
        <w:rPr>
          <w:noProof/>
        </w:rPr>
        <w:t>19</w:t>
      </w:r>
      <w:r>
        <w:fldChar w:fldCharType="end"/>
      </w:r>
      <w:r w:rsidR="00551321" w:rsidRPr="00E761F9">
        <w:t xml:space="preserve"> sets out why we consider an averaging period that meets the remaining conditions in the Guideline contributes to the achievement of the </w:t>
      </w:r>
      <w:r w:rsidR="0068661A">
        <w:t>ARORO</w:t>
      </w:r>
      <w:r w:rsidR="00551321" w:rsidRPr="00E761F9">
        <w:t xml:space="preserve">. It also summarises our assessment of </w:t>
      </w:r>
      <w:r>
        <w:t>the debt averaging periods AGN proposed for the base rate under a '"hybrid transition" approach with 100% hedging of the base rate'</w:t>
      </w:r>
      <w:r>
        <w:rPr>
          <w:rStyle w:val="FootnoteReference"/>
        </w:rPr>
        <w:footnoteReference w:id="554"/>
      </w:r>
      <w:r w:rsidR="00551321" w:rsidRPr="00E761F9">
        <w:t xml:space="preserve"> </w:t>
      </w:r>
      <w:r>
        <w:t>against these conditions.</w:t>
      </w:r>
    </w:p>
    <w:p w:rsidR="00897666" w:rsidRDefault="00897666" w:rsidP="00897666">
      <w:pPr>
        <w:pStyle w:val="Caption"/>
      </w:pPr>
      <w:bookmarkStart w:id="92" w:name="_Ref451266042"/>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noBreakHyphen/>
      </w:r>
      <w:r w:rsidR="00527450">
        <w:fldChar w:fldCharType="begin"/>
      </w:r>
      <w:r w:rsidR="00527450">
        <w:instrText xml:space="preserve"> SEQ Table \* ARABIC \s 1 </w:instrText>
      </w:r>
      <w:r w:rsidR="00527450">
        <w:fldChar w:fldCharType="separate"/>
      </w:r>
      <w:r w:rsidR="000230CB">
        <w:rPr>
          <w:noProof/>
        </w:rPr>
        <w:t>19</w:t>
      </w:r>
      <w:r w:rsidR="00527450">
        <w:rPr>
          <w:noProof/>
        </w:rPr>
        <w:fldChar w:fldCharType="end"/>
      </w:r>
      <w:bookmarkEnd w:id="92"/>
      <w:r>
        <w:tab/>
      </w:r>
      <w:r w:rsidRPr="00E761F9">
        <w:t>Assessment of proposed averaging periods against Guideline</w:t>
      </w:r>
    </w:p>
    <w:tbl>
      <w:tblPr>
        <w:tblStyle w:val="AERtable-text0"/>
        <w:tblW w:w="0" w:type="auto"/>
        <w:tblLook w:val="04A0" w:firstRow="1" w:lastRow="0" w:firstColumn="1" w:lastColumn="0" w:noHBand="0" w:noVBand="1"/>
      </w:tblPr>
      <w:tblGrid>
        <w:gridCol w:w="2573"/>
        <w:gridCol w:w="4614"/>
        <w:gridCol w:w="1415"/>
      </w:tblGrid>
      <w:tr w:rsidR="00551321" w:rsidTr="004C3B1E">
        <w:trPr>
          <w:cnfStyle w:val="100000000000" w:firstRow="1" w:lastRow="0" w:firstColumn="0" w:lastColumn="0" w:oddVBand="0" w:evenVBand="0" w:oddHBand="0" w:evenHBand="0" w:firstRowFirstColumn="0" w:firstRowLastColumn="0" w:lastRowFirstColumn="0" w:lastRowLastColumn="0"/>
          <w:trHeight w:val="148"/>
          <w:tblHeader/>
        </w:trPr>
        <w:tc>
          <w:tcPr>
            <w:tcW w:w="2573" w:type="dxa"/>
          </w:tcPr>
          <w:p w:rsidR="00551321" w:rsidRPr="00551321" w:rsidRDefault="00551321" w:rsidP="00BC70E6">
            <w:r w:rsidRPr="00E761F9">
              <w:t>Condition</w:t>
            </w:r>
          </w:p>
        </w:tc>
        <w:tc>
          <w:tcPr>
            <w:tcW w:w="4614" w:type="dxa"/>
          </w:tcPr>
          <w:p w:rsidR="00551321" w:rsidRPr="00551321" w:rsidRDefault="00551321" w:rsidP="00BC70E6">
            <w:r w:rsidRPr="00E761F9">
              <w:t>Reasons for condition</w:t>
            </w:r>
          </w:p>
        </w:tc>
        <w:tc>
          <w:tcPr>
            <w:tcW w:w="1415" w:type="dxa"/>
          </w:tcPr>
          <w:p w:rsidR="00551321" w:rsidRPr="00551321" w:rsidRDefault="00551321" w:rsidP="00BC70E6">
            <w:r w:rsidRPr="00E761F9">
              <w:t>Condition met?</w:t>
            </w:r>
            <w:r w:rsidR="00897666">
              <w:t>*</w:t>
            </w:r>
          </w:p>
        </w:tc>
      </w:tr>
      <w:tr w:rsidR="00551321" w:rsidTr="004C3B1E">
        <w:trPr>
          <w:trHeight w:val="148"/>
        </w:trPr>
        <w:tc>
          <w:tcPr>
            <w:tcW w:w="2573" w:type="dxa"/>
          </w:tcPr>
          <w:p w:rsidR="00551321" w:rsidRPr="00551321" w:rsidRDefault="00551321" w:rsidP="00BC70E6">
            <w:r w:rsidRPr="00E761F9">
              <w:t xml:space="preserve">Observed over a period of 10 or more consecutive business days up to a maximum of </w:t>
            </w:r>
            <w:r w:rsidRPr="00551321">
              <w:t>12 months</w:t>
            </w:r>
          </w:p>
        </w:tc>
        <w:tc>
          <w:tcPr>
            <w:tcW w:w="4614" w:type="dxa"/>
          </w:tcPr>
          <w:p w:rsidR="00551321" w:rsidRPr="00551321" w:rsidRDefault="00551321" w:rsidP="00BC70E6">
            <w:r w:rsidRPr="00E761F9">
              <w:t>Averaging daily estimates over a number of days smooths out short term volatility in the annually updated return on debt allowance.</w:t>
            </w:r>
          </w:p>
        </w:tc>
        <w:tc>
          <w:tcPr>
            <w:tcW w:w="1415" w:type="dxa"/>
          </w:tcPr>
          <w:p w:rsidR="00551321" w:rsidRPr="00551321" w:rsidRDefault="00551321" w:rsidP="00BC70E6">
            <w:r w:rsidRPr="00E761F9">
              <w:t>Yes</w:t>
            </w:r>
          </w:p>
        </w:tc>
      </w:tr>
      <w:tr w:rsidR="00551321" w:rsidTr="004C3B1E">
        <w:trPr>
          <w:cnfStyle w:val="000000010000" w:firstRow="0" w:lastRow="0" w:firstColumn="0" w:lastColumn="0" w:oddVBand="0" w:evenVBand="0" w:oddHBand="0" w:evenHBand="1" w:firstRowFirstColumn="0" w:firstRowLastColumn="0" w:lastRowFirstColumn="0" w:lastRowLastColumn="0"/>
          <w:trHeight w:val="148"/>
        </w:trPr>
        <w:tc>
          <w:tcPr>
            <w:tcW w:w="2573" w:type="dxa"/>
          </w:tcPr>
          <w:p w:rsidR="00551321" w:rsidRPr="00551321" w:rsidRDefault="00551321" w:rsidP="00BC70E6">
            <w:r w:rsidRPr="00E761F9">
              <w:t xml:space="preserve">It should be specified prior to the commencement of the </w:t>
            </w:r>
            <w:r w:rsidR="00897666">
              <w:t xml:space="preserve">access arrangement </w:t>
            </w:r>
            <w:r w:rsidRPr="00E761F9">
              <w:t>period.</w:t>
            </w:r>
          </w:p>
        </w:tc>
        <w:tc>
          <w:tcPr>
            <w:tcW w:w="4614" w:type="dxa"/>
          </w:tcPr>
          <w:p w:rsidR="00551321" w:rsidRPr="00551321" w:rsidRDefault="00551321" w:rsidP="00BC70E6">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15" w:type="dxa"/>
          </w:tcPr>
          <w:p w:rsidR="00551321" w:rsidRPr="00551321" w:rsidRDefault="00551321" w:rsidP="00BC70E6">
            <w:r w:rsidRPr="00E761F9">
              <w:t>Yes</w:t>
            </w:r>
          </w:p>
        </w:tc>
      </w:tr>
      <w:tr w:rsidR="00551321" w:rsidTr="004C3B1E">
        <w:trPr>
          <w:trHeight w:val="148"/>
        </w:trPr>
        <w:tc>
          <w:tcPr>
            <w:tcW w:w="2573" w:type="dxa"/>
          </w:tcPr>
          <w:p w:rsidR="00551321" w:rsidRPr="00551321" w:rsidRDefault="00551321" w:rsidP="00BC70E6">
            <w:r w:rsidRPr="00E761F9">
              <w:t>At the time it is nominated, all dates in the averaging period must take place in the future.</w:t>
            </w:r>
          </w:p>
        </w:tc>
        <w:tc>
          <w:tcPr>
            <w:tcW w:w="4614" w:type="dxa"/>
          </w:tcPr>
          <w:p w:rsidR="00551321" w:rsidRPr="00551321" w:rsidRDefault="00551321" w:rsidP="00BC70E6">
            <w:r w:rsidRPr="00E761F9">
              <w:t>If a regulated service provider can select an averaging period by looking at historical yields, it may introduce an upward bias.</w:t>
            </w:r>
            <w:r w:rsidRPr="00551321">
              <w:rPr>
                <w:rStyle w:val="FootnoteReference"/>
              </w:rPr>
              <w:footnoteReference w:id="555"/>
            </w:r>
          </w:p>
        </w:tc>
        <w:tc>
          <w:tcPr>
            <w:tcW w:w="1415" w:type="dxa"/>
          </w:tcPr>
          <w:p w:rsidR="00551321" w:rsidRPr="00551321" w:rsidRDefault="00551321" w:rsidP="00BC70E6">
            <w:r w:rsidRPr="00E761F9">
              <w:t>Yes</w:t>
            </w:r>
          </w:p>
        </w:tc>
      </w:tr>
      <w:tr w:rsidR="00551321" w:rsidTr="004C3B1E">
        <w:trPr>
          <w:cnfStyle w:val="000000010000" w:firstRow="0" w:lastRow="0" w:firstColumn="0" w:lastColumn="0" w:oddVBand="0" w:evenVBand="0" w:oddHBand="0" w:evenHBand="1" w:firstRowFirstColumn="0" w:firstRowLastColumn="0" w:lastRowFirstColumn="0" w:lastRowLastColumn="0"/>
          <w:trHeight w:val="148"/>
        </w:trPr>
        <w:tc>
          <w:tcPr>
            <w:tcW w:w="2573" w:type="dxa"/>
          </w:tcPr>
          <w:p w:rsidR="00551321" w:rsidRPr="00551321" w:rsidRDefault="00551321" w:rsidP="00BC70E6">
            <w:r w:rsidRPr="00E761F9">
              <w:t>An averaging period needs to be specified for each regulatory year within a</w:t>
            </w:r>
            <w:r w:rsidR="00897666">
              <w:t>n access arrangement</w:t>
            </w:r>
            <w:r w:rsidRPr="00E761F9">
              <w:t xml:space="preserve"> period.</w:t>
            </w:r>
          </w:p>
        </w:tc>
        <w:tc>
          <w:tcPr>
            <w:tcW w:w="4614" w:type="dxa"/>
          </w:tcPr>
          <w:p w:rsidR="00551321" w:rsidRPr="00551321" w:rsidRDefault="00551321" w:rsidP="00BC70E6">
            <w:r w:rsidRPr="00E761F9">
              <w:t>This allows for the annual debt update. The annual debt update reduces the potential for a mismatch between the allowed and actual return on debt for the benchmark efficient entity.</w:t>
            </w:r>
          </w:p>
        </w:tc>
        <w:tc>
          <w:tcPr>
            <w:tcW w:w="1415" w:type="dxa"/>
          </w:tcPr>
          <w:p w:rsidR="00551321" w:rsidRPr="00551321" w:rsidRDefault="00551321" w:rsidP="00BC70E6">
            <w:r w:rsidRPr="00E761F9">
              <w:t>Yes</w:t>
            </w:r>
          </w:p>
        </w:tc>
      </w:tr>
      <w:tr w:rsidR="00551321" w:rsidTr="004C3B1E">
        <w:trPr>
          <w:trHeight w:val="148"/>
        </w:trPr>
        <w:tc>
          <w:tcPr>
            <w:tcW w:w="2573" w:type="dxa"/>
          </w:tcPr>
          <w:p w:rsidR="00551321" w:rsidRPr="00551321" w:rsidRDefault="00551321" w:rsidP="00BC70E6">
            <w:r w:rsidRPr="00E761F9">
              <w:t>The proposed averaging periods for different regulatory years are not required to be identical but should not overlap.</w:t>
            </w:r>
          </w:p>
        </w:tc>
        <w:tc>
          <w:tcPr>
            <w:tcW w:w="4614" w:type="dxa"/>
          </w:tcPr>
          <w:p w:rsidR="00551321" w:rsidRPr="00551321" w:rsidRDefault="00551321" w:rsidP="00BC70E6">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15" w:type="dxa"/>
          </w:tcPr>
          <w:p w:rsidR="00551321" w:rsidRPr="00551321" w:rsidRDefault="00551321" w:rsidP="00BC70E6">
            <w:r w:rsidRPr="00E761F9">
              <w:t>Yes</w:t>
            </w:r>
          </w:p>
        </w:tc>
      </w:tr>
      <w:tr w:rsidR="00551321" w:rsidTr="00BC70E6">
        <w:trPr>
          <w:cnfStyle w:val="000000010000" w:firstRow="0" w:lastRow="0" w:firstColumn="0" w:lastColumn="0" w:oddVBand="0" w:evenVBand="0" w:oddHBand="0" w:evenHBand="1" w:firstRowFirstColumn="0" w:firstRowLastColumn="0" w:lastRowFirstColumn="0" w:lastRowLastColumn="0"/>
          <w:trHeight w:val="1072"/>
        </w:trPr>
        <w:tc>
          <w:tcPr>
            <w:tcW w:w="2573" w:type="dxa"/>
          </w:tcPr>
          <w:p w:rsidR="00551321" w:rsidRPr="00551321" w:rsidRDefault="00551321" w:rsidP="00BC70E6">
            <w:r w:rsidRPr="00E761F9">
              <w:t>The nominal return on debt is to be updated annually using the agreed averaging period for the relevant regulatory year.</w:t>
            </w:r>
          </w:p>
        </w:tc>
        <w:tc>
          <w:tcPr>
            <w:tcW w:w="4614" w:type="dxa"/>
          </w:tcPr>
          <w:p w:rsidR="00551321" w:rsidRPr="00551321" w:rsidRDefault="00551321" w:rsidP="00BC70E6">
            <w:r w:rsidRPr="00E761F9">
              <w:t>This prevents a service provider from introducing bias by only updating annually using the agreed averaging period when it is advantageous for it to do so.</w:t>
            </w:r>
          </w:p>
        </w:tc>
        <w:tc>
          <w:tcPr>
            <w:tcW w:w="1415" w:type="dxa"/>
          </w:tcPr>
          <w:p w:rsidR="00551321" w:rsidRPr="00551321" w:rsidRDefault="00551321" w:rsidP="00BC70E6">
            <w:r w:rsidRPr="00E761F9">
              <w:t>Yes</w:t>
            </w:r>
          </w:p>
        </w:tc>
      </w:tr>
      <w:tr w:rsidR="00551321" w:rsidTr="004C3B1E">
        <w:trPr>
          <w:trHeight w:val="1830"/>
        </w:trPr>
        <w:tc>
          <w:tcPr>
            <w:tcW w:w="2573" w:type="dxa"/>
          </w:tcPr>
          <w:p w:rsidR="00551321" w:rsidRPr="00551321" w:rsidRDefault="00551321" w:rsidP="00BC70E6">
            <w:r w:rsidRPr="00E761F9">
              <w:t>Each agreed averaging period is to be confidential.</w:t>
            </w:r>
          </w:p>
        </w:tc>
        <w:tc>
          <w:tcPr>
            <w:tcW w:w="4614" w:type="dxa"/>
          </w:tcPr>
          <w:p w:rsidR="00551321" w:rsidRPr="00551321" w:rsidRDefault="00551321" w:rsidP="00BC70E6">
            <w:r w:rsidRPr="00E761F9">
              <w:t>This facilitates service providers organising their financing arrangements without market participants being aware of the averaging periods. Accordingly, in practice we keep averaging periods confidential until they expire.</w:t>
            </w:r>
          </w:p>
        </w:tc>
        <w:tc>
          <w:tcPr>
            <w:tcW w:w="1415" w:type="dxa"/>
          </w:tcPr>
          <w:p w:rsidR="00551321" w:rsidRPr="00551321" w:rsidRDefault="00551321" w:rsidP="00BC70E6">
            <w:r w:rsidRPr="00E761F9">
              <w:t>Yes</w:t>
            </w:r>
          </w:p>
        </w:tc>
      </w:tr>
    </w:tbl>
    <w:p w:rsidR="00551321" w:rsidRDefault="00551321" w:rsidP="00551321">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rsidR="00AD7F1D">
        <w:t xml:space="preserve">AGN, </w:t>
      </w:r>
      <w:r w:rsidR="00AD7F1D">
        <w:rPr>
          <w:rStyle w:val="AERtextitalic"/>
        </w:rPr>
        <w:t xml:space="preserve">Revised access arrangement </w:t>
      </w:r>
      <w:r w:rsidR="00A379F8">
        <w:rPr>
          <w:rStyle w:val="AERtextitalic"/>
        </w:rPr>
        <w:t>proposal</w:t>
      </w:r>
      <w:r w:rsidR="00AD7F1D">
        <w:rPr>
          <w:rStyle w:val="AERtextitalic"/>
        </w:rPr>
        <w:t>: Attachment 10.2A—Response to Draft Decision: Averaging Periods (Confidential)</w:t>
      </w:r>
      <w:r w:rsidR="00AD7F1D">
        <w:t xml:space="preserve">, January 2016; AGN, </w:t>
      </w:r>
      <w:r w:rsidR="00AD7F1D">
        <w:rPr>
          <w:rStyle w:val="AERtextitalic"/>
        </w:rPr>
        <w:t xml:space="preserve">Access arrangement </w:t>
      </w:r>
      <w:r w:rsidR="00A379F8">
        <w:rPr>
          <w:rStyle w:val="AERtextitalic"/>
        </w:rPr>
        <w:t>proposal</w:t>
      </w:r>
      <w:r w:rsidR="00AD7F1D">
        <w:rPr>
          <w:rStyle w:val="AERtextitalic"/>
        </w:rPr>
        <w:t>: Attachment 10.2—Averaging Periods (Confidential)</w:t>
      </w:r>
      <w:r w:rsidR="00AD7F1D">
        <w:t>, July 2015</w:t>
      </w:r>
      <w:r w:rsidRPr="00E761F9">
        <w:t>; AER analysis.</w:t>
      </w:r>
    </w:p>
    <w:p w:rsidR="00897666" w:rsidRPr="00897666" w:rsidRDefault="00897666" w:rsidP="00897666">
      <w:pPr>
        <w:pStyle w:val="AERtablesource"/>
      </w:pPr>
      <w:r>
        <w:t>*</w:t>
      </w:r>
      <w:r>
        <w:tab/>
        <w:t xml:space="preserve">This assessment is for </w:t>
      </w:r>
      <w:r w:rsidRPr="00897666">
        <w:t>the debt averaging periods AGN proposed for the base rate under a '"hybrid transition" approach with 100% hedging of the base rate'</w:t>
      </w:r>
      <w:r>
        <w:t xml:space="preserve">. We note these averaging periods are </w:t>
      </w:r>
      <w:r w:rsidRPr="00897666">
        <w:t>not AGN's primary position (or first preference) in its revised proposal</w:t>
      </w:r>
      <w:r>
        <w:t xml:space="preserve"> (see above).</w:t>
      </w:r>
    </w:p>
    <w:p w:rsidR="00551321" w:rsidRPr="00E761F9" w:rsidRDefault="00551321" w:rsidP="00551321">
      <w:r w:rsidRPr="00E761F9">
        <w:t xml:space="preserve">In assessing the service providers' (including </w:t>
      </w:r>
      <w:r w:rsidR="00AD7F1D">
        <w:t>AGN's</w:t>
      </w:r>
      <w:r w:rsidRPr="00E761F9">
        <w:t>)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56"/>
      </w:r>
    </w:p>
    <w:p w:rsidR="00551321" w:rsidRPr="00551321" w:rsidRDefault="00551321" w:rsidP="00551321">
      <w:pPr>
        <w:pStyle w:val="AERbulletlistfirststyle"/>
      </w:pPr>
      <w:r w:rsidRPr="00E761F9">
        <w:t>end no later than 25 business days before a service provider submits its annual pricing proposal or reference tariff variation proposal for year t to the AER</w:t>
      </w:r>
      <w:r w:rsidRPr="00551321">
        <w:rPr>
          <w:rStyle w:val="FootnoteReference"/>
        </w:rPr>
        <w:footnoteReference w:id="557"/>
      </w:r>
    </w:p>
    <w:p w:rsidR="00551321" w:rsidRPr="00551321" w:rsidRDefault="00551321" w:rsidP="00551321">
      <w:pPr>
        <w:pStyle w:val="AERbulletlistfirststyle"/>
      </w:pPr>
      <w:r w:rsidRPr="00E761F9">
        <w:t>commence no earlier than 12 months plus 25 business days before a service provider submits its annual pricing proposal or reference tariff variation proposal for year t to the AER.</w:t>
      </w:r>
    </w:p>
    <w:p w:rsidR="00551321" w:rsidRPr="00E761F9" w:rsidRDefault="00A379F8" w:rsidP="00551321">
      <w:r>
        <w:t>We consider the averaging periods AGN proposed for 2017–18 to 2020–21 for the base rate under a '"hybrid transition" approach with 100% hedging of the base rate'</w:t>
      </w:r>
      <w:r>
        <w:rPr>
          <w:rStyle w:val="FootnoteReference"/>
        </w:rPr>
        <w:footnoteReference w:id="558"/>
      </w:r>
      <w:r>
        <w:t xml:space="preserve"> can be practically applied because they fall within this timeframe. </w:t>
      </w:r>
      <w:r w:rsidR="00551321" w:rsidRPr="00E761F9">
        <w:t xml:space="preserve">We discuss this in </w:t>
      </w:r>
      <w:r>
        <w:t xml:space="preserve">more </w:t>
      </w:r>
      <w:r w:rsidR="00551321" w:rsidRPr="00E761F9">
        <w:t>detail in the 'Annual debt update process' section.</w:t>
      </w:r>
    </w:p>
    <w:p w:rsidR="00551321" w:rsidRPr="00E761F9" w:rsidRDefault="00551321" w:rsidP="00551321">
      <w:pPr>
        <w:pStyle w:val="HeadingItalic"/>
      </w:pPr>
      <w:r w:rsidRPr="00E761F9">
        <w:t>Response to key issues raised by stakeholders</w:t>
      </w:r>
    </w:p>
    <w:p w:rsidR="00A379F8" w:rsidRPr="00E761F9" w:rsidRDefault="00A379F8" w:rsidP="00A379F8">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A379F8" w:rsidRPr="00A379F8" w:rsidRDefault="00A379F8" w:rsidP="00A379F8">
      <w:pPr>
        <w:pStyle w:val="AERbulletlistfirststyle"/>
      </w:pPr>
      <w:r w:rsidRPr="00E761F9">
        <w:t>Some service providers proposed to depart from the Guideline in relation to nominating all averaging periods before the start of the</w:t>
      </w:r>
      <w:r w:rsidRPr="00A379F8">
        <w:t xml:space="preserve"> regulatory control or access arrangement period. Instead, these service providers proposed to nominate their averaging periods in a separate process each year. Within this, the service providers proposed different annual processes to nominate their averaging periods each year.</w:t>
      </w:r>
    </w:p>
    <w:p w:rsidR="00A379F8" w:rsidRPr="00E761F9" w:rsidRDefault="00A379F8" w:rsidP="00A379F8">
      <w:pPr>
        <w:pStyle w:val="AERbulletlistfirststyle"/>
      </w:pPr>
      <w:r w:rsidRPr="00E761F9">
        <w:t xml:space="preserve">AGN proposed separate averaging periods for the base rate and DRP components of the return on debt. </w:t>
      </w:r>
    </w:p>
    <w:p w:rsidR="00A379F8" w:rsidRPr="00E761F9" w:rsidRDefault="00A379F8" w:rsidP="00A379F8">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A379F8" w:rsidRPr="00E761F9" w:rsidRDefault="00A379F8" w:rsidP="00A379F8">
      <w:r>
        <w:fldChar w:fldCharType="begin"/>
      </w:r>
      <w:r>
        <w:instrText xml:space="preserve"> REF _Ref451241863 \h </w:instrText>
      </w:r>
      <w:r>
        <w:fldChar w:fldCharType="separate"/>
      </w:r>
      <w:r w:rsidR="000230CB">
        <w:t xml:space="preserve">Table </w:t>
      </w:r>
      <w:r w:rsidR="000230CB">
        <w:rPr>
          <w:noProof/>
        </w:rPr>
        <w:t>3</w:t>
      </w:r>
      <w:r w:rsidR="000230CB">
        <w:noBreakHyphen/>
      </w:r>
      <w:r w:rsidR="000230CB">
        <w:rPr>
          <w:noProof/>
        </w:rPr>
        <w:t>20</w:t>
      </w:r>
      <w:r>
        <w:fldChar w:fldCharType="end"/>
      </w:r>
      <w:r w:rsidRPr="00E761F9">
        <w:t xml:space="preserve"> summarises the different approaches to the nomination of debt averaging periods proposed by different service providers. </w:t>
      </w:r>
    </w:p>
    <w:p w:rsidR="00A379F8" w:rsidRDefault="00A379F8" w:rsidP="000230CB">
      <w:pPr>
        <w:pStyle w:val="Caption"/>
      </w:pPr>
      <w:bookmarkStart w:id="93" w:name="_Ref451241863"/>
      <w:r>
        <w:t xml:space="preserve">Table </w:t>
      </w:r>
      <w:r w:rsidRPr="00A379F8">
        <w:fldChar w:fldCharType="begin"/>
      </w:r>
      <w:r>
        <w:instrText xml:space="preserve"> STYLEREF 1 \s </w:instrText>
      </w:r>
      <w:r w:rsidRPr="00A379F8">
        <w:fldChar w:fldCharType="separate"/>
      </w:r>
      <w:r w:rsidR="000230CB">
        <w:rPr>
          <w:noProof/>
        </w:rPr>
        <w:t>3</w:t>
      </w:r>
      <w:r w:rsidRPr="00A379F8">
        <w:fldChar w:fldCharType="end"/>
      </w:r>
      <w:r>
        <w:noBreakHyphen/>
      </w:r>
      <w:r w:rsidRPr="00A379F8">
        <w:fldChar w:fldCharType="begin"/>
      </w:r>
      <w:r>
        <w:instrText xml:space="preserve"> SEQ Table \* ARABIC \s 1 </w:instrText>
      </w:r>
      <w:r w:rsidRPr="00A379F8">
        <w:fldChar w:fldCharType="separate"/>
      </w:r>
      <w:r w:rsidR="000230CB">
        <w:rPr>
          <w:noProof/>
        </w:rPr>
        <w:t>20</w:t>
      </w:r>
      <w:r w:rsidRPr="00A379F8">
        <w:fldChar w:fldCharType="end"/>
      </w:r>
      <w:bookmarkEnd w:id="93"/>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A379F8" w:rsidTr="009A3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Service Provider</w:t>
            </w:r>
          </w:p>
        </w:tc>
        <w:tc>
          <w:tcPr>
            <w:tcW w:w="1449" w:type="dxa"/>
          </w:tcPr>
          <w:p w:rsidR="00A379F8" w:rsidRPr="00A379F8" w:rsidRDefault="00A379F8" w:rsidP="00DB4FCE">
            <w:pPr>
              <w:keepNext/>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A379F8" w:rsidRPr="00A379F8" w:rsidRDefault="00A379F8" w:rsidP="00DB4FCE">
            <w:pPr>
              <w:keepNext/>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A379F8" w:rsidRPr="00A379F8" w:rsidRDefault="00A379F8" w:rsidP="00DB4FCE">
            <w:pPr>
              <w:keepNext/>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A379F8" w:rsidRPr="00A379F8" w:rsidRDefault="00A379F8" w:rsidP="00DB4FCE">
            <w:pPr>
              <w:keepNext/>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A379F8">
              <w:t xml:space="preserve"> rate</w:t>
            </w:r>
          </w:p>
        </w:tc>
        <w:tc>
          <w:tcPr>
            <w:tcW w:w="1449" w:type="dxa"/>
          </w:tcPr>
          <w:p w:rsidR="00A379F8" w:rsidRPr="00A379F8" w:rsidRDefault="00A379F8" w:rsidP="00DB4FCE">
            <w:pPr>
              <w:keepNext/>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A379F8" w:rsidTr="009A39AD">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AusNet Services</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r>
      <w:tr w:rsidR="00A379F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United Energy</w:t>
            </w:r>
          </w:p>
        </w:tc>
        <w:tc>
          <w:tcPr>
            <w:tcW w:w="1449" w:type="dxa"/>
          </w:tcPr>
          <w:p w:rsidR="00A379F8" w:rsidRPr="00A379F8" w:rsidRDefault="00A379F8" w:rsidP="00DB4FCE">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r>
      <w:tr w:rsidR="00A379F8" w:rsidTr="009A39AD">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JEN</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r>
      <w:tr w:rsidR="00A379F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CitiPower / Powercor</w:t>
            </w:r>
          </w:p>
        </w:tc>
        <w:tc>
          <w:tcPr>
            <w:tcW w:w="1449" w:type="dxa"/>
          </w:tcPr>
          <w:p w:rsidR="00A379F8" w:rsidRPr="00A379F8" w:rsidRDefault="00A379F8" w:rsidP="00DB4FCE">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r>
      <w:tr w:rsidR="00A379F8" w:rsidTr="009A39AD">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ActewAGL</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X</w:t>
            </w:r>
          </w:p>
        </w:tc>
      </w:tr>
      <w:tr w:rsidR="00A379F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AGN</w:t>
            </w:r>
          </w:p>
        </w:tc>
        <w:tc>
          <w:tcPr>
            <w:tcW w:w="1449" w:type="dxa"/>
          </w:tcPr>
          <w:p w:rsidR="00A379F8" w:rsidRPr="00A379F8" w:rsidRDefault="00A379F8" w:rsidP="00DB4FCE">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A379F8" w:rsidRPr="00A379F8" w:rsidRDefault="00A379F8" w:rsidP="00DB4FCE">
            <w:pPr>
              <w:keepNext/>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A379F8" w:rsidRPr="00E761F9" w:rsidRDefault="00A379F8" w:rsidP="00DB4FCE">
            <w:pPr>
              <w:keepNext/>
              <w:cnfStyle w:val="000000010000" w:firstRow="0" w:lastRow="0" w:firstColumn="0" w:lastColumn="0" w:oddVBand="0" w:evenVBand="0" w:oddHBand="0" w:evenHBand="1" w:firstRowFirstColumn="0" w:firstRowLastColumn="0" w:lastRowFirstColumn="0" w:lastRowLastColumn="0"/>
            </w:pPr>
          </w:p>
        </w:tc>
      </w:tr>
      <w:tr w:rsidR="00A379F8" w:rsidTr="009A39AD">
        <w:tc>
          <w:tcPr>
            <w:cnfStyle w:val="001000000000" w:firstRow="0" w:lastRow="0" w:firstColumn="1" w:lastColumn="0" w:oddVBand="0" w:evenVBand="0" w:oddHBand="0" w:evenHBand="0" w:firstRowFirstColumn="0" w:firstRowLastColumn="0" w:lastRowFirstColumn="0" w:lastRowLastColumn="0"/>
            <w:tcW w:w="1448" w:type="dxa"/>
          </w:tcPr>
          <w:p w:rsidR="00A379F8" w:rsidRPr="00A379F8" w:rsidRDefault="00A379F8" w:rsidP="00DB4FCE">
            <w:pPr>
              <w:keepNext/>
            </w:pPr>
            <w:r w:rsidRPr="00E761F9">
              <w:t>Amadeus</w:t>
            </w:r>
          </w:p>
        </w:tc>
        <w:tc>
          <w:tcPr>
            <w:tcW w:w="1449" w:type="dxa"/>
          </w:tcPr>
          <w:p w:rsidR="00A379F8" w:rsidRPr="00A379F8" w:rsidRDefault="00A379F8" w:rsidP="00DB4FCE">
            <w:pPr>
              <w:keepNext/>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A379F8" w:rsidRPr="00E761F9" w:rsidRDefault="00A379F8" w:rsidP="00DB4FCE">
            <w:pPr>
              <w:keepNext/>
              <w:cnfStyle w:val="000000000000" w:firstRow="0" w:lastRow="0" w:firstColumn="0" w:lastColumn="0" w:oddVBand="0" w:evenVBand="0" w:oddHBand="0" w:evenHBand="0" w:firstRowFirstColumn="0" w:firstRowLastColumn="0" w:lastRowFirstColumn="0" w:lastRowLastColumn="0"/>
            </w:pPr>
          </w:p>
        </w:tc>
      </w:tr>
    </w:tbl>
    <w:p w:rsidR="00A379F8" w:rsidRPr="00E761F9" w:rsidRDefault="00A379F8" w:rsidP="00DB4FCE">
      <w:pPr>
        <w:pStyle w:val="AERtablesource"/>
        <w:keepNext/>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A379F8" w:rsidRPr="00E761F9" w:rsidRDefault="00A379F8" w:rsidP="00A379F8">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A379F8" w:rsidRPr="00E761F9" w:rsidRDefault="00A379F8" w:rsidP="00A379F8">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A379F8" w:rsidRPr="00A379F8" w:rsidRDefault="00A379F8" w:rsidP="00A379F8">
      <w:pPr>
        <w:pStyle w:val="AERbulletlistfirststyle"/>
      </w:pPr>
      <w:r w:rsidRPr="00E761F9">
        <w:t xml:space="preserve">should be nominated before the regulatory </w:t>
      </w:r>
      <w:r w:rsidRPr="00A379F8">
        <w:t>control or access arrangement period commences</w:t>
      </w:r>
    </w:p>
    <w:p w:rsidR="00A379F8" w:rsidRPr="00E761F9" w:rsidRDefault="00A379F8" w:rsidP="00A379F8">
      <w:pPr>
        <w:pStyle w:val="AERbulletlistfirststyle"/>
      </w:pPr>
      <w:r w:rsidRPr="00E761F9">
        <w:t>should not be separated into DRP and base rate averaging periods</w:t>
      </w:r>
    </w:p>
    <w:p w:rsidR="00A379F8" w:rsidRPr="00E761F9" w:rsidRDefault="00A379F8" w:rsidP="00A379F8">
      <w:pPr>
        <w:pStyle w:val="AERbulletlistfirststyle"/>
      </w:pPr>
      <w:r w:rsidRPr="00E761F9">
        <w:t>are not required to be as close as practically possible to the start of the each regulatory year, but should fall within a particular timeframe.</w:t>
      </w:r>
    </w:p>
    <w:p w:rsidR="00A379F8" w:rsidRPr="00E761F9" w:rsidRDefault="00A379F8" w:rsidP="00A379F8">
      <w:r w:rsidRPr="00E761F9">
        <w:t xml:space="preserve">Each of these matters is discussed in more detail in section </w:t>
      </w:r>
      <w:r w:rsidR="006D4885">
        <w:fldChar w:fldCharType="begin"/>
      </w:r>
      <w:r w:rsidR="006D4885">
        <w:instrText xml:space="preserve"> REF _Ref451539513 \r \h </w:instrText>
      </w:r>
      <w:r w:rsidR="006D4885">
        <w:fldChar w:fldCharType="separate"/>
      </w:r>
      <w:r w:rsidR="000230CB">
        <w:t>I.5</w:t>
      </w:r>
      <w:r w:rsidR="006D4885">
        <w:fldChar w:fldCharType="end"/>
      </w:r>
      <w:r w:rsidRPr="00E761F9">
        <w:t xml:space="preserve"> of </w:t>
      </w:r>
      <w:r w:rsidR="00067443" w:rsidRPr="00067443">
        <w:t xml:space="preserve">Appendix </w:t>
      </w:r>
      <w:r w:rsidR="00067443" w:rsidRPr="00067443">
        <w:fldChar w:fldCharType="begin"/>
      </w:r>
      <w:r w:rsidR="00067443" w:rsidRPr="00067443">
        <w:instrText xml:space="preserve"> REF _Ref451328704 \r \h </w:instrText>
      </w:r>
      <w:r w:rsidR="00067443" w:rsidRPr="00067443">
        <w:fldChar w:fldCharType="separate"/>
      </w:r>
      <w:r w:rsidR="000230CB">
        <w:t>I</w:t>
      </w:r>
      <w:r w:rsidR="00067443" w:rsidRPr="00067443">
        <w:fldChar w:fldCharType="end"/>
      </w:r>
      <w:r w:rsidRPr="00E761F9">
        <w:t>.</w:t>
      </w:r>
    </w:p>
    <w:p w:rsidR="00551321" w:rsidRDefault="00A379F8" w:rsidP="00A379F8">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59"/>
      </w:r>
    </w:p>
    <w:p w:rsidR="00A403A8" w:rsidRPr="00A403A8" w:rsidRDefault="00A403A8" w:rsidP="00A403A8">
      <w:r w:rsidRPr="00A403A8">
        <w:t>We note the Tribunal, in its recent decision for Jemena Gas Networks, upheld our approach to determining debt averaging periods. It stated:</w:t>
      </w:r>
      <w:r w:rsidRPr="00A403A8">
        <w:rPr>
          <w:rStyle w:val="FootnoteReference"/>
        </w:rPr>
        <w:footnoteReference w:id="560"/>
      </w:r>
    </w:p>
    <w:p w:rsidR="00A403A8" w:rsidRPr="00E761F9" w:rsidRDefault="00A403A8" w:rsidP="00A403A8">
      <w:pPr>
        <w:pStyle w:val="AERquote"/>
      </w:pPr>
      <w:r w:rsidRPr="00A403A8">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230C56" w:rsidRPr="00230C56" w:rsidRDefault="00230C56" w:rsidP="00230C56">
      <w:pPr>
        <w:pStyle w:val="HeadingBoldItalic"/>
      </w:pPr>
      <w:r w:rsidRPr="00230C56">
        <w:t xml:space="preserve">Annual debt update process </w:t>
      </w:r>
    </w:p>
    <w:p w:rsidR="00A379F8" w:rsidRPr="00AD6210" w:rsidRDefault="00A379F8" w:rsidP="00A379F8">
      <w:pPr>
        <w:pStyle w:val="ListParagraph"/>
        <w:numPr>
          <w:ilvl w:val="0"/>
          <w:numId w:val="24"/>
        </w:numPr>
      </w:pPr>
      <w:r w:rsidRPr="00AD6210">
        <w:t>Our decision is that an averaging period should occur within a timeframe of 10 business days to 12 months.</w:t>
      </w:r>
      <w:r>
        <w:t xml:space="preserve"> This is consistent with the position we proposed in the Guideline.</w:t>
      </w:r>
      <w:r w:rsidRPr="00AD6210">
        <w:rPr>
          <w:rStyle w:val="FootnoteReference"/>
        </w:rPr>
        <w:footnoteReference w:id="561"/>
      </w:r>
      <w:r w:rsidRPr="00AD6210">
        <w:t xml:space="preserve"> We have considered how the process to annually update the return on debt would align with </w:t>
      </w:r>
      <w:r w:rsidRPr="007B540E">
        <w:t>the annual reference tariff variation process</w:t>
      </w:r>
      <w:r w:rsidRPr="00AD6210">
        <w:t>.</w:t>
      </w:r>
      <w:r w:rsidRPr="00AD6210">
        <w:rPr>
          <w:rStyle w:val="FootnoteReference"/>
        </w:rPr>
        <w:footnoteReference w:id="562"/>
      </w:r>
      <w:r w:rsidRPr="00AD6210">
        <w:t xml:space="preserve"> The timing of </w:t>
      </w:r>
      <w:r>
        <w:t xml:space="preserve">gas service providers' submission of their reference tariff variation proposals affects </w:t>
      </w:r>
      <w:r w:rsidRPr="00AD6210">
        <w:t>how late an averaging period can end and still be implemented in practice.</w:t>
      </w:r>
    </w:p>
    <w:p w:rsidR="00A379F8" w:rsidRPr="009560BB" w:rsidRDefault="00A379F8" w:rsidP="00A379F8">
      <w:pPr>
        <w:numPr>
          <w:ilvl w:val="0"/>
          <w:numId w:val="24"/>
        </w:numPr>
      </w:pPr>
      <w:r>
        <w:fldChar w:fldCharType="begin"/>
      </w:r>
      <w:r>
        <w:instrText xml:space="preserve"> REF _Ref435451180 \h </w:instrText>
      </w:r>
      <w:r>
        <w:fldChar w:fldCharType="separate"/>
      </w:r>
      <w:r w:rsidR="000230CB">
        <w:t xml:space="preserve">Table </w:t>
      </w:r>
      <w:r w:rsidR="000230CB">
        <w:rPr>
          <w:noProof/>
        </w:rPr>
        <w:t>3</w:t>
      </w:r>
      <w:r w:rsidR="000230CB">
        <w:t>-</w:t>
      </w:r>
      <w:r w:rsidR="000230CB">
        <w:rPr>
          <w:noProof/>
        </w:rPr>
        <w:t>21</w:t>
      </w:r>
      <w:r>
        <w:fldChar w:fldCharType="end"/>
      </w:r>
      <w:r>
        <w:t xml:space="preserve"> outlines the general </w:t>
      </w:r>
      <w:r w:rsidRPr="004057C7">
        <w:t xml:space="preserve">process </w:t>
      </w:r>
      <w:r>
        <w:t>we have decided to adopt for the annual debt update</w:t>
      </w:r>
      <w:r w:rsidRPr="004057C7">
        <w:t xml:space="preserve"> </w:t>
      </w:r>
      <w:r>
        <w:t>f</w:t>
      </w:r>
      <w:r w:rsidRPr="004057C7">
        <w:t xml:space="preserve">or </w:t>
      </w:r>
      <w:r>
        <w:t xml:space="preserve">gas service providers. </w:t>
      </w:r>
      <w:r w:rsidRPr="007D10EB">
        <w:t xml:space="preserve">Our assessment of the proposed averaging periods for </w:t>
      </w:r>
      <w:r>
        <w:t>gas service providers</w:t>
      </w:r>
      <w:r w:rsidRPr="007D10EB">
        <w:t xml:space="preserve"> with current </w:t>
      </w:r>
      <w:r>
        <w:t xml:space="preserve">revised access arrangement proposals </w:t>
      </w:r>
      <w:r w:rsidRPr="007D10EB">
        <w:t xml:space="preserve">has taken this process into account. We also propose to adopt this process for assessing the proposed averaging periods of other </w:t>
      </w:r>
      <w:r>
        <w:t>gas service providers</w:t>
      </w:r>
      <w:r w:rsidRPr="007D10EB">
        <w:t xml:space="preserve"> in the future.</w:t>
      </w:r>
    </w:p>
    <w:p w:rsidR="00A379F8" w:rsidRDefault="00A379F8" w:rsidP="00A379F8">
      <w:pPr>
        <w:pStyle w:val="Caption"/>
      </w:pPr>
      <w:bookmarkStart w:id="94" w:name="_Ref435451180"/>
      <w:r>
        <w:t xml:space="preserve">Table </w:t>
      </w:r>
      <w:r w:rsidRPr="009560BB">
        <w:fldChar w:fldCharType="begin"/>
      </w:r>
      <w:r>
        <w:instrText xml:space="preserve"> STYLEREF 1 \s </w:instrText>
      </w:r>
      <w:r w:rsidRPr="009560BB">
        <w:fldChar w:fldCharType="separate"/>
      </w:r>
      <w:r w:rsidR="000230CB">
        <w:rPr>
          <w:noProof/>
        </w:rPr>
        <w:t>3</w:t>
      </w:r>
      <w:r w:rsidRPr="009560BB">
        <w:fldChar w:fldCharType="end"/>
      </w:r>
      <w:r>
        <w:t>-</w:t>
      </w:r>
      <w:r w:rsidRPr="009560BB">
        <w:fldChar w:fldCharType="begin"/>
      </w:r>
      <w:r>
        <w:instrText xml:space="preserve"> SEQ Table \* ARABIC \s 1 </w:instrText>
      </w:r>
      <w:r w:rsidRPr="009560BB">
        <w:fldChar w:fldCharType="separate"/>
      </w:r>
      <w:r w:rsidR="000230CB">
        <w:rPr>
          <w:noProof/>
        </w:rPr>
        <w:t>21</w:t>
      </w:r>
      <w:r w:rsidRPr="009560BB">
        <w:fldChar w:fldCharType="end"/>
      </w:r>
      <w:bookmarkEnd w:id="94"/>
      <w:r>
        <w:tab/>
        <w:t>Annual gas debt update process</w:t>
      </w:r>
    </w:p>
    <w:tbl>
      <w:tblPr>
        <w:tblStyle w:val="AERtable-text0"/>
        <w:tblW w:w="0" w:type="auto"/>
        <w:tblLook w:val="04A0" w:firstRow="1" w:lastRow="0" w:firstColumn="1" w:lastColumn="0" w:noHBand="0" w:noVBand="1"/>
      </w:tblPr>
      <w:tblGrid>
        <w:gridCol w:w="817"/>
        <w:gridCol w:w="2552"/>
        <w:gridCol w:w="2551"/>
        <w:gridCol w:w="2773"/>
      </w:tblGrid>
      <w:tr w:rsidR="00A379F8" w:rsidTr="009A39AD">
        <w:trPr>
          <w:cnfStyle w:val="100000000000" w:firstRow="1" w:lastRow="0" w:firstColumn="0" w:lastColumn="0" w:oddVBand="0" w:evenVBand="0" w:oddHBand="0" w:evenHBand="0" w:firstRowFirstColumn="0" w:firstRowLastColumn="0" w:lastRowFirstColumn="0" w:lastRowLastColumn="0"/>
          <w:tblHeader/>
        </w:trPr>
        <w:tc>
          <w:tcPr>
            <w:tcW w:w="817" w:type="dxa"/>
            <w:vAlign w:val="top"/>
          </w:tcPr>
          <w:p w:rsidR="00A379F8" w:rsidRPr="00A379F8" w:rsidRDefault="00A379F8" w:rsidP="00A379F8">
            <w:r w:rsidRPr="00360900">
              <w:t>Step</w:t>
            </w:r>
          </w:p>
        </w:tc>
        <w:tc>
          <w:tcPr>
            <w:tcW w:w="2552" w:type="dxa"/>
            <w:vAlign w:val="top"/>
          </w:tcPr>
          <w:p w:rsidR="00A379F8" w:rsidRPr="00A379F8" w:rsidRDefault="00A379F8" w:rsidP="00A379F8">
            <w:r w:rsidRPr="00360900">
              <w:t>Timing</w:t>
            </w:r>
            <w:r w:rsidRPr="00A379F8">
              <w:t xml:space="preserve"> </w:t>
            </w:r>
          </w:p>
        </w:tc>
        <w:tc>
          <w:tcPr>
            <w:tcW w:w="2551" w:type="dxa"/>
            <w:vAlign w:val="top"/>
          </w:tcPr>
          <w:p w:rsidR="00A379F8" w:rsidRPr="00A379F8" w:rsidRDefault="00A379F8" w:rsidP="00A379F8">
            <w:r w:rsidRPr="00360900">
              <w:t>Description</w:t>
            </w:r>
            <w:r w:rsidRPr="00A379F8">
              <w:t xml:space="preserve"> of step</w:t>
            </w:r>
          </w:p>
        </w:tc>
        <w:tc>
          <w:tcPr>
            <w:tcW w:w="2773" w:type="dxa"/>
            <w:vAlign w:val="top"/>
          </w:tcPr>
          <w:p w:rsidR="00A379F8" w:rsidRPr="00A379F8" w:rsidRDefault="00A379F8" w:rsidP="00A379F8">
            <w:r w:rsidRPr="00360900">
              <w:t>Reasons for timing</w:t>
            </w:r>
          </w:p>
        </w:tc>
      </w:tr>
      <w:tr w:rsidR="00A379F8" w:rsidTr="009A39AD">
        <w:tc>
          <w:tcPr>
            <w:tcW w:w="817" w:type="dxa"/>
            <w:vAlign w:val="top"/>
          </w:tcPr>
          <w:p w:rsidR="00A379F8" w:rsidRPr="00A379F8" w:rsidRDefault="00A379F8" w:rsidP="00A379F8">
            <w:r w:rsidRPr="00360900">
              <w:t>1</w:t>
            </w:r>
          </w:p>
        </w:tc>
        <w:tc>
          <w:tcPr>
            <w:tcW w:w="2552" w:type="dxa"/>
            <w:vAlign w:val="top"/>
          </w:tcPr>
          <w:p w:rsidR="00A379F8" w:rsidRPr="00A379F8" w:rsidRDefault="00A379F8" w:rsidP="00A379F8">
            <w:r w:rsidRPr="00360900">
              <w:t xml:space="preserve">25 business days before a service provider submits its annual reference tariff variation proposal to </w:t>
            </w:r>
            <w:r w:rsidRPr="00A379F8">
              <w:t>us.</w:t>
            </w:r>
          </w:p>
        </w:tc>
        <w:tc>
          <w:tcPr>
            <w:tcW w:w="2551" w:type="dxa"/>
            <w:vAlign w:val="top"/>
          </w:tcPr>
          <w:p w:rsidR="00A379F8" w:rsidRPr="00A379F8" w:rsidRDefault="00A379F8" w:rsidP="00A379F8">
            <w:r w:rsidRPr="00360900">
              <w:t>Averaging period ends on or before this date.</w:t>
            </w:r>
          </w:p>
        </w:tc>
        <w:tc>
          <w:tcPr>
            <w:tcW w:w="2773" w:type="dxa"/>
            <w:vAlign w:val="top"/>
          </w:tcPr>
          <w:p w:rsidR="00A379F8" w:rsidRPr="00A379F8" w:rsidRDefault="00A379F8" w:rsidP="00A379F8">
            <w:r w:rsidRPr="00360900">
              <w:t xml:space="preserve">We determined the maximum practical end date of the averaging period </w:t>
            </w:r>
            <w:r w:rsidRPr="00A379F8">
              <w:t>from the timing of steps 2 and 3.</w:t>
            </w:r>
          </w:p>
        </w:tc>
      </w:tr>
      <w:tr w:rsidR="00A379F8" w:rsidTr="009A39AD">
        <w:trPr>
          <w:cnfStyle w:val="000000010000" w:firstRow="0" w:lastRow="0" w:firstColumn="0" w:lastColumn="0" w:oddVBand="0" w:evenVBand="0" w:oddHBand="0" w:evenHBand="1" w:firstRowFirstColumn="0" w:firstRowLastColumn="0" w:lastRowFirstColumn="0" w:lastRowLastColumn="0"/>
        </w:trPr>
        <w:tc>
          <w:tcPr>
            <w:tcW w:w="817" w:type="dxa"/>
            <w:vAlign w:val="top"/>
          </w:tcPr>
          <w:p w:rsidR="00A379F8" w:rsidRPr="00A379F8" w:rsidRDefault="00A379F8" w:rsidP="00A379F8">
            <w:r w:rsidRPr="00360900">
              <w:t>2</w:t>
            </w:r>
          </w:p>
        </w:tc>
        <w:tc>
          <w:tcPr>
            <w:tcW w:w="2552" w:type="dxa"/>
            <w:vAlign w:val="top"/>
          </w:tcPr>
          <w:p w:rsidR="00A379F8" w:rsidRPr="00A379F8" w:rsidRDefault="00A379F8" w:rsidP="00A379F8">
            <w:r w:rsidRPr="00360900">
              <w:t xml:space="preserve">10 business days before a service provider submits its annual reference tariff variation proposal to </w:t>
            </w:r>
            <w:r w:rsidRPr="00A379F8">
              <w:t>us.</w:t>
            </w:r>
          </w:p>
        </w:tc>
        <w:tc>
          <w:tcPr>
            <w:tcW w:w="2551" w:type="dxa"/>
            <w:vAlign w:val="top"/>
          </w:tcPr>
          <w:p w:rsidR="00A379F8" w:rsidRPr="00A379F8" w:rsidRDefault="00A379F8" w:rsidP="00A379F8">
            <w:r w:rsidRPr="00360900">
              <w:t xml:space="preserve">So the service provider can factor this into its annual reference tariff </w:t>
            </w:r>
            <w:r w:rsidRPr="00A379F8">
              <w:t>variation proposal, we inform it of updates on the return on debt and X factor that incorporates the updated return on debt.</w:t>
            </w:r>
          </w:p>
        </w:tc>
        <w:tc>
          <w:tcPr>
            <w:tcW w:w="2773" w:type="dxa"/>
            <w:vAlign w:val="top"/>
          </w:tcPr>
          <w:p w:rsidR="00A379F8" w:rsidRPr="00A379F8" w:rsidRDefault="00A379F8" w:rsidP="00A379F8">
            <w:r w:rsidRPr="00360900">
              <w:t xml:space="preserve">15 business days between steps 1 and 2 </w:t>
            </w:r>
            <w:r w:rsidRPr="00A379F8">
              <w:t>provides sufficient time for us to calculate (and provide quality assurance checks on) the updated return on debt and X factor.</w:t>
            </w:r>
          </w:p>
        </w:tc>
      </w:tr>
      <w:tr w:rsidR="00A379F8" w:rsidTr="009A39AD">
        <w:tc>
          <w:tcPr>
            <w:tcW w:w="817" w:type="dxa"/>
            <w:vAlign w:val="top"/>
          </w:tcPr>
          <w:p w:rsidR="00A379F8" w:rsidRPr="00A379F8" w:rsidRDefault="00A379F8" w:rsidP="00A379F8">
            <w:r w:rsidRPr="00360900">
              <w:t>3</w:t>
            </w:r>
          </w:p>
        </w:tc>
        <w:tc>
          <w:tcPr>
            <w:tcW w:w="2552" w:type="dxa"/>
            <w:vAlign w:val="top"/>
          </w:tcPr>
          <w:p w:rsidR="00A379F8" w:rsidRPr="00A379F8" w:rsidRDefault="00A379F8" w:rsidP="00A379F8">
            <w:r w:rsidRPr="00360900">
              <w:t xml:space="preserve">A service provider submits its annual reference tariff variation proposal to </w:t>
            </w:r>
            <w:r w:rsidRPr="00A379F8">
              <w:t>us on the date in its access arrangement.</w:t>
            </w:r>
          </w:p>
        </w:tc>
        <w:tc>
          <w:tcPr>
            <w:tcW w:w="2551" w:type="dxa"/>
            <w:vAlign w:val="top"/>
          </w:tcPr>
          <w:p w:rsidR="00A379F8" w:rsidRPr="00A379F8" w:rsidRDefault="00A379F8" w:rsidP="00A379F8">
            <w:r w:rsidRPr="00360900">
              <w:t xml:space="preserve">The service provider submits its annual reference tariff variation proposal to </w:t>
            </w:r>
            <w:r w:rsidRPr="00A379F8">
              <w:t>us for the relevant year.</w:t>
            </w:r>
          </w:p>
        </w:tc>
        <w:tc>
          <w:tcPr>
            <w:tcW w:w="2773" w:type="dxa"/>
            <w:vAlign w:val="top"/>
          </w:tcPr>
          <w:p w:rsidR="00A379F8" w:rsidRPr="00A379F8" w:rsidRDefault="00A379F8" w:rsidP="00A379F8">
            <w:r w:rsidRPr="00360900">
              <w:t>10 business days between steps 2 and 3 is based on a service provider's advice regarding the minimum period it would require to</w:t>
            </w:r>
            <w:r w:rsidRPr="00A379F8">
              <w:t xml:space="preserve"> factor the updated information into its prices. We are open to individual service providers requiring a longer period (or requesting a shorter period) to accommodate their internal processes. </w:t>
            </w:r>
          </w:p>
        </w:tc>
      </w:tr>
    </w:tbl>
    <w:p w:rsidR="00A379F8" w:rsidRDefault="00A379F8" w:rsidP="00A379F8">
      <w:pPr>
        <w:pStyle w:val="AERtablesource"/>
      </w:pPr>
      <w:r w:rsidRPr="00AA68A5">
        <w:t>Source:</w:t>
      </w:r>
      <w:r w:rsidRPr="00AA68A5">
        <w:tab/>
        <w:t>AER analysis.</w:t>
      </w:r>
    </w:p>
    <w:p w:rsidR="00A379F8" w:rsidRDefault="00A379F8" w:rsidP="00A379F8">
      <w:r>
        <w:t xml:space="preserve">On the basis of the </w:t>
      </w:r>
      <w:r w:rsidRPr="007D10EB">
        <w:t xml:space="preserve">process outlined in </w:t>
      </w:r>
      <w:r>
        <w:fldChar w:fldCharType="begin"/>
      </w:r>
      <w:r>
        <w:instrText xml:space="preserve"> REF  _Ref435451180 \* Lower \h </w:instrText>
      </w:r>
      <w:r>
        <w:fldChar w:fldCharType="separate"/>
      </w:r>
      <w:r w:rsidR="000230CB">
        <w:t xml:space="preserve">table </w:t>
      </w:r>
      <w:r w:rsidR="000230CB">
        <w:rPr>
          <w:noProof/>
        </w:rPr>
        <w:t>3</w:t>
      </w:r>
      <w:r w:rsidR="000230CB">
        <w:t>-</w:t>
      </w:r>
      <w:r w:rsidR="000230CB">
        <w:rPr>
          <w:noProof/>
        </w:rPr>
        <w:t>21</w:t>
      </w:r>
      <w:r>
        <w:fldChar w:fldCharType="end"/>
      </w:r>
      <w:r>
        <w:t>, we consider an averaging period for estimating the return on debt for regulatory year t should fall within the following timeframe:</w:t>
      </w:r>
    </w:p>
    <w:p w:rsidR="00A379F8" w:rsidRPr="009560BB" w:rsidRDefault="00A379F8" w:rsidP="00A379F8">
      <w:pPr>
        <w:pStyle w:val="AERbulletlistfirststyle"/>
      </w:pPr>
      <w:r w:rsidRPr="0004548C">
        <w:t xml:space="preserve">end no later than 25 business days before a </w:t>
      </w:r>
      <w:r w:rsidRPr="009560BB">
        <w:t>gas service provider submits its annual reference tariff variation proposal for year t to the AER</w:t>
      </w:r>
    </w:p>
    <w:p w:rsidR="00A379F8" w:rsidRPr="009560BB" w:rsidRDefault="00A379F8" w:rsidP="00A379F8">
      <w:pPr>
        <w:pStyle w:val="AERbulletlistfirststyle"/>
      </w:pPr>
      <w:r w:rsidRPr="0004548C">
        <w:t xml:space="preserve">commence no earlier than 12 months plus 25 business days before a </w:t>
      </w:r>
      <w:r w:rsidRPr="009560BB">
        <w:t>gas service provider submits its annual reference tariff variation proposal for year t to the AER.</w:t>
      </w:r>
      <w:r w:rsidRPr="009560BB">
        <w:rPr>
          <w:rStyle w:val="FootnoteReference"/>
        </w:rPr>
        <w:footnoteReference w:id="563"/>
      </w:r>
    </w:p>
    <w:p w:rsidR="00A379F8" w:rsidRDefault="00A379F8" w:rsidP="00A379F8">
      <w:pPr>
        <w:numPr>
          <w:ilvl w:val="0"/>
          <w:numId w:val="24"/>
        </w:numPr>
      </w:pPr>
      <w:r>
        <w:t xml:space="preserve">However, as set out in </w:t>
      </w:r>
      <w:r>
        <w:fldChar w:fldCharType="begin"/>
      </w:r>
      <w:r>
        <w:instrText xml:space="preserve"> REF  _Ref435451180 \* Lower \h </w:instrText>
      </w:r>
      <w:r>
        <w:fldChar w:fldCharType="separate"/>
      </w:r>
      <w:r w:rsidR="000230CB">
        <w:t xml:space="preserve">table </w:t>
      </w:r>
      <w:r w:rsidR="000230CB">
        <w:rPr>
          <w:noProof/>
        </w:rPr>
        <w:t>3</w:t>
      </w:r>
      <w:r w:rsidR="000230CB">
        <w:t>-</w:t>
      </w:r>
      <w:r w:rsidR="000230CB">
        <w:rPr>
          <w:noProof/>
        </w:rPr>
        <w:t>21</w:t>
      </w:r>
      <w:r>
        <w:fldChar w:fldCharType="end"/>
      </w:r>
      <w:r>
        <w:t>, w</w:t>
      </w:r>
      <w:r w:rsidRPr="00D11E32">
        <w:t xml:space="preserve">e are open to individual </w:t>
      </w:r>
      <w:r>
        <w:t>service providers</w:t>
      </w:r>
      <w:r w:rsidRPr="00D11E32">
        <w:t xml:space="preserve"> requiring a longer period (or requesting a shorter period)</w:t>
      </w:r>
      <w:r>
        <w:t xml:space="preserve"> between steps 2 and 3 t</w:t>
      </w:r>
      <w:r w:rsidRPr="00D11E32">
        <w:t>o accommodate their internal processes.</w:t>
      </w:r>
      <w:r w:rsidRPr="00FB531F">
        <w:t xml:space="preserve"> </w:t>
      </w:r>
      <w:r w:rsidRPr="00D76D56">
        <w:t>We note that a longer (or shorter) time period would move back (or forward) the maximum practical end date of the averaging period by the same timeframe.</w:t>
      </w:r>
      <w:r>
        <w:t xml:space="preserve"> For example, if a service provider requested 15 business days (instead of 10) for its internal processes, then its averaging period would need to end 30 business days (instead of 25) before the date the service provider must submit its annual reference tariff variation </w:t>
      </w:r>
      <w:r w:rsidRPr="0004548C">
        <w:t>proposal</w:t>
      </w:r>
      <w:r>
        <w:t xml:space="preserve"> to us.</w:t>
      </w:r>
    </w:p>
    <w:p w:rsidR="00A379F8" w:rsidRDefault="00A379F8" w:rsidP="00A379F8">
      <w:pPr>
        <w:numPr>
          <w:ilvl w:val="0"/>
          <w:numId w:val="24"/>
        </w:numPr>
      </w:pPr>
      <w:r>
        <w:t xml:space="preserve">The process outlined in </w:t>
      </w:r>
      <w:r>
        <w:fldChar w:fldCharType="begin"/>
      </w:r>
      <w:r>
        <w:instrText xml:space="preserve"> REF  _Ref435451180 \* Lower \h </w:instrText>
      </w:r>
      <w:r>
        <w:fldChar w:fldCharType="separate"/>
      </w:r>
      <w:r w:rsidR="000230CB">
        <w:t xml:space="preserve">table </w:t>
      </w:r>
      <w:r w:rsidR="000230CB">
        <w:rPr>
          <w:noProof/>
        </w:rPr>
        <w:t>3</w:t>
      </w:r>
      <w:r w:rsidR="000230CB">
        <w:t>-</w:t>
      </w:r>
      <w:r w:rsidR="000230CB">
        <w:rPr>
          <w:noProof/>
        </w:rPr>
        <w:t>21</w:t>
      </w:r>
      <w:r>
        <w:fldChar w:fldCharType="end"/>
      </w:r>
      <w:r>
        <w:t xml:space="preserve"> does not apply to the first regulatory year of an access arrangement period. This is because the final access arrangement </w:t>
      </w:r>
      <w:r w:rsidRPr="007D10EB">
        <w:t>will include the X factor for the first year, which will already incorporat</w:t>
      </w:r>
      <w:r>
        <w:t>e the first year return on debt. Therefore, this process will generally apply to the subsequent years of an access arrangement period.</w:t>
      </w:r>
    </w:p>
    <w:p w:rsidR="00230C56" w:rsidRDefault="00A379F8" w:rsidP="00A379F8">
      <w:r w:rsidRPr="00DE652D">
        <w:t xml:space="preserve">In </w:t>
      </w:r>
      <w:r>
        <w:fldChar w:fldCharType="begin"/>
      </w:r>
      <w:r>
        <w:instrText xml:space="preserve"> REF  _Ref435451180 \* Lower \h </w:instrText>
      </w:r>
      <w:r>
        <w:fldChar w:fldCharType="separate"/>
      </w:r>
      <w:r w:rsidR="000230CB">
        <w:t xml:space="preserve">table </w:t>
      </w:r>
      <w:r w:rsidR="000230CB">
        <w:rPr>
          <w:noProof/>
        </w:rPr>
        <w:t>3</w:t>
      </w:r>
      <w:r w:rsidR="000230CB">
        <w:t>-</w:t>
      </w:r>
      <w:r w:rsidR="000230CB">
        <w:rPr>
          <w:noProof/>
        </w:rPr>
        <w:t>21</w:t>
      </w:r>
      <w:r>
        <w:fldChar w:fldCharType="end"/>
      </w:r>
      <w:r w:rsidRPr="00DE652D">
        <w:t xml:space="preserve">, we </w:t>
      </w:r>
      <w:r>
        <w:t>propose calculating</w:t>
      </w:r>
      <w:r w:rsidRPr="00DE652D">
        <w:t xml:space="preserve"> the return on debt</w:t>
      </w:r>
      <w:r>
        <w:t xml:space="preserve"> </w:t>
      </w:r>
      <w:r w:rsidRPr="00DE652D">
        <w:t xml:space="preserve">and X factor in accordance with the formula in the final access arrangement. We </w:t>
      </w:r>
      <w:r>
        <w:t>propose informing</w:t>
      </w:r>
      <w:r w:rsidRPr="00DE652D">
        <w:t xml:space="preserve"> </w:t>
      </w:r>
      <w:r>
        <w:t>the gas service provider</w:t>
      </w:r>
      <w:r w:rsidRPr="00DE652D">
        <w:t xml:space="preserve"> of our calculations before it submits its annual </w:t>
      </w:r>
      <w:r>
        <w:t xml:space="preserve">reference </w:t>
      </w:r>
      <w:r w:rsidRPr="00DE652D">
        <w:t>tariff variation proposal. We consider this preferable to the alternative approach, where w</w:t>
      </w:r>
      <w:r>
        <w:t xml:space="preserve">e would assess the updates the gas service provider </w:t>
      </w:r>
      <w:r w:rsidRPr="00DE652D">
        <w:t xml:space="preserve">calculated itself. This alternative approach could significantly complicate the annual tariff variation approval process if we identify calculation errors and require </w:t>
      </w:r>
      <w:r>
        <w:t xml:space="preserve">the gas service provider </w:t>
      </w:r>
      <w:r w:rsidRPr="00DE652D">
        <w:t xml:space="preserve">to revise all its proposed reference tariffs. On the other hand, our approach focusses the annual reference tariff variation approval process on how </w:t>
      </w:r>
      <w:r>
        <w:t xml:space="preserve">the gas service provider </w:t>
      </w:r>
      <w:r w:rsidRPr="00DE652D">
        <w:t xml:space="preserve">has incorporated the revised X factor into its prices, rather than also </w:t>
      </w:r>
      <w:r>
        <w:t>checking the revised X factor has been calculated in accordance with the access arrangement</w:t>
      </w:r>
      <w:r w:rsidRPr="00DE652D">
        <w:t>.</w:t>
      </w:r>
    </w:p>
    <w:p w:rsidR="00A379F8" w:rsidRPr="00A379F8" w:rsidRDefault="00A379F8" w:rsidP="00A379F8">
      <w:r w:rsidRPr="007D10EB">
        <w:t xml:space="preserve">The above process factors in the date that the </w:t>
      </w:r>
      <w:r>
        <w:t xml:space="preserve">gas service providers are required to submit their annual reference tariff variation proposals to us. </w:t>
      </w:r>
      <w:r w:rsidR="009C698C">
        <w:t>Our final decision for</w:t>
      </w:r>
      <w:r>
        <w:t xml:space="preserve"> AGN</w:t>
      </w:r>
      <w:r w:rsidR="009C698C">
        <w:t xml:space="preserve"> is that </w:t>
      </w:r>
      <w:r>
        <w:t xml:space="preserve">this date is </w:t>
      </w:r>
      <w:r w:rsidR="00924C68">
        <w:t xml:space="preserve">(at least) </w:t>
      </w:r>
      <w:r w:rsidR="00805399" w:rsidRPr="00805399">
        <w:t>50 business days before the date of</w:t>
      </w:r>
      <w:r w:rsidR="00805399">
        <w:t xml:space="preserve"> </w:t>
      </w:r>
      <w:r w:rsidR="00805399" w:rsidRPr="00805399">
        <w:t>implementation</w:t>
      </w:r>
      <w:r>
        <w:t>.</w:t>
      </w:r>
      <w:r>
        <w:rPr>
          <w:rStyle w:val="FootnoteReference"/>
        </w:rPr>
        <w:footnoteReference w:id="564"/>
      </w:r>
    </w:p>
    <w:p w:rsidR="00A379F8" w:rsidRPr="00F366FC" w:rsidRDefault="00A379F8" w:rsidP="00A379F8">
      <w:pPr>
        <w:pStyle w:val="HeadingItalic"/>
      </w:pPr>
      <w:r w:rsidRPr="00F366FC">
        <w:t>Response to key issues raised by stakeholders</w:t>
      </w:r>
    </w:p>
    <w:p w:rsidR="00A379F8" w:rsidRPr="00E761F9" w:rsidRDefault="00A379F8" w:rsidP="00A379F8">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65"/>
      </w:r>
      <w:r w:rsidRPr="00E761F9">
        <w:t xml:space="preserve"> </w:t>
      </w:r>
    </w:p>
    <w:p w:rsidR="00A379F8" w:rsidRPr="00E761F9" w:rsidRDefault="00A379F8" w:rsidP="00A379F8">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68661A">
        <w:t>ARORO</w:t>
      </w:r>
      <w:r w:rsidRPr="00E761F9">
        <w:t>.</w:t>
      </w:r>
      <w:r w:rsidRPr="00E761F9">
        <w:rPr>
          <w:rStyle w:val="FootnoteReference"/>
        </w:rPr>
        <w:footnoteReference w:id="566"/>
      </w:r>
      <w:r w:rsidRPr="00E761F9">
        <w:t xml:space="preserve"> Our decision is based on the following reasoning:</w:t>
      </w:r>
    </w:p>
    <w:p w:rsidR="00A379F8" w:rsidRPr="00A379F8" w:rsidRDefault="00A379F8" w:rsidP="00A379F8">
      <w:pPr>
        <w:pStyle w:val="AERbulletlistfirststyle"/>
      </w:pPr>
      <w:r w:rsidRPr="00E761F9">
        <w:t>There are practical difficulties with allowing a one year lag in the annual debt update process. We considered this issue in the October 2014 proposed amendment to the PTRM.</w:t>
      </w:r>
      <w:r w:rsidRPr="00A379F8">
        <w:rPr>
          <w:rStyle w:val="FootnoteReference"/>
        </w:rPr>
        <w:footnoteReference w:id="567"/>
      </w:r>
      <w:r w:rsidRPr="00A379F8">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A379F8">
        <w:rPr>
          <w:rStyle w:val="FootnoteReference"/>
        </w:rPr>
        <w:footnoteReference w:id="568"/>
      </w:r>
      <w:r w:rsidRPr="00A379F8">
        <w:t xml:space="preserve"> Our approach allows for a consistent and continuous practical implementation—both within a regulatory control or access arrangement period, and across multiple regulatory control or access arrangement periods. </w:t>
      </w:r>
    </w:p>
    <w:p w:rsidR="00A379F8" w:rsidRPr="00A379F8" w:rsidRDefault="00A379F8" w:rsidP="00A379F8">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A379F8">
        <w:rPr>
          <w:rStyle w:val="FootnoteReference"/>
        </w:rPr>
        <w:footnoteReference w:id="569"/>
      </w:r>
    </w:p>
    <w:p w:rsidR="00230C56" w:rsidRPr="00230C56" w:rsidRDefault="00A379F8" w:rsidP="00A379F8">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r w:rsidR="00230C56" w:rsidRPr="00230C56">
        <w:t>.</w:t>
      </w:r>
    </w:p>
    <w:p w:rsidR="004128C5" w:rsidRDefault="00785836" w:rsidP="004128C5">
      <w:pPr>
        <w:pStyle w:val="Heading3"/>
      </w:pPr>
      <w:bookmarkStart w:id="95" w:name="_Ref450924364"/>
      <w:bookmarkStart w:id="96" w:name="_Toc451943782"/>
      <w:r>
        <w:t>Gearing</w:t>
      </w:r>
      <w:bookmarkEnd w:id="95"/>
      <w:bookmarkEnd w:id="96"/>
    </w:p>
    <w:p w:rsidR="004128C5" w:rsidRPr="004128C5" w:rsidRDefault="004128C5" w:rsidP="004128C5">
      <w:pPr>
        <w:numPr>
          <w:ilvl w:val="0"/>
          <w:numId w:val="24"/>
        </w:numPr>
      </w:pPr>
      <w:r w:rsidRPr="004128C5">
        <w:t xml:space="preserve">Our decision is to adopt a 60 per cent gearing ratio. A 60 per cent gearing ratio is the same as the gearing ratio we proposed in the Guideline and adopted in the </w:t>
      </w:r>
      <w:r w:rsidR="00A02C23">
        <w:t>draft</w:t>
      </w:r>
      <w:r w:rsidRPr="004128C5">
        <w:t xml:space="preserve"> decision.</w:t>
      </w:r>
    </w:p>
    <w:p w:rsidR="00304AD0" w:rsidRPr="00EF5528" w:rsidRDefault="00304AD0" w:rsidP="00304AD0">
      <w:pPr>
        <w:numPr>
          <w:ilvl w:val="0"/>
          <w:numId w:val="24"/>
        </w:numPr>
      </w:pPr>
      <w:r w:rsidRPr="00EF5528">
        <w:t xml:space="preserve">In the revised proposals </w:t>
      </w:r>
      <w:r>
        <w:t xml:space="preserve">and access arrangements </w:t>
      </w:r>
      <w:r w:rsidRPr="00EF5528">
        <w:t xml:space="preserve">currently before us, all of the service providers proposed a 60 per cent gearing ratio. We agree with that component of these proposals. However, we do not agree with the </w:t>
      </w:r>
      <w:r>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70"/>
      </w:r>
      <w:r w:rsidRPr="00EF5528">
        <w:t xml:space="preserve"> </w:t>
      </w:r>
      <w:r>
        <w:t>In support for their submission, t</w:t>
      </w:r>
      <w:r w:rsidRPr="00EF5528">
        <w:t>hese service providers referred to a report by Frontier Economics.</w:t>
      </w:r>
      <w:r w:rsidRPr="00EF5528">
        <w:rPr>
          <w:rStyle w:val="FootnoteReference"/>
        </w:rPr>
        <w:footnoteReference w:id="571"/>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72"/>
      </w:r>
      <w:r w:rsidRPr="00EF5528">
        <w:t xml:space="preserve"> </w:t>
      </w:r>
    </w:p>
    <w:p w:rsidR="00304AD0" w:rsidRDefault="00304AD0" w:rsidP="00304AD0">
      <w:pPr>
        <w:numPr>
          <w:ilvl w:val="0"/>
          <w:numId w:val="24"/>
        </w:numPr>
      </w:pPr>
      <w:r>
        <w:t>T</w:t>
      </w:r>
      <w:r w:rsidRPr="00E94496">
        <w:t xml:space="preserve">he </w:t>
      </w:r>
      <w:r w:rsidRPr="00915660">
        <w:t>Energy Consumers Coalition of South Australia</w:t>
      </w:r>
      <w:r>
        <w:t xml:space="preserve"> (ECCSA)</w:t>
      </w:r>
      <w:r w:rsidRPr="00E94496">
        <w:t xml:space="preserve"> submitted that </w:t>
      </w:r>
      <w:r>
        <w:t>our adoption of a 60 per cent gearing ratio together with a credit rating of BBB+ for a benchmark efficient entity is '</w:t>
      </w:r>
      <w:r w:rsidRPr="00675D88">
        <w:t>conservative and could include a higher</w:t>
      </w:r>
      <w:r>
        <w:t xml:space="preserve"> </w:t>
      </w:r>
      <w:r w:rsidRPr="00675D88">
        <w:t>gearin</w:t>
      </w:r>
      <w:r>
        <w:t>g and/or a higher credit rating'.</w:t>
      </w:r>
      <w:r>
        <w:rPr>
          <w:rStyle w:val="FootnoteReference"/>
        </w:rPr>
        <w:footnoteReference w:id="573"/>
      </w:r>
      <w:r>
        <w:t xml:space="preserve"> ECCSA's view was based on analysis of the service providers' actual levels of gearing and actual credit ratings. 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Pr>
          <w:rStyle w:val="FootnoteReference"/>
        </w:rPr>
        <w:footnoteReference w:id="574"/>
      </w:r>
    </w:p>
    <w:p w:rsidR="004128C5" w:rsidRPr="004128C5" w:rsidRDefault="004128C5" w:rsidP="004128C5">
      <w:pPr>
        <w:numPr>
          <w:ilvl w:val="0"/>
          <w:numId w:val="24"/>
        </w:numPr>
      </w:pPr>
      <w:r w:rsidRPr="004128C5">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4128C5" w:rsidRPr="004128C5" w:rsidRDefault="004128C5" w:rsidP="004128C5">
      <w:pPr>
        <w:numPr>
          <w:ilvl w:val="0"/>
          <w:numId w:val="24"/>
        </w:numPr>
      </w:pPr>
      <w:r w:rsidRPr="004128C5">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4128C5" w:rsidRPr="004128C5" w:rsidRDefault="004128C5" w:rsidP="004128C5">
      <w:pPr>
        <w:numPr>
          <w:ilvl w:val="0"/>
          <w:numId w:val="24"/>
        </w:numPr>
      </w:pPr>
      <w:r w:rsidRPr="004128C5">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4128C5" w:rsidRPr="004128C5" w:rsidRDefault="004128C5" w:rsidP="004128C5">
      <w:pPr>
        <w:pStyle w:val="Caption"/>
      </w:pPr>
      <w:r w:rsidRPr="004128C5">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Pr="004128C5">
        <w:noBreakHyphen/>
      </w:r>
      <w:r w:rsidR="00527450">
        <w:fldChar w:fldCharType="begin"/>
      </w:r>
      <w:r w:rsidR="00527450">
        <w:instrText xml:space="preserve"> SEQ Table \* ARABIC \s 1 </w:instrText>
      </w:r>
      <w:r w:rsidR="00527450">
        <w:fldChar w:fldCharType="separate"/>
      </w:r>
      <w:r w:rsidR="000230CB">
        <w:rPr>
          <w:noProof/>
        </w:rPr>
        <w:t>22</w:t>
      </w:r>
      <w:r w:rsidR="00527450">
        <w:rPr>
          <w:noProof/>
        </w:rPr>
        <w:fldChar w:fldCharType="end"/>
      </w:r>
      <w:r w:rsidRPr="004128C5">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4128C5" w:rsidRPr="00E94496" w:rsidTr="00DB4FCE">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4128C5" w:rsidRPr="004128C5" w:rsidRDefault="004128C5" w:rsidP="004128C5">
            <w:r w:rsidRPr="004128C5">
              <w:t>Year</w:t>
            </w:r>
          </w:p>
        </w:tc>
        <w:tc>
          <w:tcPr>
            <w:tcW w:w="1812" w:type="dxa"/>
            <w:noWrap/>
          </w:tcPr>
          <w:p w:rsidR="004128C5" w:rsidRPr="004128C5" w:rsidRDefault="004128C5" w:rsidP="004128C5">
            <w:r w:rsidRPr="004128C5">
              <w:t xml:space="preserve">2009 WACC review </w:t>
            </w:r>
          </w:p>
          <w:p w:rsidR="004128C5" w:rsidRPr="004128C5" w:rsidRDefault="004128C5" w:rsidP="004128C5">
            <w:r w:rsidRPr="004128C5">
              <w:t>2002–2007</w:t>
            </w:r>
            <w:r w:rsidRPr="004128C5">
              <w:rPr>
                <w:rStyle w:val="AERsuperscript"/>
              </w:rPr>
              <w:t>a</w:t>
            </w:r>
            <w:r w:rsidRPr="004128C5">
              <w:t xml:space="preserve"> </w:t>
            </w:r>
          </w:p>
        </w:tc>
        <w:tc>
          <w:tcPr>
            <w:tcW w:w="1813" w:type="dxa"/>
            <w:noWrap/>
          </w:tcPr>
          <w:p w:rsidR="004128C5" w:rsidRPr="004128C5" w:rsidRDefault="004128C5" w:rsidP="004128C5">
            <w:r w:rsidRPr="004128C5">
              <w:t>Bloomberg    (market value)</w:t>
            </w:r>
          </w:p>
          <w:p w:rsidR="004128C5" w:rsidRPr="004128C5" w:rsidRDefault="004128C5" w:rsidP="004128C5">
            <w:r w:rsidRPr="004128C5">
              <w:t>2002–2012            (full sample)</w:t>
            </w:r>
            <w:r w:rsidRPr="004128C5">
              <w:rPr>
                <w:rStyle w:val="AERsuperscript"/>
              </w:rPr>
              <w:t>b</w:t>
            </w:r>
          </w:p>
        </w:tc>
        <w:tc>
          <w:tcPr>
            <w:tcW w:w="1812" w:type="dxa"/>
          </w:tcPr>
          <w:p w:rsidR="004128C5" w:rsidRPr="004128C5" w:rsidRDefault="004128C5" w:rsidP="004128C5">
            <w:r w:rsidRPr="004128C5">
              <w:t>Bloomberg    (market value)</w:t>
            </w:r>
          </w:p>
          <w:p w:rsidR="004128C5" w:rsidRPr="004128C5" w:rsidRDefault="004128C5" w:rsidP="004128C5">
            <w:r w:rsidRPr="004128C5">
              <w:t>2002–2012     (refined sample)</w:t>
            </w:r>
            <w:r w:rsidRPr="004128C5">
              <w:rPr>
                <w:rStyle w:val="AERsuperscript"/>
              </w:rPr>
              <w:t>c</w:t>
            </w:r>
          </w:p>
        </w:tc>
        <w:tc>
          <w:tcPr>
            <w:tcW w:w="1813" w:type="dxa"/>
          </w:tcPr>
          <w:p w:rsidR="004128C5" w:rsidRPr="004128C5" w:rsidRDefault="004128C5" w:rsidP="004128C5">
            <w:r w:rsidRPr="004128C5">
              <w:t>Standard and Poor's (book value)</w:t>
            </w:r>
          </w:p>
          <w:p w:rsidR="004128C5" w:rsidRPr="004128C5" w:rsidRDefault="004128C5" w:rsidP="004128C5">
            <w:r w:rsidRPr="004128C5">
              <w:t>2008–2012</w:t>
            </w:r>
            <w:r w:rsidRPr="004128C5">
              <w:rPr>
                <w:rStyle w:val="AERsuperscript"/>
              </w:rPr>
              <w:t>d</w:t>
            </w:r>
          </w:p>
        </w:tc>
      </w:tr>
      <w:tr w:rsidR="004128C5" w:rsidRPr="00E94496" w:rsidTr="00A56F1B">
        <w:trPr>
          <w:trHeight w:val="255"/>
        </w:trPr>
        <w:tc>
          <w:tcPr>
            <w:tcW w:w="1812" w:type="dxa"/>
            <w:noWrap/>
          </w:tcPr>
          <w:p w:rsidR="004128C5" w:rsidRPr="004128C5" w:rsidRDefault="004128C5" w:rsidP="004128C5">
            <w:r w:rsidRPr="004128C5">
              <w:t>2002</w:t>
            </w:r>
          </w:p>
        </w:tc>
        <w:tc>
          <w:tcPr>
            <w:tcW w:w="1812" w:type="dxa"/>
            <w:noWrap/>
          </w:tcPr>
          <w:p w:rsidR="004128C5" w:rsidRPr="004128C5" w:rsidRDefault="004128C5" w:rsidP="004128C5">
            <w:r w:rsidRPr="004128C5">
              <w:t>65.1</w:t>
            </w:r>
          </w:p>
        </w:tc>
        <w:tc>
          <w:tcPr>
            <w:tcW w:w="1813" w:type="dxa"/>
            <w:noWrap/>
          </w:tcPr>
          <w:p w:rsidR="004128C5" w:rsidRPr="004128C5" w:rsidRDefault="004128C5" w:rsidP="004128C5">
            <w:r w:rsidRPr="004128C5">
              <w:t>54.5</w:t>
            </w:r>
          </w:p>
        </w:tc>
        <w:tc>
          <w:tcPr>
            <w:tcW w:w="1812" w:type="dxa"/>
          </w:tcPr>
          <w:p w:rsidR="004128C5" w:rsidRPr="004128C5" w:rsidRDefault="004128C5" w:rsidP="004128C5">
            <w:r w:rsidRPr="004128C5">
              <w:t>65.8</w:t>
            </w:r>
          </w:p>
        </w:tc>
        <w:tc>
          <w:tcPr>
            <w:tcW w:w="1813" w:type="dxa"/>
          </w:tcPr>
          <w:p w:rsidR="004128C5" w:rsidRPr="004128C5" w:rsidRDefault="004128C5" w:rsidP="004128C5">
            <w:r w:rsidRPr="004128C5">
              <w:t>N/A</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2003</w:t>
            </w:r>
          </w:p>
        </w:tc>
        <w:tc>
          <w:tcPr>
            <w:tcW w:w="1812" w:type="dxa"/>
            <w:noWrap/>
          </w:tcPr>
          <w:p w:rsidR="004128C5" w:rsidRPr="004128C5" w:rsidRDefault="004128C5" w:rsidP="004128C5">
            <w:r w:rsidRPr="004128C5">
              <w:t>64.8</w:t>
            </w:r>
          </w:p>
        </w:tc>
        <w:tc>
          <w:tcPr>
            <w:tcW w:w="1813" w:type="dxa"/>
            <w:noWrap/>
          </w:tcPr>
          <w:p w:rsidR="004128C5" w:rsidRPr="004128C5" w:rsidRDefault="004128C5" w:rsidP="004128C5">
            <w:r w:rsidRPr="004128C5">
              <w:t>51.8</w:t>
            </w:r>
          </w:p>
        </w:tc>
        <w:tc>
          <w:tcPr>
            <w:tcW w:w="1812" w:type="dxa"/>
          </w:tcPr>
          <w:p w:rsidR="004128C5" w:rsidRPr="004128C5" w:rsidRDefault="004128C5" w:rsidP="004128C5">
            <w:r w:rsidRPr="004128C5">
              <w:t>60.5</w:t>
            </w:r>
          </w:p>
        </w:tc>
        <w:tc>
          <w:tcPr>
            <w:tcW w:w="1813" w:type="dxa"/>
          </w:tcPr>
          <w:p w:rsidR="004128C5" w:rsidRPr="004128C5" w:rsidRDefault="004128C5" w:rsidP="004128C5">
            <w:r w:rsidRPr="004128C5">
              <w:t>N/A</w:t>
            </w:r>
          </w:p>
        </w:tc>
      </w:tr>
      <w:tr w:rsidR="004128C5" w:rsidRPr="00E94496" w:rsidTr="00A56F1B">
        <w:trPr>
          <w:trHeight w:val="255"/>
        </w:trPr>
        <w:tc>
          <w:tcPr>
            <w:tcW w:w="1812" w:type="dxa"/>
            <w:noWrap/>
          </w:tcPr>
          <w:p w:rsidR="004128C5" w:rsidRPr="004128C5" w:rsidRDefault="004128C5" w:rsidP="004128C5">
            <w:r w:rsidRPr="004128C5">
              <w:t>2004</w:t>
            </w:r>
          </w:p>
        </w:tc>
        <w:tc>
          <w:tcPr>
            <w:tcW w:w="1812" w:type="dxa"/>
            <w:noWrap/>
          </w:tcPr>
          <w:p w:rsidR="004128C5" w:rsidRPr="004128C5" w:rsidRDefault="004128C5" w:rsidP="004128C5">
            <w:r w:rsidRPr="004128C5">
              <w:t>61.7</w:t>
            </w:r>
          </w:p>
        </w:tc>
        <w:tc>
          <w:tcPr>
            <w:tcW w:w="1813" w:type="dxa"/>
            <w:noWrap/>
          </w:tcPr>
          <w:p w:rsidR="004128C5" w:rsidRPr="004128C5" w:rsidRDefault="004128C5" w:rsidP="004128C5">
            <w:r w:rsidRPr="004128C5">
              <w:t>51.2</w:t>
            </w:r>
          </w:p>
        </w:tc>
        <w:tc>
          <w:tcPr>
            <w:tcW w:w="1812" w:type="dxa"/>
          </w:tcPr>
          <w:p w:rsidR="004128C5" w:rsidRPr="004128C5" w:rsidRDefault="004128C5" w:rsidP="004128C5">
            <w:r w:rsidRPr="004128C5">
              <w:t>55.1</w:t>
            </w:r>
          </w:p>
        </w:tc>
        <w:tc>
          <w:tcPr>
            <w:tcW w:w="1813" w:type="dxa"/>
          </w:tcPr>
          <w:p w:rsidR="004128C5" w:rsidRPr="004128C5" w:rsidRDefault="004128C5" w:rsidP="004128C5">
            <w:r w:rsidRPr="004128C5">
              <w:t>N/A</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2005</w:t>
            </w:r>
          </w:p>
        </w:tc>
        <w:tc>
          <w:tcPr>
            <w:tcW w:w="1812" w:type="dxa"/>
            <w:noWrap/>
          </w:tcPr>
          <w:p w:rsidR="004128C5" w:rsidRPr="004128C5" w:rsidRDefault="004128C5" w:rsidP="004128C5">
            <w:r w:rsidRPr="004128C5">
              <w:t>64.6</w:t>
            </w:r>
          </w:p>
        </w:tc>
        <w:tc>
          <w:tcPr>
            <w:tcW w:w="1813" w:type="dxa"/>
            <w:noWrap/>
          </w:tcPr>
          <w:p w:rsidR="004128C5" w:rsidRPr="004128C5" w:rsidRDefault="004128C5" w:rsidP="004128C5">
            <w:r w:rsidRPr="004128C5">
              <w:t>51.2</w:t>
            </w:r>
          </w:p>
        </w:tc>
        <w:tc>
          <w:tcPr>
            <w:tcW w:w="1812" w:type="dxa"/>
          </w:tcPr>
          <w:p w:rsidR="004128C5" w:rsidRPr="004128C5" w:rsidRDefault="004128C5" w:rsidP="004128C5">
            <w:r w:rsidRPr="004128C5">
              <w:t>62.6</w:t>
            </w:r>
          </w:p>
        </w:tc>
        <w:tc>
          <w:tcPr>
            <w:tcW w:w="1813" w:type="dxa"/>
          </w:tcPr>
          <w:p w:rsidR="004128C5" w:rsidRPr="004128C5" w:rsidRDefault="004128C5" w:rsidP="004128C5">
            <w:r w:rsidRPr="004128C5">
              <w:t>N/A</w:t>
            </w:r>
          </w:p>
        </w:tc>
      </w:tr>
      <w:tr w:rsidR="004128C5" w:rsidRPr="00E94496" w:rsidTr="00A56F1B">
        <w:trPr>
          <w:trHeight w:val="255"/>
        </w:trPr>
        <w:tc>
          <w:tcPr>
            <w:tcW w:w="1812" w:type="dxa"/>
            <w:noWrap/>
          </w:tcPr>
          <w:p w:rsidR="004128C5" w:rsidRPr="004128C5" w:rsidRDefault="004128C5" w:rsidP="004128C5">
            <w:r w:rsidRPr="004128C5">
              <w:t>2006</w:t>
            </w:r>
          </w:p>
        </w:tc>
        <w:tc>
          <w:tcPr>
            <w:tcW w:w="1812" w:type="dxa"/>
            <w:noWrap/>
          </w:tcPr>
          <w:p w:rsidR="004128C5" w:rsidRPr="004128C5" w:rsidRDefault="004128C5" w:rsidP="004128C5">
            <w:r w:rsidRPr="004128C5">
              <w:t>63.0</w:t>
            </w:r>
          </w:p>
        </w:tc>
        <w:tc>
          <w:tcPr>
            <w:tcW w:w="1813" w:type="dxa"/>
            <w:noWrap/>
          </w:tcPr>
          <w:p w:rsidR="004128C5" w:rsidRPr="004128C5" w:rsidRDefault="004128C5" w:rsidP="004128C5">
            <w:r w:rsidRPr="004128C5">
              <w:t>56.6</w:t>
            </w:r>
          </w:p>
        </w:tc>
        <w:tc>
          <w:tcPr>
            <w:tcW w:w="1812" w:type="dxa"/>
          </w:tcPr>
          <w:p w:rsidR="004128C5" w:rsidRPr="004128C5" w:rsidRDefault="004128C5" w:rsidP="004128C5">
            <w:r w:rsidRPr="004128C5">
              <w:t>61.9</w:t>
            </w:r>
          </w:p>
        </w:tc>
        <w:tc>
          <w:tcPr>
            <w:tcW w:w="1813" w:type="dxa"/>
          </w:tcPr>
          <w:p w:rsidR="004128C5" w:rsidRPr="004128C5" w:rsidRDefault="004128C5" w:rsidP="004128C5">
            <w:r w:rsidRPr="004128C5">
              <w:t>N/A</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2007</w:t>
            </w:r>
          </w:p>
        </w:tc>
        <w:tc>
          <w:tcPr>
            <w:tcW w:w="1812" w:type="dxa"/>
            <w:noWrap/>
          </w:tcPr>
          <w:p w:rsidR="004128C5" w:rsidRPr="004128C5" w:rsidRDefault="004128C5" w:rsidP="004128C5">
            <w:r w:rsidRPr="004128C5">
              <w:t>60.5</w:t>
            </w:r>
          </w:p>
        </w:tc>
        <w:tc>
          <w:tcPr>
            <w:tcW w:w="1813" w:type="dxa"/>
            <w:noWrap/>
          </w:tcPr>
          <w:p w:rsidR="004128C5" w:rsidRPr="004128C5" w:rsidRDefault="004128C5" w:rsidP="004128C5">
            <w:r w:rsidRPr="004128C5">
              <w:t>57.6</w:t>
            </w:r>
          </w:p>
        </w:tc>
        <w:tc>
          <w:tcPr>
            <w:tcW w:w="1812" w:type="dxa"/>
          </w:tcPr>
          <w:p w:rsidR="004128C5" w:rsidRPr="004128C5" w:rsidRDefault="004128C5" w:rsidP="004128C5">
            <w:r w:rsidRPr="004128C5">
              <w:t>57.6</w:t>
            </w:r>
          </w:p>
        </w:tc>
        <w:tc>
          <w:tcPr>
            <w:tcW w:w="1813" w:type="dxa"/>
          </w:tcPr>
          <w:p w:rsidR="004128C5" w:rsidRPr="004128C5" w:rsidRDefault="004128C5" w:rsidP="004128C5">
            <w:r w:rsidRPr="004128C5">
              <w:t>N/A</w:t>
            </w:r>
          </w:p>
        </w:tc>
      </w:tr>
      <w:tr w:rsidR="004128C5" w:rsidRPr="00E94496" w:rsidTr="00A56F1B">
        <w:trPr>
          <w:trHeight w:val="255"/>
        </w:trPr>
        <w:tc>
          <w:tcPr>
            <w:tcW w:w="1812" w:type="dxa"/>
            <w:noWrap/>
          </w:tcPr>
          <w:p w:rsidR="004128C5" w:rsidRPr="004128C5" w:rsidRDefault="004128C5" w:rsidP="004128C5">
            <w:r w:rsidRPr="004128C5">
              <w:t>2008</w:t>
            </w:r>
          </w:p>
        </w:tc>
        <w:tc>
          <w:tcPr>
            <w:tcW w:w="1812" w:type="dxa"/>
            <w:noWrap/>
          </w:tcPr>
          <w:p w:rsidR="004128C5" w:rsidRPr="004128C5" w:rsidRDefault="004128C5" w:rsidP="004128C5">
            <w:r w:rsidRPr="004128C5">
              <w:t>N/A</w:t>
            </w:r>
          </w:p>
        </w:tc>
        <w:tc>
          <w:tcPr>
            <w:tcW w:w="1813" w:type="dxa"/>
            <w:noWrap/>
          </w:tcPr>
          <w:p w:rsidR="004128C5" w:rsidRPr="004128C5" w:rsidRDefault="004128C5" w:rsidP="004128C5">
            <w:r w:rsidRPr="004128C5">
              <w:t>68.3</w:t>
            </w:r>
          </w:p>
        </w:tc>
        <w:tc>
          <w:tcPr>
            <w:tcW w:w="1812" w:type="dxa"/>
          </w:tcPr>
          <w:p w:rsidR="004128C5" w:rsidRPr="004128C5" w:rsidRDefault="004128C5" w:rsidP="004128C5">
            <w:r w:rsidRPr="004128C5">
              <w:t>68.3</w:t>
            </w:r>
          </w:p>
        </w:tc>
        <w:tc>
          <w:tcPr>
            <w:tcW w:w="1813" w:type="dxa"/>
          </w:tcPr>
          <w:p w:rsidR="004128C5" w:rsidRPr="004128C5" w:rsidRDefault="004128C5" w:rsidP="004128C5">
            <w:r w:rsidRPr="004128C5">
              <w:t>70</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2009</w:t>
            </w:r>
          </w:p>
        </w:tc>
        <w:tc>
          <w:tcPr>
            <w:tcW w:w="1812" w:type="dxa"/>
            <w:noWrap/>
          </w:tcPr>
          <w:p w:rsidR="004128C5" w:rsidRPr="004128C5" w:rsidRDefault="004128C5" w:rsidP="004128C5">
            <w:r w:rsidRPr="004128C5">
              <w:t>N/A</w:t>
            </w:r>
          </w:p>
        </w:tc>
        <w:tc>
          <w:tcPr>
            <w:tcW w:w="1813" w:type="dxa"/>
            <w:noWrap/>
          </w:tcPr>
          <w:p w:rsidR="004128C5" w:rsidRPr="004128C5" w:rsidRDefault="004128C5" w:rsidP="004128C5">
            <w:r w:rsidRPr="004128C5">
              <w:t>68.8</w:t>
            </w:r>
          </w:p>
        </w:tc>
        <w:tc>
          <w:tcPr>
            <w:tcW w:w="1812" w:type="dxa"/>
          </w:tcPr>
          <w:p w:rsidR="004128C5" w:rsidRPr="004128C5" w:rsidRDefault="004128C5" w:rsidP="004128C5">
            <w:r w:rsidRPr="004128C5">
              <w:t>68.8</w:t>
            </w:r>
          </w:p>
        </w:tc>
        <w:tc>
          <w:tcPr>
            <w:tcW w:w="1813" w:type="dxa"/>
          </w:tcPr>
          <w:p w:rsidR="004128C5" w:rsidRPr="004128C5" w:rsidRDefault="004128C5" w:rsidP="004128C5">
            <w:r w:rsidRPr="004128C5">
              <w:t>69</w:t>
            </w:r>
          </w:p>
        </w:tc>
      </w:tr>
      <w:tr w:rsidR="004128C5" w:rsidRPr="00E94496" w:rsidTr="00A56F1B">
        <w:trPr>
          <w:trHeight w:val="255"/>
        </w:trPr>
        <w:tc>
          <w:tcPr>
            <w:tcW w:w="1812" w:type="dxa"/>
            <w:noWrap/>
          </w:tcPr>
          <w:p w:rsidR="004128C5" w:rsidRPr="004128C5" w:rsidRDefault="004128C5" w:rsidP="004128C5">
            <w:r w:rsidRPr="004128C5">
              <w:t>2010</w:t>
            </w:r>
          </w:p>
        </w:tc>
        <w:tc>
          <w:tcPr>
            <w:tcW w:w="1812" w:type="dxa"/>
            <w:noWrap/>
          </w:tcPr>
          <w:p w:rsidR="004128C5" w:rsidRPr="004128C5" w:rsidRDefault="004128C5" w:rsidP="004128C5">
            <w:r w:rsidRPr="004128C5">
              <w:t>N/A</w:t>
            </w:r>
          </w:p>
        </w:tc>
        <w:tc>
          <w:tcPr>
            <w:tcW w:w="1813" w:type="dxa"/>
            <w:noWrap/>
          </w:tcPr>
          <w:p w:rsidR="004128C5" w:rsidRPr="004128C5" w:rsidRDefault="004128C5" w:rsidP="004128C5">
            <w:r w:rsidRPr="004128C5">
              <w:t>65.5</w:t>
            </w:r>
          </w:p>
        </w:tc>
        <w:tc>
          <w:tcPr>
            <w:tcW w:w="1812" w:type="dxa"/>
          </w:tcPr>
          <w:p w:rsidR="004128C5" w:rsidRPr="004128C5" w:rsidRDefault="004128C5" w:rsidP="004128C5">
            <w:r w:rsidRPr="004128C5">
              <w:t>65.5</w:t>
            </w:r>
          </w:p>
        </w:tc>
        <w:tc>
          <w:tcPr>
            <w:tcW w:w="1813" w:type="dxa"/>
          </w:tcPr>
          <w:p w:rsidR="004128C5" w:rsidRPr="004128C5" w:rsidRDefault="004128C5" w:rsidP="004128C5">
            <w:r w:rsidRPr="004128C5">
              <w:t>66</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2011</w:t>
            </w:r>
          </w:p>
        </w:tc>
        <w:tc>
          <w:tcPr>
            <w:tcW w:w="1812" w:type="dxa"/>
            <w:noWrap/>
          </w:tcPr>
          <w:p w:rsidR="004128C5" w:rsidRPr="004128C5" w:rsidRDefault="004128C5" w:rsidP="004128C5">
            <w:r w:rsidRPr="004128C5">
              <w:t>N/A</w:t>
            </w:r>
          </w:p>
        </w:tc>
        <w:tc>
          <w:tcPr>
            <w:tcW w:w="1813" w:type="dxa"/>
            <w:noWrap/>
          </w:tcPr>
          <w:p w:rsidR="004128C5" w:rsidRPr="004128C5" w:rsidRDefault="004128C5" w:rsidP="004128C5">
            <w:r w:rsidRPr="004128C5">
              <w:t>63.2</w:t>
            </w:r>
          </w:p>
        </w:tc>
        <w:tc>
          <w:tcPr>
            <w:tcW w:w="1812" w:type="dxa"/>
          </w:tcPr>
          <w:p w:rsidR="004128C5" w:rsidRPr="004128C5" w:rsidRDefault="004128C5" w:rsidP="004128C5">
            <w:r w:rsidRPr="004128C5">
              <w:t>63.2</w:t>
            </w:r>
          </w:p>
        </w:tc>
        <w:tc>
          <w:tcPr>
            <w:tcW w:w="1813" w:type="dxa"/>
          </w:tcPr>
          <w:p w:rsidR="004128C5" w:rsidRPr="004128C5" w:rsidRDefault="004128C5" w:rsidP="004128C5">
            <w:r w:rsidRPr="004128C5">
              <w:t>62</w:t>
            </w:r>
          </w:p>
        </w:tc>
      </w:tr>
      <w:tr w:rsidR="004128C5" w:rsidRPr="00E94496" w:rsidTr="00A56F1B">
        <w:trPr>
          <w:trHeight w:val="255"/>
        </w:trPr>
        <w:tc>
          <w:tcPr>
            <w:tcW w:w="1812" w:type="dxa"/>
            <w:noWrap/>
          </w:tcPr>
          <w:p w:rsidR="004128C5" w:rsidRPr="004128C5" w:rsidRDefault="004128C5" w:rsidP="004128C5">
            <w:r w:rsidRPr="004128C5">
              <w:t>2012</w:t>
            </w:r>
          </w:p>
        </w:tc>
        <w:tc>
          <w:tcPr>
            <w:tcW w:w="1812" w:type="dxa"/>
            <w:noWrap/>
          </w:tcPr>
          <w:p w:rsidR="004128C5" w:rsidRPr="004128C5" w:rsidRDefault="004128C5" w:rsidP="004128C5">
            <w:r w:rsidRPr="004128C5">
              <w:t>N/A</w:t>
            </w:r>
          </w:p>
        </w:tc>
        <w:tc>
          <w:tcPr>
            <w:tcW w:w="1813" w:type="dxa"/>
            <w:noWrap/>
          </w:tcPr>
          <w:p w:rsidR="004128C5" w:rsidRPr="004128C5" w:rsidRDefault="004128C5" w:rsidP="004128C5">
            <w:r w:rsidRPr="004128C5">
              <w:t>60.6</w:t>
            </w:r>
          </w:p>
        </w:tc>
        <w:tc>
          <w:tcPr>
            <w:tcW w:w="1812" w:type="dxa"/>
          </w:tcPr>
          <w:p w:rsidR="004128C5" w:rsidRPr="004128C5" w:rsidRDefault="004128C5" w:rsidP="004128C5">
            <w:r w:rsidRPr="004128C5">
              <w:t>60.6</w:t>
            </w:r>
          </w:p>
        </w:tc>
        <w:tc>
          <w:tcPr>
            <w:tcW w:w="1813" w:type="dxa"/>
          </w:tcPr>
          <w:p w:rsidR="004128C5" w:rsidRPr="004128C5" w:rsidRDefault="004128C5" w:rsidP="004128C5">
            <w:r w:rsidRPr="004128C5">
              <w:t>65</w:t>
            </w:r>
          </w:p>
        </w:tc>
      </w:tr>
      <w:tr w:rsidR="004128C5" w:rsidRPr="00E94496" w:rsidTr="00A56F1B">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128C5" w:rsidRPr="004128C5" w:rsidRDefault="004128C5" w:rsidP="004128C5">
            <w:r w:rsidRPr="004128C5">
              <w:t>Average</w:t>
            </w:r>
          </w:p>
        </w:tc>
        <w:tc>
          <w:tcPr>
            <w:tcW w:w="1812" w:type="dxa"/>
            <w:noWrap/>
          </w:tcPr>
          <w:p w:rsidR="004128C5" w:rsidRPr="004128C5" w:rsidRDefault="004128C5" w:rsidP="004128C5">
            <w:r w:rsidRPr="004128C5">
              <w:t>63.3</w:t>
            </w:r>
          </w:p>
        </w:tc>
        <w:tc>
          <w:tcPr>
            <w:tcW w:w="1813" w:type="dxa"/>
            <w:noWrap/>
          </w:tcPr>
          <w:p w:rsidR="004128C5" w:rsidRPr="004128C5" w:rsidRDefault="004128C5" w:rsidP="004128C5">
            <w:r w:rsidRPr="004128C5">
              <w:t>59.0</w:t>
            </w:r>
          </w:p>
        </w:tc>
        <w:tc>
          <w:tcPr>
            <w:tcW w:w="1812" w:type="dxa"/>
          </w:tcPr>
          <w:p w:rsidR="004128C5" w:rsidRPr="004128C5" w:rsidRDefault="004128C5" w:rsidP="004128C5">
            <w:r w:rsidRPr="004128C5">
              <w:t>63.1</w:t>
            </w:r>
          </w:p>
        </w:tc>
        <w:tc>
          <w:tcPr>
            <w:tcW w:w="1813" w:type="dxa"/>
          </w:tcPr>
          <w:p w:rsidR="004128C5" w:rsidRPr="004128C5" w:rsidRDefault="004128C5" w:rsidP="004128C5">
            <w:r w:rsidRPr="004128C5">
              <w:t>66</w:t>
            </w:r>
          </w:p>
        </w:tc>
      </w:tr>
    </w:tbl>
    <w:p w:rsidR="004128C5" w:rsidRPr="004128C5" w:rsidRDefault="004128C5" w:rsidP="004128C5">
      <w:pPr>
        <w:pStyle w:val="AERtablesource"/>
      </w:pPr>
      <w:r w:rsidRPr="004128C5">
        <w:t xml:space="preserve">Source: </w:t>
      </w:r>
      <w:r w:rsidRPr="004128C5">
        <w:tab/>
        <w:t>AER analysis.</w:t>
      </w:r>
    </w:p>
    <w:p w:rsidR="004128C5" w:rsidRPr="004128C5" w:rsidRDefault="004128C5" w:rsidP="004128C5">
      <w:pPr>
        <w:pStyle w:val="AERtablesource"/>
      </w:pPr>
      <w:r w:rsidRPr="004128C5">
        <w:t xml:space="preserve">Notes: </w:t>
      </w:r>
      <w:r w:rsidRPr="004128C5">
        <w:tab/>
        <w:t xml:space="preserve">(a) AER, </w:t>
      </w:r>
      <w:r w:rsidRPr="004128C5">
        <w:rPr>
          <w:rStyle w:val="AERtextitalic"/>
        </w:rPr>
        <w:t>Final decision: Electricity transmission and distribution network service providers: Review of the weighted average cost of capital (WACC) parameters</w:t>
      </w:r>
      <w:r w:rsidRPr="004128C5">
        <w:t>, 1 May 2009, p. 124.</w:t>
      </w:r>
    </w:p>
    <w:p w:rsidR="004128C5" w:rsidRPr="004128C5" w:rsidRDefault="004128C5" w:rsidP="004128C5">
      <w:pPr>
        <w:pStyle w:val="AERtablesource"/>
      </w:pPr>
      <w:r w:rsidRPr="004128C5">
        <w:tab/>
        <w:t>(b) Analysis including full sample of businesses.</w:t>
      </w:r>
    </w:p>
    <w:p w:rsidR="004128C5" w:rsidRPr="004128C5" w:rsidRDefault="004128C5" w:rsidP="004128C5">
      <w:pPr>
        <w:pStyle w:val="AERtablesource"/>
      </w:pPr>
      <w:r w:rsidRPr="004128C5">
        <w:tab/>
        <w:t>(c) AGL, Alinta and GasNet excluded from the analysis.</w:t>
      </w:r>
    </w:p>
    <w:p w:rsidR="004128C5" w:rsidRPr="004128C5" w:rsidRDefault="004128C5" w:rsidP="004128C5">
      <w:pPr>
        <w:pStyle w:val="AERtablesource"/>
      </w:pPr>
      <w:r w:rsidRPr="004128C5">
        <w:tab/>
        <w:t xml:space="preserve">(d) ERA, </w:t>
      </w:r>
      <w:r w:rsidRPr="004128C5">
        <w:rPr>
          <w:rStyle w:val="AERtextitalic"/>
        </w:rPr>
        <w:t>Explanatory statement for the draft rate of return guidelines</w:t>
      </w:r>
      <w:r w:rsidRPr="004128C5">
        <w:t>, 6 August 2013, p. 49.</w:t>
      </w:r>
    </w:p>
    <w:p w:rsidR="004128C5" w:rsidRPr="004128C5" w:rsidRDefault="004128C5" w:rsidP="004128C5">
      <w:pPr>
        <w:numPr>
          <w:ilvl w:val="0"/>
          <w:numId w:val="24"/>
        </w:numPr>
      </w:pPr>
      <w:r w:rsidRPr="004128C5">
        <w:t>The benchmark gearing ratio is used:</w:t>
      </w:r>
    </w:p>
    <w:p w:rsidR="004128C5" w:rsidRPr="004128C5" w:rsidRDefault="004128C5" w:rsidP="004128C5">
      <w:pPr>
        <w:pStyle w:val="AERbulletlistfirststyle"/>
      </w:pPr>
      <w:r w:rsidRPr="004128C5">
        <w:t>to weight the expected required return on debt and equity to derive a WACC</w:t>
      </w:r>
    </w:p>
    <w:p w:rsidR="004128C5" w:rsidRPr="004128C5" w:rsidRDefault="004128C5" w:rsidP="004128C5">
      <w:pPr>
        <w:pStyle w:val="AERbulletlistfirststyle"/>
      </w:pPr>
      <w:r w:rsidRPr="004128C5">
        <w:t>to re-lever the asset betas for the purposes of comparing the levels of systematic risk across businesses, and</w:t>
      </w:r>
    </w:p>
    <w:p w:rsidR="004128C5" w:rsidRPr="004128C5" w:rsidRDefault="004128C5" w:rsidP="00304AD0">
      <w:pPr>
        <w:pStyle w:val="AERbulletlistfirststyle"/>
      </w:pPr>
      <w:r w:rsidRPr="004128C5">
        <w:t>as a factor in estimating the benchmark credit rating.</w:t>
      </w:r>
      <w:r w:rsidRPr="004128C5">
        <w:rPr>
          <w:rStyle w:val="FootnoteReference"/>
        </w:rPr>
        <w:footnoteReference w:id="575"/>
      </w:r>
    </w:p>
    <w:p w:rsidR="00785836" w:rsidRDefault="00785836" w:rsidP="00785836">
      <w:pPr>
        <w:pStyle w:val="Heading3"/>
      </w:pPr>
      <w:bookmarkStart w:id="97" w:name="_Ref450924366"/>
      <w:bookmarkStart w:id="98" w:name="_Toc451943783"/>
      <w:r>
        <w:t>Expected inflation rate</w:t>
      </w:r>
      <w:bookmarkEnd w:id="97"/>
      <w:bookmarkEnd w:id="98"/>
    </w:p>
    <w:p w:rsidR="00B56838" w:rsidRDefault="00B56838" w:rsidP="00B56838">
      <w:r>
        <w:t xml:space="preserve">Our estimate of expected inflation is set out in </w:t>
      </w:r>
      <w:r>
        <w:fldChar w:fldCharType="begin"/>
      </w:r>
      <w:r>
        <w:instrText xml:space="preserve"> REF  _Ref450909902 \* Lower \h </w:instrText>
      </w:r>
      <w:r>
        <w:fldChar w:fldCharType="separate"/>
      </w:r>
      <w:r w:rsidR="000230CB">
        <w:t xml:space="preserve">table </w:t>
      </w:r>
      <w:r w:rsidR="000230CB">
        <w:rPr>
          <w:noProof/>
        </w:rPr>
        <w:t>3</w:t>
      </w:r>
      <w:r w:rsidR="000230CB">
        <w:noBreakHyphen/>
      </w:r>
      <w:r w:rsidR="000230CB">
        <w:rPr>
          <w:noProof/>
        </w:rPr>
        <w:t>23</w:t>
      </w:r>
      <w:r>
        <w:fldChar w:fldCharType="end"/>
      </w:r>
      <w:r>
        <w:t xml:space="preserve">. </w:t>
      </w:r>
      <w:r w:rsidRPr="00C66100">
        <w:t xml:space="preserve">We base our approach on an average of the RBA's short term inflation forecasts and the mid-point of the </w:t>
      </w:r>
      <w:r>
        <w:t>RBA’s inflation targeting band.</w:t>
      </w:r>
    </w:p>
    <w:p w:rsidR="00B56838" w:rsidRDefault="00B56838" w:rsidP="00B56838">
      <w:r w:rsidRPr="00C66100">
        <w:t>This</w:t>
      </w:r>
      <w:r>
        <w:t xml:space="preserve"> method is consistent with what w</w:t>
      </w:r>
      <w:r w:rsidRPr="00C66100">
        <w:t>e have previously adopted</w:t>
      </w:r>
      <w:r>
        <w:t xml:space="preserve"> and applied since 2008, as well as</w:t>
      </w:r>
      <w:r w:rsidRPr="00E04B8A">
        <w:t xml:space="preserve"> </w:t>
      </w:r>
      <w:r>
        <w:t>AGN's</w:t>
      </w:r>
      <w:r w:rsidRPr="00E04B8A">
        <w:t xml:space="preserve"> </w:t>
      </w:r>
      <w:r>
        <w:t>access arrangement proposal</w:t>
      </w:r>
      <w:r w:rsidRPr="00E04B8A">
        <w:t xml:space="preserve"> and our </w:t>
      </w:r>
      <w:r>
        <w:t>draft</w:t>
      </w:r>
      <w:r w:rsidRPr="00E04B8A">
        <w:t xml:space="preserve"> de</w:t>
      </w:r>
      <w:r>
        <w:t>cision (the current method).</w:t>
      </w:r>
      <w:r w:rsidRPr="00DA79C8">
        <w:rPr>
          <w:rStyle w:val="FootnoteReference"/>
        </w:rPr>
        <w:footnoteReference w:id="576"/>
      </w:r>
      <w:r>
        <w:t xml:space="preserve"> We consider the current method to be a reasonable estimation method for the following reasons:</w:t>
      </w:r>
    </w:p>
    <w:p w:rsidR="00B56838" w:rsidRPr="00B56838" w:rsidRDefault="00B56838" w:rsidP="00B56838">
      <w:pPr>
        <w:pStyle w:val="AERbulletlistfirststyle"/>
      </w:pPr>
      <w:r>
        <w:t xml:space="preserve">RBA </w:t>
      </w:r>
      <w:r w:rsidRPr="00B56838">
        <w:t>research indicates that its one year inflation forecasts have substantial explanatory power.</w:t>
      </w:r>
      <w:r w:rsidRPr="00B56838">
        <w:rPr>
          <w:rStyle w:val="FootnoteReference"/>
        </w:rPr>
        <w:footnoteReference w:id="577"/>
      </w:r>
    </w:p>
    <w:p w:rsidR="00B56838" w:rsidRPr="00B56838" w:rsidRDefault="00B56838" w:rsidP="00B56838">
      <w:pPr>
        <w:pStyle w:val="AERbulletlistfirststyle"/>
      </w:pPr>
      <w:r w:rsidRPr="00D62DC1">
        <w:t>To the extent that the historical success of RBA monetary policy informs m</w:t>
      </w:r>
      <w:r w:rsidRPr="00B56838">
        <w:t>arket consensus inflation expectations, the mid-point of the RBA's inflation targeting band would reflect longer term inflation expectations. We note that since inflation rate targeting in 1993, the average annualised inflation rate has been approximately 2.6 per cent, which is close to the 2.5 per cent midpoint of the target band.</w:t>
      </w:r>
    </w:p>
    <w:p w:rsidR="00B56838" w:rsidRPr="00B56838" w:rsidRDefault="00B56838" w:rsidP="00B56838">
      <w:pPr>
        <w:pStyle w:val="AERbulletlistfirststyle"/>
      </w:pPr>
      <w:r>
        <w:t>Evidence indicates</w:t>
      </w:r>
      <w:r w:rsidRPr="00B56838">
        <w:t xml:space="preserve"> that the RBA's control of official interest rates and commentary has an impact on outturn inflation and inflation expectations.</w:t>
      </w:r>
      <w:r w:rsidRPr="00B56838">
        <w:rPr>
          <w:rStyle w:val="FootnoteReference"/>
        </w:rPr>
        <w:footnoteReference w:id="578"/>
      </w:r>
    </w:p>
    <w:p w:rsidR="00B56838" w:rsidRPr="00B56838" w:rsidRDefault="00B56838" w:rsidP="00B56838">
      <w:pPr>
        <w:pStyle w:val="AERbulletlistfirststyle"/>
      </w:pPr>
      <w:r w:rsidRPr="00B6405A">
        <w:t>This</w:t>
      </w:r>
      <w:r w:rsidRPr="00B56838">
        <w:t xml:space="preserve"> method is simple, transparent, easily replicated and unlikely to be subject to estimation error.</w:t>
      </w:r>
    </w:p>
    <w:p w:rsidR="00B56838" w:rsidRDefault="00B56838" w:rsidP="00B56838">
      <w:r>
        <w:t xml:space="preserve">In the draft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79"/>
      </w:r>
      <w:r>
        <w:t xml:space="preserve"> Consistent with our draft decision, our final decision reflects updated RBA forecasts from May 2016.</w:t>
      </w:r>
    </w:p>
    <w:p w:rsidR="00B56838" w:rsidRDefault="00B56838" w:rsidP="00B56838">
      <w:pPr>
        <w:pStyle w:val="Caption"/>
      </w:pPr>
      <w:bookmarkStart w:id="99" w:name="_Ref450909902"/>
      <w:r>
        <w:t xml:space="preserve">Table </w:t>
      </w:r>
      <w:r w:rsidRPr="00B56838">
        <w:fldChar w:fldCharType="begin"/>
      </w:r>
      <w:r>
        <w:instrText xml:space="preserve"> STYLEREF 1 \s </w:instrText>
      </w:r>
      <w:r w:rsidRPr="00B56838">
        <w:fldChar w:fldCharType="separate"/>
      </w:r>
      <w:r w:rsidR="000230CB">
        <w:rPr>
          <w:noProof/>
        </w:rPr>
        <w:t>3</w:t>
      </w:r>
      <w:r w:rsidRPr="00B56838">
        <w:fldChar w:fldCharType="end"/>
      </w:r>
      <w:r>
        <w:noBreakHyphen/>
      </w:r>
      <w:r w:rsidRPr="00B56838">
        <w:fldChar w:fldCharType="begin"/>
      </w:r>
      <w:r>
        <w:instrText xml:space="preserve"> SEQ Table \* ARABIC \s 1 </w:instrText>
      </w:r>
      <w:r w:rsidRPr="00B56838">
        <w:fldChar w:fldCharType="separate"/>
      </w:r>
      <w:r w:rsidR="000230CB">
        <w:rPr>
          <w:noProof/>
        </w:rPr>
        <w:t>23</w:t>
      </w:r>
      <w:r w:rsidRPr="00B56838">
        <w:fldChar w:fldCharType="end"/>
      </w:r>
      <w:bookmarkEnd w:id="99"/>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18"/>
        <w:gridCol w:w="1135"/>
        <w:gridCol w:w="1276"/>
        <w:gridCol w:w="1700"/>
        <w:gridCol w:w="2064"/>
      </w:tblGrid>
      <w:tr w:rsidR="00B56838" w:rsidRPr="00616FA2" w:rsidTr="0063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56838" w:rsidRPr="00B56838" w:rsidRDefault="00B56838" w:rsidP="00B56838">
            <w:r>
              <w:t>Expected</w:t>
            </w:r>
            <w:r w:rsidRPr="00B56838">
              <w:t xml:space="preserve"> inflation</w:t>
            </w:r>
          </w:p>
        </w:tc>
        <w:tc>
          <w:tcPr>
            <w:tcW w:w="652" w:type="pct"/>
          </w:tcPr>
          <w:p w:rsidR="00B56838" w:rsidRPr="00B56838" w:rsidRDefault="00B56838" w:rsidP="00B56838">
            <w:pPr>
              <w:cnfStyle w:val="100000000000" w:firstRow="1" w:lastRow="0" w:firstColumn="0" w:lastColumn="0" w:oddVBand="0" w:evenVBand="0" w:oddHBand="0" w:evenHBand="0" w:firstRowFirstColumn="0" w:firstRowLastColumn="0" w:lastRowFirstColumn="0" w:lastRowLastColumn="0"/>
            </w:pPr>
            <w:r>
              <w:t>2016</w:t>
            </w:r>
            <w:r w:rsidRPr="00B56838">
              <w:t>-17</w:t>
            </w:r>
          </w:p>
        </w:tc>
        <w:tc>
          <w:tcPr>
            <w:tcW w:w="734" w:type="pct"/>
          </w:tcPr>
          <w:p w:rsidR="00B56838" w:rsidRPr="00B56838" w:rsidRDefault="00B56838" w:rsidP="00B56838">
            <w:pPr>
              <w:cnfStyle w:val="100000000000" w:firstRow="1" w:lastRow="0" w:firstColumn="0" w:lastColumn="0" w:oddVBand="0" w:evenVBand="0" w:oddHBand="0" w:evenHBand="0" w:firstRowFirstColumn="0" w:firstRowLastColumn="0" w:lastRowFirstColumn="0" w:lastRowLastColumn="0"/>
            </w:pPr>
            <w:r>
              <w:t>2017</w:t>
            </w:r>
            <w:r w:rsidRPr="00B56838">
              <w:t>-18</w:t>
            </w:r>
          </w:p>
        </w:tc>
        <w:tc>
          <w:tcPr>
            <w:tcW w:w="978" w:type="pct"/>
          </w:tcPr>
          <w:p w:rsidR="00B56838" w:rsidRPr="00B56838" w:rsidRDefault="00B56838" w:rsidP="00B56838">
            <w:pPr>
              <w:cnfStyle w:val="100000000000" w:firstRow="1" w:lastRow="0" w:firstColumn="0" w:lastColumn="0" w:oddVBand="0" w:evenVBand="0" w:oddHBand="0" w:evenHBand="0" w:firstRowFirstColumn="0" w:firstRowLastColumn="0" w:lastRowFirstColumn="0" w:lastRowLastColumn="0"/>
            </w:pPr>
            <w:r>
              <w:t>2018</w:t>
            </w:r>
            <w:r w:rsidRPr="00B56838">
              <w:t xml:space="preserve"> to 2025</w:t>
            </w:r>
          </w:p>
        </w:tc>
        <w:tc>
          <w:tcPr>
            <w:tcW w:w="1187" w:type="pct"/>
          </w:tcPr>
          <w:p w:rsidR="00B56838" w:rsidRPr="00B56838" w:rsidRDefault="00B56838" w:rsidP="00B56838">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B56838">
              <w:t>average</w:t>
            </w:r>
          </w:p>
        </w:tc>
      </w:tr>
      <w:tr w:rsidR="00B56838" w:rsidRPr="00616FA2" w:rsidTr="00630E2D">
        <w:tc>
          <w:tcPr>
            <w:cnfStyle w:val="001000000000" w:firstRow="0" w:lastRow="0" w:firstColumn="1" w:lastColumn="0" w:oddVBand="0" w:evenVBand="0" w:oddHBand="0" w:evenHBand="0" w:firstRowFirstColumn="0" w:firstRowLastColumn="0" w:lastRowFirstColumn="0" w:lastRowLastColumn="0"/>
            <w:tcW w:w="1448" w:type="pct"/>
          </w:tcPr>
          <w:p w:rsidR="00B56838" w:rsidRPr="00B56838" w:rsidRDefault="00B56838" w:rsidP="00B56838">
            <w:r w:rsidRPr="00AF5BA1">
              <w:t xml:space="preserve">AER </w:t>
            </w:r>
            <w:r w:rsidRPr="00B56838">
              <w:t>draft decision</w:t>
            </w:r>
          </w:p>
        </w:tc>
        <w:tc>
          <w:tcPr>
            <w:tcW w:w="652" w:type="pct"/>
          </w:tcPr>
          <w:p w:rsidR="00B56838" w:rsidRPr="00B56838" w:rsidRDefault="00B56838" w:rsidP="00B56838">
            <w:pPr>
              <w:cnfStyle w:val="000000000000" w:firstRow="0" w:lastRow="0" w:firstColumn="0" w:lastColumn="0" w:oddVBand="0" w:evenVBand="0" w:oddHBand="0" w:evenHBand="0" w:firstRowFirstColumn="0" w:firstRowLastColumn="0" w:lastRowFirstColumn="0" w:lastRowLastColumn="0"/>
            </w:pPr>
            <w:r>
              <w:t>2.</w:t>
            </w:r>
            <w:r w:rsidRPr="00B56838">
              <w:t>5</w:t>
            </w:r>
            <w:r w:rsidRPr="00B56838">
              <w:rPr>
                <w:rStyle w:val="FootnoteReference"/>
              </w:rPr>
              <w:t xml:space="preserve"> a</w:t>
            </w:r>
          </w:p>
        </w:tc>
        <w:tc>
          <w:tcPr>
            <w:tcW w:w="734" w:type="pct"/>
          </w:tcPr>
          <w:p w:rsidR="00B56838" w:rsidRPr="00B56838" w:rsidRDefault="00B56838" w:rsidP="00B56838">
            <w:pPr>
              <w:cnfStyle w:val="000000000000" w:firstRow="0" w:lastRow="0" w:firstColumn="0" w:lastColumn="0" w:oddVBand="0" w:evenVBand="0" w:oddHBand="0" w:evenHBand="0" w:firstRowFirstColumn="0" w:firstRowLastColumn="0" w:lastRowFirstColumn="0" w:lastRowLastColumn="0"/>
            </w:pPr>
            <w:r>
              <w:t>2.</w:t>
            </w:r>
            <w:r w:rsidRPr="00B56838">
              <w:t>5</w:t>
            </w:r>
            <w:r w:rsidRPr="00B56838">
              <w:rPr>
                <w:rStyle w:val="FootnoteReference"/>
              </w:rPr>
              <w:t xml:space="preserve"> a</w:t>
            </w:r>
          </w:p>
        </w:tc>
        <w:tc>
          <w:tcPr>
            <w:tcW w:w="978" w:type="pct"/>
          </w:tcPr>
          <w:p w:rsidR="00B56838" w:rsidRPr="00B56838" w:rsidRDefault="00B56838" w:rsidP="00B56838">
            <w:pPr>
              <w:cnfStyle w:val="000000000000" w:firstRow="0" w:lastRow="0" w:firstColumn="0" w:lastColumn="0" w:oddVBand="0" w:evenVBand="0" w:oddHBand="0" w:evenHBand="0" w:firstRowFirstColumn="0" w:firstRowLastColumn="0" w:lastRowFirstColumn="0" w:lastRowLastColumn="0"/>
            </w:pPr>
            <w:r w:rsidRPr="00AF5BA1">
              <w:t>2.5</w:t>
            </w:r>
          </w:p>
        </w:tc>
        <w:tc>
          <w:tcPr>
            <w:tcW w:w="1187" w:type="pct"/>
          </w:tcPr>
          <w:p w:rsidR="00B56838" w:rsidRPr="00B56838" w:rsidRDefault="00B56838" w:rsidP="00B56838">
            <w:pPr>
              <w:cnfStyle w:val="000000000000" w:firstRow="0" w:lastRow="0" w:firstColumn="0" w:lastColumn="0" w:oddVBand="0" w:evenVBand="0" w:oddHBand="0" w:evenHBand="0" w:firstRowFirstColumn="0" w:firstRowLastColumn="0" w:lastRowFirstColumn="0" w:lastRowLastColumn="0"/>
            </w:pPr>
            <w:r w:rsidRPr="00AF5BA1">
              <w:t>2.5</w:t>
            </w:r>
            <w:r w:rsidRPr="00B56838">
              <w:t>0</w:t>
            </w:r>
          </w:p>
        </w:tc>
      </w:tr>
      <w:tr w:rsidR="00B56838" w:rsidRPr="00616FA2" w:rsidTr="00630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56838" w:rsidRPr="00B56838" w:rsidRDefault="00B56838" w:rsidP="00B56838">
            <w:r>
              <w:t xml:space="preserve">AER </w:t>
            </w:r>
            <w:r w:rsidRPr="00B56838">
              <w:t>final decision update</w:t>
            </w:r>
          </w:p>
        </w:tc>
        <w:tc>
          <w:tcPr>
            <w:tcW w:w="652" w:type="pct"/>
          </w:tcPr>
          <w:p w:rsidR="00B56838" w:rsidRPr="00B56838" w:rsidRDefault="00B56838" w:rsidP="00B56838">
            <w:pPr>
              <w:cnfStyle w:val="000000010000" w:firstRow="0" w:lastRow="0" w:firstColumn="0" w:lastColumn="0" w:oddVBand="0" w:evenVBand="0" w:oddHBand="0" w:evenHBand="1" w:firstRowFirstColumn="0" w:firstRowLastColumn="0" w:lastRowFirstColumn="0" w:lastRowLastColumn="0"/>
            </w:pPr>
            <w:r>
              <w:t>2.</w:t>
            </w:r>
            <w:r w:rsidRPr="00B56838">
              <w:t xml:space="preserve">0 </w:t>
            </w:r>
            <w:r w:rsidRPr="00B56838">
              <w:rPr>
                <w:rStyle w:val="FootnoteReference"/>
              </w:rPr>
              <w:t>b</w:t>
            </w:r>
          </w:p>
        </w:tc>
        <w:tc>
          <w:tcPr>
            <w:tcW w:w="734" w:type="pct"/>
          </w:tcPr>
          <w:p w:rsidR="00B56838" w:rsidRPr="00B56838" w:rsidRDefault="00B56838" w:rsidP="00B56838">
            <w:pPr>
              <w:cnfStyle w:val="000000010000" w:firstRow="0" w:lastRow="0" w:firstColumn="0" w:lastColumn="0" w:oddVBand="0" w:evenVBand="0" w:oddHBand="0" w:evenHBand="1" w:firstRowFirstColumn="0" w:firstRowLastColumn="0" w:lastRowFirstColumn="0" w:lastRowLastColumn="0"/>
            </w:pPr>
            <w:r>
              <w:t>2.</w:t>
            </w:r>
            <w:r w:rsidRPr="00B56838">
              <w:t xml:space="preserve">0 </w:t>
            </w:r>
            <w:r w:rsidRPr="00B56838">
              <w:rPr>
                <w:rStyle w:val="FootnoteReference"/>
              </w:rPr>
              <w:t>b</w:t>
            </w:r>
          </w:p>
        </w:tc>
        <w:tc>
          <w:tcPr>
            <w:tcW w:w="978" w:type="pct"/>
          </w:tcPr>
          <w:p w:rsidR="00B56838" w:rsidRPr="00B56838" w:rsidRDefault="00B56838" w:rsidP="00B56838">
            <w:pPr>
              <w:cnfStyle w:val="000000010000" w:firstRow="0" w:lastRow="0" w:firstColumn="0" w:lastColumn="0" w:oddVBand="0" w:evenVBand="0" w:oddHBand="0" w:evenHBand="1" w:firstRowFirstColumn="0" w:firstRowLastColumn="0" w:lastRowFirstColumn="0" w:lastRowLastColumn="0"/>
            </w:pPr>
            <w:r>
              <w:t>2.5</w:t>
            </w:r>
          </w:p>
        </w:tc>
        <w:tc>
          <w:tcPr>
            <w:tcW w:w="1187" w:type="pct"/>
          </w:tcPr>
          <w:p w:rsidR="00B56838" w:rsidRPr="00B56838" w:rsidRDefault="00B56838" w:rsidP="00B56838">
            <w:pPr>
              <w:cnfStyle w:val="000000010000" w:firstRow="0" w:lastRow="0" w:firstColumn="0" w:lastColumn="0" w:oddVBand="0" w:evenVBand="0" w:oddHBand="0" w:evenHBand="1" w:firstRowFirstColumn="0" w:firstRowLastColumn="0" w:lastRowFirstColumn="0" w:lastRowLastColumn="0"/>
            </w:pPr>
            <w:r>
              <w:t>2.</w:t>
            </w:r>
            <w:r w:rsidRPr="00B56838">
              <w:t>39</w:t>
            </w:r>
          </w:p>
        </w:tc>
      </w:tr>
    </w:tbl>
    <w:p w:rsidR="00B56838" w:rsidRDefault="00B56838" w:rsidP="00B56838">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B56838" w:rsidRDefault="00B56838" w:rsidP="00B56838">
      <w:pPr>
        <w:pStyle w:val="AERtablesource"/>
      </w:pPr>
      <w:r w:rsidRPr="008234EE">
        <w:t>(</w:t>
      </w:r>
      <w:r>
        <w:t>a</w:t>
      </w:r>
      <w:r w:rsidRPr="008234EE">
        <w:t xml:space="preserve">) </w:t>
      </w:r>
      <w:r>
        <w:tab/>
        <w:t>In August 2015, the RBA published a range</w:t>
      </w:r>
      <w:r w:rsidRPr="008234EE">
        <w:t xml:space="preserve"> of </w:t>
      </w:r>
      <w:r>
        <w:t>2–3 per cent for i</w:t>
      </w:r>
      <w:r w:rsidRPr="008234EE">
        <w:t xml:space="preserve">ts </w:t>
      </w:r>
      <w:r>
        <w:t>December</w:t>
      </w:r>
      <w:r w:rsidRPr="00AF5BA1">
        <w:t xml:space="preserve"> 2016 and </w:t>
      </w:r>
      <w:r>
        <w:t>December</w:t>
      </w:r>
      <w:r w:rsidRPr="00AF5BA1">
        <w:t xml:space="preserve"> 2017 </w:t>
      </w:r>
      <w:r>
        <w:t>CPI inflation forecasts respectively</w:t>
      </w:r>
      <w:r w:rsidRPr="008234EE">
        <w:t xml:space="preserve">. </w:t>
      </w:r>
      <w:r w:rsidRPr="00AF5BA1">
        <w:t>Where the RBA published ranges, we select the mid-points</w:t>
      </w:r>
      <w:r>
        <w:t>.</w:t>
      </w:r>
    </w:p>
    <w:p w:rsidR="00B56838" w:rsidRDefault="00B56838" w:rsidP="00B56838">
      <w:pPr>
        <w:pStyle w:val="AERtablesource"/>
      </w:pPr>
      <w:r w:rsidRPr="008234EE">
        <w:t>(</w:t>
      </w:r>
      <w:r>
        <w:t>b</w:t>
      </w:r>
      <w:r w:rsidRPr="008234EE">
        <w:t xml:space="preserve">) </w:t>
      </w:r>
      <w:r>
        <w:tab/>
        <w:t>In May 2016</w:t>
      </w:r>
      <w:r w:rsidRPr="00AF5BA1">
        <w:t xml:space="preserve">, the RBA published a range of </w:t>
      </w:r>
      <w:r>
        <w:t xml:space="preserve">1.5–2.5 </w:t>
      </w:r>
      <w:r w:rsidRPr="00AF5BA1">
        <w:t xml:space="preserve">per cent and a range of </w:t>
      </w:r>
      <w:r>
        <w:t xml:space="preserve">1.5–2.5 </w:t>
      </w:r>
      <w:r w:rsidRPr="00AF5BA1">
        <w:t xml:space="preserve">per cent for its </w:t>
      </w:r>
      <w:r>
        <w:t>December</w:t>
      </w:r>
      <w:r w:rsidRPr="00AF5BA1">
        <w:t xml:space="preserve"> 2016 and </w:t>
      </w:r>
      <w:r>
        <w:t>December</w:t>
      </w:r>
      <w:r w:rsidRPr="00AF5BA1">
        <w:t xml:space="preserve"> 2017 CPI inflation forecasts respectively. </w:t>
      </w:r>
      <w:r>
        <w:t>We select</w:t>
      </w:r>
      <w:r w:rsidRPr="008234EE">
        <w:t xml:space="preserve"> the mid-poin</w:t>
      </w:r>
      <w:r>
        <w:t>t from this range.</w:t>
      </w:r>
    </w:p>
    <w:p w:rsidR="00B56838" w:rsidRDefault="00B56838" w:rsidP="00B56838">
      <w:r>
        <w:t>AGN proposed the current method</w:t>
      </w:r>
      <w:r w:rsidRPr="00E04B8A">
        <w:t xml:space="preserve"> </w:t>
      </w:r>
      <w:r>
        <w:t xml:space="preserve">in its initial access arrangement information. However, it also flagged that it would change its position later 'if </w:t>
      </w:r>
      <w:r w:rsidRPr="004D31EB">
        <w:t>the June 2015 quarter inflation outcome does not materially increase from the March 2015 quarter inflation outcome</w:t>
      </w:r>
      <w:r>
        <w:t>'.</w:t>
      </w:r>
      <w:r>
        <w:rPr>
          <w:rStyle w:val="FootnoteReference"/>
        </w:rPr>
        <w:footnoteReference w:id="580"/>
      </w:r>
      <w:r>
        <w:t xml:space="preserve"> AGN indicated that if it changed its position later, it would adopt the 'breakeven approach'</w:t>
      </w:r>
      <w:r>
        <w:rPr>
          <w:rStyle w:val="FootnoteReference"/>
        </w:rPr>
        <w:footnoteReference w:id="581"/>
      </w:r>
      <w:r>
        <w:t xml:space="preserve">  used in a CEG report.</w:t>
      </w:r>
      <w:r>
        <w:rPr>
          <w:rStyle w:val="FootnoteReference"/>
        </w:rPr>
        <w:footnoteReference w:id="582"/>
      </w:r>
    </w:p>
    <w:p w:rsidR="00B56838" w:rsidRDefault="00B56838" w:rsidP="00B56838">
      <w:r>
        <w:t>In its revised access arrangement information, AGN departed from the current method. It now proposes estimates of expected inflation for five and 10 years</w:t>
      </w:r>
      <w:r w:rsidRPr="007C3A80">
        <w:t xml:space="preserve"> </w:t>
      </w:r>
      <w:r>
        <w:t>using a combination of observed inflation and CEG's application of the breakeven approach, and deriving a 60/40 weighted average of these five and 10 year estimates.</w:t>
      </w:r>
      <w:r>
        <w:rPr>
          <w:rStyle w:val="FootnoteReference"/>
        </w:rPr>
        <w:footnoteReference w:id="583"/>
      </w:r>
      <w:r>
        <w:t xml:space="preserve"> This produces an estimate of 2.01 per cent</w:t>
      </w:r>
      <w:r w:rsidRPr="00E04B8A">
        <w:t xml:space="preserve"> </w:t>
      </w:r>
      <w:r>
        <w:t>over an averaging period of 1 to 31 October 2015</w:t>
      </w:r>
      <w:r w:rsidRPr="00E04B8A">
        <w:t>.</w:t>
      </w:r>
      <w:r w:rsidRPr="00E04B8A">
        <w:rPr>
          <w:rStyle w:val="FootnoteReference"/>
        </w:rPr>
        <w:footnoteReference w:id="584"/>
      </w:r>
      <w:r>
        <w:t xml:space="preserve"> AGN lodged a late submission (a CEG report) on 9 May 2016.</w:t>
      </w:r>
      <w:r>
        <w:rPr>
          <w:rStyle w:val="FootnoteReference"/>
        </w:rPr>
        <w:footnoteReference w:id="585"/>
      </w:r>
      <w:r>
        <w:t xml:space="preserve"> In this report, CEG updated its previous estimates of expected inflation.</w:t>
      </w:r>
      <w:r>
        <w:rPr>
          <w:rStyle w:val="FootnoteReference"/>
        </w:rPr>
        <w:footnoteReference w:id="586"/>
      </w:r>
    </w:p>
    <w:p w:rsidR="00B56838" w:rsidRDefault="00B56838" w:rsidP="00B56838">
      <w:r>
        <w:t>We do not accept this revised access arrangement proposal. This is because we consider that the only relevant inflation expectation is one that matches the term of our allowed rate of return (that is, 10 years). We also do not consider CEG's application of the breakeven approach appropriately adjusts for bias. Further, we do not consider that a breakeven approach using indexed CGSs would necessarily produce better estimates of expected inflation than the current method (or another estimation method, such a one based on inflation swaps).</w:t>
      </w:r>
      <w:r>
        <w:rPr>
          <w:rStyle w:val="FootnoteReference"/>
        </w:rPr>
        <w:footnoteReference w:id="587"/>
      </w:r>
    </w:p>
    <w:p w:rsidR="00B56838" w:rsidRPr="00B56838" w:rsidRDefault="00B56838" w:rsidP="00B56838">
      <w:r>
        <w:t xml:space="preserve">It is worth noting that if </w:t>
      </w:r>
      <w:r w:rsidRPr="00B56838">
        <w:t>we considered an alternative approach was preferable to the current approach (which we do not), the method for estimating expected inflation is not business-specific, but rather affects all service providers. As such, any change in approach should only be considered following broad consultation with all stakeholders, rat</w:t>
      </w:r>
      <w:r>
        <w:t>her than within a single reset.</w:t>
      </w:r>
    </w:p>
    <w:p w:rsidR="00B56838" w:rsidRDefault="00B56838" w:rsidP="00B56838">
      <w:pPr>
        <w:pStyle w:val="HeadingBoldBlue"/>
      </w:pPr>
      <w:bookmarkStart w:id="100" w:name="_Toc450909472"/>
      <w:r>
        <w:t>Response to CEG's approach</w:t>
      </w:r>
      <w:bookmarkEnd w:id="100"/>
    </w:p>
    <w:p w:rsidR="00B56838" w:rsidRDefault="00B56838" w:rsidP="00B56838">
      <w:r>
        <w:t>In its response to our draft decision, AGN proposed adopting a method proposed by CEG.</w:t>
      </w:r>
      <w:r>
        <w:rPr>
          <w:rStyle w:val="FootnoteReference"/>
        </w:rPr>
        <w:footnoteReference w:id="588"/>
      </w:r>
      <w:r>
        <w:t xml:space="preserve"> We do not consider that CEG's approach produces better estimates of expected inflation than the current method. CEG's method entails:</w:t>
      </w:r>
      <w:r>
        <w:rPr>
          <w:rStyle w:val="FootnoteReference"/>
        </w:rPr>
        <w:footnoteReference w:id="589"/>
      </w:r>
    </w:p>
    <w:p w:rsidR="00B56838" w:rsidRPr="00B56838" w:rsidRDefault="00B56838" w:rsidP="00B56838">
      <w:pPr>
        <w:pStyle w:val="AERbulletlistfirststyle"/>
      </w:pPr>
      <w:r>
        <w:t xml:space="preserve">On the basis that CEG thinks that, for the return on debt, we should use a five year inflation expectation matching the </w:t>
      </w:r>
      <w:r w:rsidRPr="00B56838">
        <w:t>access arrangement period:</w:t>
      </w:r>
    </w:p>
    <w:p w:rsidR="00B56838" w:rsidRDefault="00B56838" w:rsidP="00B56838">
      <w:pPr>
        <w:pStyle w:val="AERbulletlistsecondstyle"/>
      </w:pPr>
      <w:r>
        <w:t>Adopting a 60/40 weighted average estimate of five</w:t>
      </w:r>
      <w:r w:rsidRPr="00537367">
        <w:t xml:space="preserve"> and 10 year inflation</w:t>
      </w:r>
      <w:r>
        <w:t xml:space="preserve"> expectations, rather than a 10 year inflation expectation.</w:t>
      </w:r>
    </w:p>
    <w:p w:rsidR="00B56838" w:rsidRDefault="00B56838" w:rsidP="00B56838">
      <w:pPr>
        <w:pStyle w:val="AERbulletlistsecondstyle"/>
      </w:pPr>
      <w:r>
        <w:t>Where available, using observed inflation in its estimate of a five year inflation expectation.</w:t>
      </w:r>
    </w:p>
    <w:p w:rsidR="00B56838" w:rsidRPr="00B56838" w:rsidRDefault="00B56838" w:rsidP="00B56838">
      <w:pPr>
        <w:pStyle w:val="AERbulletlistfirststyle"/>
      </w:pPr>
      <w:r>
        <w:t>Estimating expected inflation using its application of the breakeven approach, rather than using the current method based on RBA forecasts.</w:t>
      </w:r>
    </w:p>
    <w:p w:rsidR="00B56838" w:rsidRPr="009B0F8C" w:rsidRDefault="00B56838" w:rsidP="00B56838">
      <w:r>
        <w:t>We do not agree with CEG's opinion that the relevant</w:t>
      </w:r>
      <w:r w:rsidRPr="009B0F8C">
        <w:t xml:space="preserve"> estimate of expected inflation for the return on debt is the </w:t>
      </w:r>
      <w:r>
        <w:t>access arrangement</w:t>
      </w:r>
      <w:r w:rsidRPr="009B0F8C">
        <w:t xml:space="preserve"> period. </w:t>
      </w:r>
      <w:r>
        <w:rPr>
          <w:rStyle w:val="AERbody"/>
        </w:rPr>
        <w:t>Rather, we find that t</w:t>
      </w:r>
      <w:r w:rsidRPr="009B0F8C">
        <w:t>he relevant estimate of expected inflation is for a 10 year horizon.</w:t>
      </w:r>
    </w:p>
    <w:p w:rsidR="00B56838" w:rsidRPr="009B0F8C" w:rsidRDefault="00B56838" w:rsidP="00B56838">
      <w:r>
        <w:t>We are not satisfied that using the breakeven approach would improve</w:t>
      </w:r>
      <w:r w:rsidRPr="009B0F8C">
        <w:t xml:space="preserve"> the quality of our estimates of expected inflation. </w:t>
      </w:r>
      <w:r>
        <w:t>W</w:t>
      </w:r>
      <w:r w:rsidRPr="009B0F8C">
        <w:t xml:space="preserve">e consider there are limitations to the breakeven approach that </w:t>
      </w:r>
      <w:r>
        <w:t xml:space="preserve">AGN </w:t>
      </w:r>
      <w:r w:rsidRPr="009B0F8C">
        <w:t>has not discussed or proposed to address.</w:t>
      </w:r>
    </w:p>
    <w:p w:rsidR="00B56838" w:rsidRPr="009B0F8C" w:rsidRDefault="00B56838" w:rsidP="00B56838">
      <w:r>
        <w:t>We elaborate on these positons in the following sections.</w:t>
      </w:r>
    </w:p>
    <w:p w:rsidR="00B56838" w:rsidRDefault="00B56838" w:rsidP="00B56838">
      <w:pPr>
        <w:pStyle w:val="HeadingBoldItalic"/>
      </w:pPr>
      <w:r>
        <w:t>An expectation matching the access arrangement period</w:t>
      </w:r>
    </w:p>
    <w:p w:rsidR="00B56838" w:rsidRDefault="00B56838" w:rsidP="00B56838">
      <w:r>
        <w:t>We do not agree with CEG's opinion that the relevant estimate of expected inflation for the return on debt is the access arrangement period. As such, we do not accept with CEG's suggestion to adopt an estimate that is 60/40 weighted average of five</w:t>
      </w:r>
      <w:r w:rsidRPr="00537367">
        <w:t xml:space="preserve"> and 10 year </w:t>
      </w:r>
      <w:r>
        <w:t xml:space="preserve">expected </w:t>
      </w:r>
      <w:r w:rsidRPr="00537367">
        <w:t>inflation</w:t>
      </w:r>
      <w:r>
        <w:t>, using observed inflation where available to calculate the five year expectation.</w:t>
      </w:r>
      <w:r>
        <w:rPr>
          <w:rStyle w:val="FootnoteReference"/>
        </w:rPr>
        <w:footnoteReference w:id="590"/>
      </w:r>
    </w:p>
    <w:p w:rsidR="00B56838" w:rsidRDefault="00B56838" w:rsidP="00B56838">
      <w:r>
        <w:t>It is both internally consistent and necessary to use a 10 year inflation expectation to convert a nominal return on debt with a 10 year term to a real return on debt with a 10 year term.</w:t>
      </w:r>
      <w:r w:rsidRPr="00054852">
        <w:t xml:space="preserve"> </w:t>
      </w:r>
      <w:r>
        <w:t>Debt contracts are based on prices investors are willing to pay. These prices reflect investor expectations of the risk free rate, debt risk premium and inflation over their investment horizon at the time they raise this debt. Service providers, including AGN agree that this horizon (or term) for the return on debt is 10 years.</w:t>
      </w:r>
      <w:r>
        <w:rPr>
          <w:rStyle w:val="FootnoteReference"/>
        </w:rPr>
        <w:footnoteReference w:id="591"/>
      </w:r>
      <w:r>
        <w:t xml:space="preserve"> Therefore, while debt contracts may fix the nominal cost of debt, this cost incorporates investor expectations of inflation over the next 10 years.</w:t>
      </w:r>
    </w:p>
    <w:p w:rsidR="00B56838" w:rsidRPr="00C94E22" w:rsidRDefault="00B56838" w:rsidP="00B56838">
      <w:r>
        <w:t>Our position is consistent with what CEG has supported in the past</w:t>
      </w:r>
      <w:r w:rsidRPr="007639D1">
        <w:t xml:space="preserve"> </w:t>
      </w:r>
      <w:r>
        <w:t>and it is not clear to us why it has since changed its position. In 2008, CEG submitted that the correct measure of expected inflation for converting nominal returns into real returns is</w:t>
      </w:r>
      <w:r w:rsidRPr="00062636">
        <w:t xml:space="preserve"> expected inflation over the life of the 10 year nominal CGS bond from which the inflation estimate is being removed.</w:t>
      </w:r>
      <w:r w:rsidRPr="00062636">
        <w:rPr>
          <w:rStyle w:val="FootnoteReference"/>
        </w:rPr>
        <w:footnoteReference w:id="592"/>
      </w:r>
      <w:r w:rsidRPr="00062636">
        <w:t xml:space="preserve"> While we no longer explicitly use 10 year nominal CGS bonds to estimate return on debt, our estimate of a 10 year forward looking return on debt implicitly reflect</w:t>
      </w:r>
      <w:r>
        <w:t xml:space="preserve">s </w:t>
      </w:r>
      <w:r w:rsidRPr="00062636">
        <w:t>a 10 year forward</w:t>
      </w:r>
      <w:r>
        <w:t xml:space="preserve"> looking nominal risk free rate. We can express this </w:t>
      </w:r>
      <w:r w:rsidRPr="00C94E22">
        <w:t>algebraically as:</w:t>
      </w:r>
    </w:p>
    <w:p w:rsidR="00B56838" w:rsidRPr="009B0F8C" w:rsidRDefault="00B56838" w:rsidP="00B56838">
      <m:oMathPara>
        <m:oMath>
          <m:r>
            <w:rPr>
              <w:rFonts w:ascii="Cambria Math" w:hAnsi="Cambria Math"/>
            </w:rPr>
            <m:t>Expected</m:t>
          </m:r>
          <m:d>
            <m:dPr>
              <m:begChr m:val="["/>
              <m:endChr m:val="]"/>
              <m:ctrlPr>
                <w:rPr>
                  <w:rFonts w:ascii="Cambria Math" w:hAnsi="Cambria Math"/>
                </w:rPr>
              </m:ctrlPr>
            </m:dPr>
            <m:e>
              <m:r>
                <w:rPr>
                  <w:rFonts w:ascii="Cambria Math" w:hAnsi="Cambria Math"/>
                </w:rPr>
                <m:t>RoD</m:t>
              </m:r>
              <m:r>
                <m:rPr>
                  <m:sty m:val="p"/>
                </m:rPr>
                <w:rPr>
                  <w:rFonts w:ascii="Cambria Math" w:hAnsi="Cambria Math"/>
                </w:rPr>
                <m:t xml:space="preserve"> </m:t>
              </m:r>
              <m:r>
                <w:rPr>
                  <w:rStyle w:val="AERsubscript"/>
                  <w:rFonts w:ascii="Cambria Math" w:hAnsi="Cambria Math"/>
                </w:rPr>
                <m:t>nominal,10 years</m:t>
              </m:r>
            </m:e>
          </m:d>
          <m:r>
            <m:rPr>
              <m:sty m:val="p"/>
            </m:rPr>
            <w:rPr>
              <w:rFonts w:ascii="Cambria Math" w:hAnsi="Cambria Math"/>
            </w:rPr>
            <m:t>=</m:t>
          </m:r>
          <m:r>
            <w:rPr>
              <w:rFonts w:ascii="Cambria Math" w:hAnsi="Cambria Math"/>
            </w:rPr>
            <m:t>Expected</m:t>
          </m:r>
          <m:r>
            <m:rPr>
              <m:sty m:val="p"/>
            </m:rPr>
            <w:rPr>
              <w:rFonts w:ascii="Cambria Math" w:hAnsi="Cambria Math"/>
            </w:rPr>
            <m:t xml:space="preserve"> [</m:t>
          </m:r>
          <m:r>
            <w:rPr>
              <w:rFonts w:ascii="Cambria Math" w:hAnsi="Cambria Math"/>
            </w:rPr>
            <m:t>rf</m:t>
          </m:r>
          <m:r>
            <m:rPr>
              <m:sty m:val="p"/>
            </m:rPr>
            <w:rPr>
              <w:rFonts w:ascii="Cambria Math" w:hAnsi="Cambria Math"/>
            </w:rPr>
            <m:t>]</m:t>
          </m:r>
          <m:r>
            <w:rPr>
              <w:rStyle w:val="AERsubscript"/>
              <w:rFonts w:ascii="Cambria Math" w:hAnsi="Cambria Math"/>
            </w:rPr>
            <m:t xml:space="preserve"> nominal, 10 years</m:t>
          </m:r>
          <m:r>
            <m:rPr>
              <m:sty m:val="p"/>
            </m:rPr>
            <w:rPr>
              <w:rFonts w:ascii="Cambria Math" w:hAnsi="Cambria Math"/>
            </w:rPr>
            <m:t>+</m:t>
          </m:r>
          <m:r>
            <w:rPr>
              <w:rFonts w:ascii="Cambria Math" w:hAnsi="Cambria Math"/>
            </w:rPr>
            <m:t>Expected</m:t>
          </m:r>
          <m:r>
            <m:rPr>
              <m:sty m:val="p"/>
            </m:rPr>
            <w:rPr>
              <w:rFonts w:ascii="Cambria Math" w:hAnsi="Cambria Math"/>
            </w:rPr>
            <m:t>[</m:t>
          </m:r>
          <m:r>
            <w:rPr>
              <w:rFonts w:ascii="Cambria Math" w:hAnsi="Cambria Math"/>
            </w:rPr>
            <m:t>DRP</m:t>
          </m:r>
          <m:r>
            <m:rPr>
              <m:sty m:val="p"/>
            </m:rPr>
            <w:rPr>
              <w:rFonts w:ascii="Cambria Math" w:hAnsi="Cambria Math"/>
            </w:rPr>
            <m:t xml:space="preserve"> </m:t>
          </m:r>
          <m:r>
            <w:rPr>
              <w:rStyle w:val="AERsubscript"/>
              <w:rFonts w:ascii="Cambria Math" w:hAnsi="Cambria Math"/>
            </w:rPr>
            <m:t>10 years</m:t>
          </m:r>
          <m:r>
            <m:rPr>
              <m:sty m:val="p"/>
            </m:rPr>
            <w:rPr>
              <w:rFonts w:ascii="Cambria Math" w:hAnsi="Cambria Math"/>
            </w:rPr>
            <m:t>]</m:t>
          </m:r>
        </m:oMath>
      </m:oMathPara>
    </w:p>
    <w:p w:rsidR="00B56838" w:rsidRDefault="00B56838" w:rsidP="00B56838">
      <w:pPr>
        <w:pStyle w:val="AERtablesource"/>
      </w:pPr>
      <w:r>
        <w:t>Where:</w:t>
      </w:r>
      <w:r>
        <w:tab/>
        <w:t>RoD = Return on debt</w:t>
      </w:r>
    </w:p>
    <w:p w:rsidR="00B56838" w:rsidRDefault="00B56838" w:rsidP="00B56838">
      <w:pPr>
        <w:pStyle w:val="AERtablesource"/>
      </w:pPr>
      <w:r>
        <w:tab/>
        <w:t xml:space="preserve"> rf = risk free rate</w:t>
      </w:r>
    </w:p>
    <w:p w:rsidR="00B56838" w:rsidRDefault="00B56838" w:rsidP="00B56838">
      <w:pPr>
        <w:pStyle w:val="AERtablesource"/>
      </w:pPr>
      <w:r>
        <w:tab/>
        <w:t xml:space="preserve"> DRP = debt risk premium</w:t>
      </w:r>
    </w:p>
    <w:p w:rsidR="00B56838" w:rsidRPr="009B0F8C" w:rsidRDefault="00B56838" w:rsidP="00B56838">
      <w:r>
        <w:t>Our position is also consistent w</w:t>
      </w:r>
      <w:r w:rsidRPr="009B0F8C">
        <w:t>ith what NERA has advised service providers in the past when it submitted:</w:t>
      </w:r>
      <w:r w:rsidRPr="009B0F8C">
        <w:rPr>
          <w:rStyle w:val="FootnoteReference"/>
        </w:rPr>
        <w:footnoteReference w:id="593"/>
      </w:r>
    </w:p>
    <w:p w:rsidR="00B56838" w:rsidRPr="00B56838" w:rsidRDefault="00B56838" w:rsidP="00B56838">
      <w:pPr>
        <w:pStyle w:val="AERquote"/>
      </w:pPr>
      <w:r w:rsidRPr="00B56838">
        <w:t>inflation rate forecast horizon should match the term of the nominal government bond rate [that is,10 years]</w:t>
      </w:r>
      <w:r w:rsidRPr="00B56838">
        <w:rPr>
          <w:rStyle w:val="FootnoteReference"/>
          <w:vertAlign w:val="baseline"/>
        </w:rPr>
        <w:t xml:space="preserve"> </w:t>
      </w:r>
      <w:r w:rsidRPr="00B56838">
        <w:t>used in the calculation of the weighted average cost of capital (WACC). This practice is consistent with the fundamental principle established by the Fisher equation which in effect states that the nominal bond rate encapsulates the market’s expectations of the inflation that is expected to prevail over the life of the security in question.</w:t>
      </w:r>
    </w:p>
    <w:p w:rsidR="00B56838" w:rsidRDefault="00B56838" w:rsidP="00B56838">
      <w:pPr>
        <w:pStyle w:val="HeadingBoldItalic"/>
      </w:pPr>
      <w:r>
        <w:t>The breakeven approach</w:t>
      </w:r>
    </w:p>
    <w:p w:rsidR="00B56838" w:rsidRPr="009B0F8C" w:rsidRDefault="00B56838" w:rsidP="00B56838">
      <w:r>
        <w:t xml:space="preserve">Our final decision is to apply the current </w:t>
      </w:r>
      <w:r w:rsidRPr="009B0F8C">
        <w:t>method rather than to use CEG's breakeven estimates. Even though we recognise there may be benefits to using a breakeven approach, we also recognise:</w:t>
      </w:r>
    </w:p>
    <w:p w:rsidR="00B56838" w:rsidRPr="00B56838" w:rsidRDefault="00B56838" w:rsidP="00B56838">
      <w:pPr>
        <w:pStyle w:val="AERbulletlistfirststyle"/>
      </w:pPr>
      <w:r>
        <w:t>There are strengths and limitations to both the current method and breakeven approaches.</w:t>
      </w:r>
      <w:r w:rsidRPr="00B56838">
        <w:t xml:space="preserve"> Given the information currently before us, we are not satisfied that changing our approach would improve our estimates of expected inflation.</w:t>
      </w:r>
    </w:p>
    <w:p w:rsidR="00B56838" w:rsidRPr="00B56838" w:rsidRDefault="00B56838" w:rsidP="00B56838">
      <w:pPr>
        <w:pStyle w:val="AERbulletlistfirststyle"/>
      </w:pPr>
      <w:r w:rsidRPr="005F5142">
        <w:t xml:space="preserve">There are clear limitations to </w:t>
      </w:r>
      <w:r w:rsidRPr="00B56838">
        <w:t>using breakeven approaches that result in biased estimates of expected inflation unless particular adjustments are made to these estimates. AGN has not put any material before us to discuss these limitations or propose how to adjust for them</w:t>
      </w:r>
      <w:r>
        <w:t>.</w:t>
      </w:r>
    </w:p>
    <w:p w:rsidR="00B56838" w:rsidRPr="00B56838" w:rsidRDefault="00B56838" w:rsidP="00B56838">
      <w:pPr>
        <w:pStyle w:val="AERbulletlistfirststyle"/>
      </w:pPr>
      <w:r>
        <w:t xml:space="preserve">Market imperfections can undermine the ability of breakeven approaches to estimate the market's inflation expectations. CEG </w:t>
      </w:r>
      <w:r w:rsidRPr="00B56838">
        <w:t>has recognised this in its recent advice.</w:t>
      </w:r>
      <w:r w:rsidRPr="00B56838">
        <w:rPr>
          <w:rStyle w:val="FootnoteReference"/>
        </w:rPr>
        <w:footnoteReference w:id="594"/>
      </w:r>
      <w:r w:rsidRPr="00B56838">
        <w:t xml:space="preserve"> It has also recognised this in the past when advising that it was generally reasonable to use RBA forecasts.</w:t>
      </w:r>
      <w:r w:rsidRPr="00B56838">
        <w:rPr>
          <w:rStyle w:val="FootnoteReference"/>
        </w:rPr>
        <w:footnoteReference w:id="595"/>
      </w:r>
      <w:r w:rsidRPr="00B56838">
        <w:t xml:space="preserve"> CEG also advised that its estimate of expected inflation using the breakeven approach (at that time) was, 'at odds with credible forecasts by the RBA and all other macro-economic experts'.</w:t>
      </w:r>
      <w:r w:rsidRPr="00B56838">
        <w:rPr>
          <w:rStyle w:val="FootnoteReference"/>
        </w:rPr>
        <w:footnoteReference w:id="596"/>
      </w:r>
      <w:r w:rsidRPr="00B56838">
        <w:t xml:space="preserve"> While CEG has indicated that this is not a material concern in the current market, we find its analysis unconvincing for reasons discussed below.</w:t>
      </w:r>
    </w:p>
    <w:p w:rsidR="00B56838" w:rsidRDefault="00B56838" w:rsidP="00B56838">
      <w:pPr>
        <w:pStyle w:val="HeadingItalic"/>
      </w:pPr>
      <w:r>
        <w:t xml:space="preserve">Changing approaches may not improve estimates </w:t>
      </w:r>
    </w:p>
    <w:p w:rsidR="00B56838" w:rsidRPr="009B0F8C" w:rsidRDefault="00B56838" w:rsidP="00B56838">
      <w:r w:rsidRPr="00C554DC">
        <w:t>We</w:t>
      </w:r>
      <w:r w:rsidRPr="009B0F8C">
        <w:t xml:space="preserve"> do not consider that reverting to a breakeven approach is likely to improve our estimates of expected inflation. We recognise that both the current method and breakeven approaches have benefits and limitations, as summarised in</w:t>
      </w:r>
      <w:r>
        <w:t xml:space="preserve"> </w:t>
      </w:r>
      <w:r>
        <w:fldChar w:fldCharType="begin"/>
      </w:r>
      <w:r>
        <w:instrText xml:space="preserve"> REF  _Ref450909925 \* Lower \h </w:instrText>
      </w:r>
      <w:r>
        <w:fldChar w:fldCharType="separate"/>
      </w:r>
      <w:r w:rsidR="000230CB">
        <w:t xml:space="preserve">table </w:t>
      </w:r>
      <w:r w:rsidR="000230CB">
        <w:rPr>
          <w:noProof/>
        </w:rPr>
        <w:t>3</w:t>
      </w:r>
      <w:r w:rsidR="000230CB">
        <w:noBreakHyphen/>
      </w:r>
      <w:r w:rsidR="000230CB">
        <w:rPr>
          <w:noProof/>
        </w:rPr>
        <w:t>24</w:t>
      </w:r>
      <w:r>
        <w:fldChar w:fldCharType="end"/>
      </w:r>
      <w:r w:rsidRPr="009B0F8C">
        <w:t>.</w:t>
      </w:r>
    </w:p>
    <w:p w:rsidR="00B56838" w:rsidRDefault="00B56838" w:rsidP="00B56838">
      <w:pPr>
        <w:pStyle w:val="Caption"/>
      </w:pPr>
      <w:bookmarkStart w:id="101" w:name="_Ref450909925"/>
      <w:r>
        <w:t xml:space="preserve">Table </w:t>
      </w:r>
      <w:r w:rsidRPr="00B56838">
        <w:fldChar w:fldCharType="begin"/>
      </w:r>
      <w:r>
        <w:instrText xml:space="preserve"> STYLEREF 1 \s </w:instrText>
      </w:r>
      <w:r w:rsidRPr="00B56838">
        <w:fldChar w:fldCharType="separate"/>
      </w:r>
      <w:r w:rsidR="000230CB">
        <w:rPr>
          <w:noProof/>
        </w:rPr>
        <w:t>3</w:t>
      </w:r>
      <w:r w:rsidRPr="00B56838">
        <w:fldChar w:fldCharType="end"/>
      </w:r>
      <w:r>
        <w:noBreakHyphen/>
      </w:r>
      <w:r w:rsidRPr="00B56838">
        <w:fldChar w:fldCharType="begin"/>
      </w:r>
      <w:r>
        <w:instrText xml:space="preserve"> SEQ Table \* ARABIC \s 1 </w:instrText>
      </w:r>
      <w:r w:rsidRPr="00B56838">
        <w:fldChar w:fldCharType="separate"/>
      </w:r>
      <w:r w:rsidR="000230CB">
        <w:rPr>
          <w:noProof/>
        </w:rPr>
        <w:t>24</w:t>
      </w:r>
      <w:r w:rsidRPr="00B56838">
        <w:fldChar w:fldCharType="end"/>
      </w:r>
      <w:bookmarkEnd w:id="101"/>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B56838" w:rsidTr="00DB4FCE">
        <w:trPr>
          <w:cnfStyle w:val="100000000000" w:firstRow="1" w:lastRow="0" w:firstColumn="0" w:lastColumn="0" w:oddVBand="0" w:evenVBand="0" w:oddHBand="0" w:evenHBand="0" w:firstRowFirstColumn="0" w:firstRowLastColumn="0" w:lastRowFirstColumn="0" w:lastRowLastColumn="0"/>
          <w:tblHeader/>
        </w:trPr>
        <w:tc>
          <w:tcPr>
            <w:tcW w:w="1809" w:type="dxa"/>
          </w:tcPr>
          <w:p w:rsidR="00B56838" w:rsidRPr="00B56838" w:rsidRDefault="00B56838" w:rsidP="00B56838">
            <w:r>
              <w:t>Approach</w:t>
            </w:r>
          </w:p>
        </w:tc>
        <w:tc>
          <w:tcPr>
            <w:tcW w:w="3261" w:type="dxa"/>
          </w:tcPr>
          <w:p w:rsidR="00B56838" w:rsidRPr="00B56838" w:rsidRDefault="00B56838" w:rsidP="00B56838">
            <w:r>
              <w:t>Benefits</w:t>
            </w:r>
          </w:p>
        </w:tc>
        <w:tc>
          <w:tcPr>
            <w:tcW w:w="3623" w:type="dxa"/>
          </w:tcPr>
          <w:p w:rsidR="00B56838" w:rsidRPr="00B56838" w:rsidRDefault="00B56838" w:rsidP="00B56838">
            <w:r>
              <w:t>Limitations</w:t>
            </w:r>
          </w:p>
        </w:tc>
      </w:tr>
      <w:tr w:rsidR="00B56838" w:rsidTr="00630E2D">
        <w:tc>
          <w:tcPr>
            <w:tcW w:w="1809" w:type="dxa"/>
          </w:tcPr>
          <w:p w:rsidR="00B56838" w:rsidRPr="00B56838" w:rsidRDefault="00B56838" w:rsidP="00B56838">
            <w:r>
              <w:t xml:space="preserve">The </w:t>
            </w:r>
            <w:r w:rsidRPr="00B56838">
              <w:t>current method :</w:t>
            </w:r>
          </w:p>
          <w:p w:rsidR="00B56838" w:rsidRPr="00B56838" w:rsidRDefault="00B56838" w:rsidP="00B56838">
            <w:r>
              <w:t xml:space="preserve">A </w:t>
            </w:r>
            <w:r w:rsidRPr="00B56838">
              <w:t>geometric average of the RBA forecast and mid-point.</w:t>
            </w:r>
          </w:p>
        </w:tc>
        <w:tc>
          <w:tcPr>
            <w:tcW w:w="3261" w:type="dxa"/>
          </w:tcPr>
          <w:p w:rsidR="00B56838" w:rsidRPr="00B56838" w:rsidRDefault="00B56838" w:rsidP="00B56838">
            <w:r>
              <w:t>This is</w:t>
            </w:r>
            <w:r w:rsidRPr="00B56838">
              <w:t xml:space="preserve"> simple, transparent and easily replicated. Since the current method is not subject to estimation bias or error it may improve regulatory certainty and reduce the scope for gaming.</w:t>
            </w:r>
          </w:p>
          <w:p w:rsidR="00B56838" w:rsidRPr="00B56838" w:rsidRDefault="00B56838" w:rsidP="00B56838">
            <w:r>
              <w:t>This</w:t>
            </w:r>
            <w:r w:rsidRPr="00B56838">
              <w:t xml:space="preserve"> relies on RBA 2 year forecasts – RBA’s research suggests that its 1 year forecasts of inflation have substantial explanatory power and in the past RBA forecasts have been marginally more accurate than private sector forecasts.</w:t>
            </w:r>
            <w:r w:rsidRPr="00B56838">
              <w:rPr>
                <w:rStyle w:val="FootnoteReference"/>
              </w:rPr>
              <w:footnoteReference w:id="597"/>
            </w:r>
            <w:r w:rsidRPr="00B56838">
              <w:t xml:space="preserve"> </w:t>
            </w:r>
          </w:p>
          <w:p w:rsidR="00B56838" w:rsidRPr="00B56838" w:rsidRDefault="00B56838" w:rsidP="00B56838">
            <w:r w:rsidRPr="00883AE6">
              <w:t xml:space="preserve">Since inflation </w:t>
            </w:r>
            <w:r w:rsidRPr="00B56838">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B56838">
              <w:rPr>
                <w:rStyle w:val="FootnoteReference"/>
              </w:rPr>
              <w:footnoteReference w:id="598"/>
            </w:r>
          </w:p>
        </w:tc>
        <w:tc>
          <w:tcPr>
            <w:tcW w:w="3623" w:type="dxa"/>
          </w:tcPr>
          <w:p w:rsidR="00B56838" w:rsidRPr="00B56838" w:rsidRDefault="00B56838" w:rsidP="00B56838">
            <w:r>
              <w:t>If</w:t>
            </w:r>
            <w:r w:rsidRPr="00B56838">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B56838" w:rsidRPr="00B56838" w:rsidRDefault="00B56838" w:rsidP="00B56838">
            <w:r>
              <w:t>Th</w:t>
            </w:r>
            <w:r w:rsidRPr="00B56838">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809" w:type="dxa"/>
          </w:tcPr>
          <w:p w:rsidR="00B56838" w:rsidRPr="00B56838" w:rsidRDefault="00B56838" w:rsidP="00B56838">
            <w:r>
              <w:t xml:space="preserve">The </w:t>
            </w:r>
            <w:r w:rsidRPr="00B56838">
              <w:t>breakeven approach:</w:t>
            </w:r>
          </w:p>
          <w:p w:rsidR="00B56838" w:rsidRPr="00B56838" w:rsidRDefault="00B56838" w:rsidP="00B56838">
            <w:r>
              <w:t>The breakeven inflation rate implied by comparing CPI-indexed CGS and nominal CGS</w:t>
            </w:r>
            <w:r w:rsidRPr="00B56838">
              <w:t>.</w:t>
            </w:r>
          </w:p>
        </w:tc>
        <w:tc>
          <w:tcPr>
            <w:tcW w:w="3261" w:type="dxa"/>
          </w:tcPr>
          <w:p w:rsidR="00B56838" w:rsidRPr="00B56838" w:rsidRDefault="00B56838" w:rsidP="00B56838">
            <w:r>
              <w:t>These e</w:t>
            </w:r>
            <w:r w:rsidRPr="00B56838">
              <w:t xml:space="preserve">stimates include market-consensus expectations of inflation that is based on an aggregation of most up-to-date, relevant and available information. </w:t>
            </w:r>
          </w:p>
          <w:p w:rsidR="00B56838" w:rsidRDefault="00B56838" w:rsidP="00B56838"/>
        </w:tc>
        <w:tc>
          <w:tcPr>
            <w:tcW w:w="3623" w:type="dxa"/>
          </w:tcPr>
          <w:p w:rsidR="00B56838" w:rsidRPr="00B56838" w:rsidRDefault="00B56838" w:rsidP="00B56838">
            <w:r>
              <w:t xml:space="preserve">We moved away from using this approach in the past as it was recognised that bias existed in </w:t>
            </w:r>
            <w:r w:rsidRPr="00B56838">
              <w:t xml:space="preserve">indexed CGS yields. </w:t>
            </w:r>
          </w:p>
          <w:p w:rsidR="00B56838" w:rsidRPr="00B56838" w:rsidRDefault="00B56838" w:rsidP="00B56838">
            <w:r>
              <w:t>The breakeven approach</w:t>
            </w:r>
            <w:r w:rsidRPr="00B56838">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B56838" w:rsidRDefault="00B56838" w:rsidP="00B56838">
      <w:pPr>
        <w:pStyle w:val="HeadingItalic"/>
      </w:pPr>
      <w:r>
        <w:t xml:space="preserve">Other limitations and potential biases to the breakeven approach </w:t>
      </w:r>
    </w:p>
    <w:p w:rsidR="00B56838" w:rsidRPr="009B0F8C" w:rsidRDefault="00B56838" w:rsidP="00B56838">
      <w:r>
        <w:t>T</w:t>
      </w:r>
      <w:r w:rsidRPr="009B0F8C">
        <w:t>here is no straightforward way of employing a breakeven approach. Rather, breakeven estimates require adjustment to account for several different types of bias.</w:t>
      </w:r>
      <w:r w:rsidRPr="009B0F8C">
        <w:rPr>
          <w:rStyle w:val="FootnoteReference"/>
        </w:rPr>
        <w:footnoteReference w:id="599"/>
      </w:r>
      <w:r w:rsidRPr="009B0F8C">
        <w:t xml:space="preserve"> </w:t>
      </w:r>
      <w:r>
        <w:fldChar w:fldCharType="begin"/>
      </w:r>
      <w:r>
        <w:instrText xml:space="preserve"> REF _Ref450909942 \h </w:instrText>
      </w:r>
      <w:r>
        <w:fldChar w:fldCharType="separate"/>
      </w:r>
      <w:r w:rsidR="000230CB">
        <w:t xml:space="preserve">Table </w:t>
      </w:r>
      <w:r w:rsidR="000230CB">
        <w:rPr>
          <w:noProof/>
        </w:rPr>
        <w:t>3</w:t>
      </w:r>
      <w:r w:rsidR="000230CB">
        <w:noBreakHyphen/>
      </w:r>
      <w:r w:rsidR="000230CB">
        <w:rPr>
          <w:noProof/>
        </w:rPr>
        <w:t>25</w:t>
      </w:r>
      <w:r>
        <w:fldChar w:fldCharType="end"/>
      </w:r>
      <w:r>
        <w:t xml:space="preserve"> </w:t>
      </w:r>
      <w:r w:rsidRPr="009B0F8C">
        <w:t>highlights some of these potential biases based on preliminary research.</w:t>
      </w:r>
    </w:p>
    <w:p w:rsidR="00B56838" w:rsidRDefault="00B56838" w:rsidP="00B56838">
      <w:pPr>
        <w:pStyle w:val="Caption"/>
      </w:pPr>
      <w:bookmarkStart w:id="102" w:name="_Ref450909942"/>
      <w:r>
        <w:t xml:space="preserve">Table </w:t>
      </w:r>
      <w:r w:rsidRPr="00B56838">
        <w:fldChar w:fldCharType="begin"/>
      </w:r>
      <w:r>
        <w:instrText xml:space="preserve"> STYLEREF 1 \s </w:instrText>
      </w:r>
      <w:r w:rsidRPr="00B56838">
        <w:fldChar w:fldCharType="separate"/>
      </w:r>
      <w:r w:rsidR="000230CB">
        <w:rPr>
          <w:noProof/>
        </w:rPr>
        <w:t>3</w:t>
      </w:r>
      <w:r w:rsidRPr="00B56838">
        <w:fldChar w:fldCharType="end"/>
      </w:r>
      <w:r>
        <w:noBreakHyphen/>
      </w:r>
      <w:r w:rsidRPr="00B56838">
        <w:fldChar w:fldCharType="begin"/>
      </w:r>
      <w:r>
        <w:instrText xml:space="preserve"> SEQ Table \* ARABIC \s 1 </w:instrText>
      </w:r>
      <w:r w:rsidRPr="00B56838">
        <w:fldChar w:fldCharType="separate"/>
      </w:r>
      <w:r w:rsidR="000230CB">
        <w:rPr>
          <w:noProof/>
        </w:rPr>
        <w:t>25</w:t>
      </w:r>
      <w:r w:rsidRPr="00B56838">
        <w:fldChar w:fldCharType="end"/>
      </w:r>
      <w:bookmarkEnd w:id="102"/>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B56838" w:rsidTr="00DB4FCE">
        <w:trPr>
          <w:cnfStyle w:val="100000000000" w:firstRow="1" w:lastRow="0" w:firstColumn="0" w:lastColumn="0" w:oddVBand="0" w:evenVBand="0" w:oddHBand="0" w:evenHBand="0" w:firstRowFirstColumn="0" w:firstRowLastColumn="0" w:lastRowFirstColumn="0" w:lastRowLastColumn="0"/>
          <w:tblHeader/>
        </w:trPr>
        <w:tc>
          <w:tcPr>
            <w:tcW w:w="1171" w:type="dxa"/>
          </w:tcPr>
          <w:p w:rsidR="00B56838" w:rsidRPr="00B56838" w:rsidRDefault="00B56838" w:rsidP="00B56838">
            <w:r>
              <w:t>Potential bias</w:t>
            </w:r>
          </w:p>
        </w:tc>
        <w:tc>
          <w:tcPr>
            <w:tcW w:w="1631" w:type="dxa"/>
          </w:tcPr>
          <w:p w:rsidR="00B56838" w:rsidRPr="00B56838" w:rsidRDefault="00B56838" w:rsidP="00B56838">
            <w:r>
              <w:t>Effect on estimates</w:t>
            </w:r>
          </w:p>
        </w:tc>
        <w:tc>
          <w:tcPr>
            <w:tcW w:w="3685" w:type="dxa"/>
          </w:tcPr>
          <w:p w:rsidR="00B56838" w:rsidRPr="00B56838" w:rsidRDefault="00B56838" w:rsidP="00B56838">
            <w:r>
              <w:t>Explanation</w:t>
            </w:r>
          </w:p>
        </w:tc>
        <w:tc>
          <w:tcPr>
            <w:tcW w:w="2206" w:type="dxa"/>
          </w:tcPr>
          <w:p w:rsidR="00B56838" w:rsidRPr="00B56838" w:rsidRDefault="00B56838" w:rsidP="00B56838">
            <w:r>
              <w:t>Adjustment needed?</w:t>
            </w:r>
          </w:p>
        </w:tc>
      </w:tr>
      <w:tr w:rsidR="00B56838" w:rsidTr="00630E2D">
        <w:tc>
          <w:tcPr>
            <w:tcW w:w="1171" w:type="dxa"/>
          </w:tcPr>
          <w:p w:rsidR="00B56838" w:rsidRPr="00B56838" w:rsidRDefault="00B56838" w:rsidP="00B56838">
            <w:r w:rsidRPr="00D273FA">
              <w:t>Convexity</w:t>
            </w:r>
          </w:p>
        </w:tc>
        <w:tc>
          <w:tcPr>
            <w:tcW w:w="1631" w:type="dxa"/>
          </w:tcPr>
          <w:p w:rsidR="00B56838" w:rsidRPr="00B56838" w:rsidRDefault="00B56838" w:rsidP="00B56838">
            <w:r>
              <w:t>Underestimate</w:t>
            </w:r>
          </w:p>
        </w:tc>
        <w:tc>
          <w:tcPr>
            <w:tcW w:w="3685" w:type="dxa"/>
          </w:tcPr>
          <w:p w:rsidR="00B56838" w:rsidRPr="00B56838" w:rsidRDefault="00B56838" w:rsidP="00B56838">
            <w:r>
              <w:t xml:space="preserve">Differences in convexity and convexity bias between indexed and nominal bonds mean that the implied breakeven inflation rate may differ from inflation expectations. </w:t>
            </w:r>
          </w:p>
          <w:p w:rsidR="00B56838" w:rsidRPr="00B56838" w:rsidRDefault="00B56838" w:rsidP="00B56838">
            <w:r>
              <w:t>Convexity bias results in a downward bias of bond yields</w:t>
            </w:r>
            <w:r w:rsidRPr="00B56838">
              <w:t xml:space="preserve">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breakeven inflation rates below inflation expectations.</w:t>
            </w:r>
            <w:r w:rsidRPr="00B56838">
              <w:rPr>
                <w:rStyle w:val="FootnoteReference"/>
              </w:rPr>
              <w:t xml:space="preserve"> </w:t>
            </w:r>
            <w:r w:rsidRPr="00B56838">
              <w:rPr>
                <w:rStyle w:val="FootnoteReference"/>
              </w:rPr>
              <w:footnoteReference w:id="600"/>
            </w:r>
            <w:r w:rsidRPr="00B56838">
              <w:t xml:space="preserve"> </w:t>
            </w:r>
          </w:p>
        </w:tc>
        <w:tc>
          <w:tcPr>
            <w:tcW w:w="2206" w:type="dxa"/>
          </w:tcPr>
          <w:p w:rsidR="00B56838" w:rsidRPr="00B56838" w:rsidRDefault="00B56838" w:rsidP="00B56838">
            <w:r>
              <w:t>Yes</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171" w:type="dxa"/>
          </w:tcPr>
          <w:p w:rsidR="00B56838" w:rsidRPr="00B56838" w:rsidRDefault="00B56838" w:rsidP="00B56838">
            <w:r w:rsidRPr="00D273FA">
              <w:t>Inflation risk premium</w:t>
            </w:r>
          </w:p>
        </w:tc>
        <w:tc>
          <w:tcPr>
            <w:tcW w:w="1631" w:type="dxa"/>
          </w:tcPr>
          <w:p w:rsidR="00B56838" w:rsidRPr="00B56838" w:rsidRDefault="00B56838" w:rsidP="00B56838">
            <w:r>
              <w:t>Generally an o</w:t>
            </w:r>
            <w:r w:rsidRPr="00B56838">
              <w:t>verestimate.</w:t>
            </w:r>
          </w:p>
          <w:p w:rsidR="00B56838" w:rsidRPr="00B56838" w:rsidRDefault="00B56838" w:rsidP="00B56838">
            <w:r>
              <w:t>Potential u</w:t>
            </w:r>
            <w:r w:rsidRPr="00B56838">
              <w:t>nderestimate if there are concerns about deflation or very low inflation.</w:t>
            </w:r>
            <w:r w:rsidRPr="00B56838">
              <w:rPr>
                <w:rStyle w:val="FootnoteReference"/>
              </w:rPr>
              <w:footnoteReference w:id="601"/>
            </w:r>
          </w:p>
        </w:tc>
        <w:tc>
          <w:tcPr>
            <w:tcW w:w="3685" w:type="dxa"/>
          </w:tcPr>
          <w:p w:rsidR="00B56838" w:rsidRPr="00B56838" w:rsidRDefault="00B56838" w:rsidP="00B56838">
            <w:r w:rsidRPr="00D273FA">
              <w:t xml:space="preserve">Nominal bondholders will demand compensation for </w:t>
            </w:r>
            <w:r w:rsidRPr="00B56838">
              <w:t xml:space="preserve">inﬂation risk as the actual inflation rate may not match the expected inflation rate. The implied breakeven inflation rate is likely to exceed the expected inflation rate if there is an inflation risk premium in nominal bond yields. </w:t>
            </w:r>
          </w:p>
          <w:p w:rsidR="00B56838" w:rsidRPr="00B56838" w:rsidRDefault="00B56838" w:rsidP="00B56838">
            <w:r w:rsidRPr="00D273FA">
              <w:t xml:space="preserve">However, if there are </w:t>
            </w:r>
            <w:r w:rsidRPr="00B56838">
              <w:t>concerns about deflation, the inflation risk premium may become negative and the breakeven inflation rate may underestimate expected inflation.</w:t>
            </w:r>
          </w:p>
        </w:tc>
        <w:tc>
          <w:tcPr>
            <w:tcW w:w="2206" w:type="dxa"/>
          </w:tcPr>
          <w:p w:rsidR="00B56838" w:rsidRPr="00B56838" w:rsidRDefault="00B56838" w:rsidP="00B56838">
            <w:r>
              <w:t xml:space="preserve">Yes, if our goal is to </w:t>
            </w:r>
            <w:r w:rsidRPr="00B56838">
              <w:t>only estimate expected inflation.</w:t>
            </w:r>
          </w:p>
          <w:p w:rsidR="00B56838" w:rsidRPr="00B56838" w:rsidRDefault="00B56838" w:rsidP="00B56838">
            <w:r>
              <w:t xml:space="preserve">No, if our goal is to convert a nominal rate of return with an inflation risk premium into a real rate of return for a business with no inflation risk. </w:t>
            </w:r>
          </w:p>
        </w:tc>
      </w:tr>
      <w:tr w:rsidR="00B56838" w:rsidTr="00630E2D">
        <w:tc>
          <w:tcPr>
            <w:tcW w:w="1171" w:type="dxa"/>
          </w:tcPr>
          <w:p w:rsidR="00B56838" w:rsidRPr="00B56838" w:rsidRDefault="00B56838" w:rsidP="00B56838">
            <w:r w:rsidRPr="00D273FA">
              <w:t>Liquidity premium</w:t>
            </w:r>
          </w:p>
        </w:tc>
        <w:tc>
          <w:tcPr>
            <w:tcW w:w="1631" w:type="dxa"/>
          </w:tcPr>
          <w:p w:rsidR="00B56838" w:rsidRPr="00B56838" w:rsidRDefault="00B56838" w:rsidP="00B56838">
            <w:r>
              <w:t>Underestimate</w:t>
            </w:r>
          </w:p>
        </w:tc>
        <w:tc>
          <w:tcPr>
            <w:tcW w:w="3685" w:type="dxa"/>
          </w:tcPr>
          <w:p w:rsidR="00B56838" w:rsidRPr="00B56838" w:rsidRDefault="00B56838" w:rsidP="00B56838">
            <w:r>
              <w:t>T</w:t>
            </w:r>
            <w:r w:rsidRPr="00B56838">
              <w:t xml:space="preserve">he indexed bond market is likely to be less liquid than the nominal bond market and as a result the breakeven inflation rate is likely to include a liquidity premium.. </w:t>
            </w:r>
          </w:p>
          <w:p w:rsidR="00B56838" w:rsidRPr="00B56838" w:rsidRDefault="00B56838" w:rsidP="00B56838">
            <w:r w:rsidRPr="00D273FA">
              <w:t>The differential liquidity premium</w:t>
            </w:r>
            <w:r w:rsidRPr="00B56838">
              <w:t xml:space="preserve"> between nominal and indexed bonds may also be time-varying. This premium is likely to be greater during periods of uncertainty when there is a ‘flight’ to more liquid nominal bond markets.</w:t>
            </w:r>
            <w:r w:rsidRPr="00B56838">
              <w:rPr>
                <w:rStyle w:val="FootnoteReference"/>
              </w:rPr>
              <w:footnoteReference w:id="602"/>
            </w:r>
            <w:r w:rsidRPr="00B56838">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B56838" w:rsidRPr="00B56838" w:rsidRDefault="00B56838" w:rsidP="00B56838">
            <w:r>
              <w:t>Yes</w:t>
            </w:r>
          </w:p>
        </w:tc>
      </w:tr>
      <w:tr w:rsidR="00B56838" w:rsidTr="00630E2D">
        <w:trPr>
          <w:cnfStyle w:val="000000010000" w:firstRow="0" w:lastRow="0" w:firstColumn="0" w:lastColumn="0" w:oddVBand="0" w:evenVBand="0" w:oddHBand="0" w:evenHBand="1" w:firstRowFirstColumn="0" w:firstRowLastColumn="0" w:lastRowFirstColumn="0" w:lastRowLastColumn="0"/>
        </w:trPr>
        <w:tc>
          <w:tcPr>
            <w:tcW w:w="1171" w:type="dxa"/>
          </w:tcPr>
          <w:p w:rsidR="00B56838" w:rsidRPr="00B56838" w:rsidRDefault="00B56838" w:rsidP="00B56838">
            <w:r w:rsidRPr="00D273FA">
              <w:t xml:space="preserve">Inflation indexation </w:t>
            </w:r>
            <w:r w:rsidRPr="00B56838">
              <w:t>lag</w:t>
            </w:r>
          </w:p>
        </w:tc>
        <w:tc>
          <w:tcPr>
            <w:tcW w:w="1631" w:type="dxa"/>
          </w:tcPr>
          <w:p w:rsidR="00B56838" w:rsidRPr="00B56838" w:rsidRDefault="00B56838" w:rsidP="00B56838">
            <w:r>
              <w:t>U</w:t>
            </w:r>
            <w:r w:rsidRPr="00B56838">
              <w:t>nderestimate or overestimate – potentially small if inflation is stable and the indexation lag is small.</w:t>
            </w:r>
          </w:p>
        </w:tc>
        <w:tc>
          <w:tcPr>
            <w:tcW w:w="3685" w:type="dxa"/>
          </w:tcPr>
          <w:p w:rsidR="00B56838" w:rsidRPr="00B56838" w:rsidRDefault="00B56838" w:rsidP="00B56838">
            <w:r>
              <w:t>I</w:t>
            </w:r>
            <w:r w:rsidRPr="00B56838">
              <w:t>ndexed CGS yields reflect some historical inflation as there are lags between movements in the price index and adjustments of indexed bond cash flows.</w:t>
            </w:r>
            <w:r w:rsidRPr="00B56838">
              <w:rPr>
                <w:rStyle w:val="FootnoteReference"/>
              </w:rPr>
              <w:footnoteReference w:id="603"/>
            </w:r>
            <w:r w:rsidRPr="00B56838">
              <w:t xml:space="preserve"> The indexation lag on indexed CGS is considerable - between 4.5 and 5.5 months.</w:t>
            </w:r>
          </w:p>
          <w:p w:rsidR="00B56838" w:rsidRPr="00B56838" w:rsidRDefault="00B56838" w:rsidP="00B56838">
            <w:r>
              <w:t>As a result of indexation lag, i</w:t>
            </w:r>
            <w:r w:rsidRPr="00B56838">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B56838" w:rsidRPr="00B56838" w:rsidRDefault="00B56838" w:rsidP="00B56838">
            <w:r w:rsidRPr="00D273FA">
              <w:t>A</w:t>
            </w:r>
            <w:r w:rsidRPr="00B56838">
              <w:t>lso, due to indexation lag, the real return on indexed bonds may be exposed to some inflation risk and may include an inflation risk premium.</w:t>
            </w:r>
            <w:r w:rsidRPr="00B56838">
              <w:rPr>
                <w:rStyle w:val="FootnoteReference"/>
              </w:rPr>
              <w:footnoteReference w:id="604"/>
            </w:r>
          </w:p>
        </w:tc>
        <w:tc>
          <w:tcPr>
            <w:tcW w:w="2206" w:type="dxa"/>
          </w:tcPr>
          <w:p w:rsidR="00B56838" w:rsidRPr="00B56838" w:rsidRDefault="00B56838" w:rsidP="00B56838">
            <w:r>
              <w:t>Potentially not if immaterial.</w:t>
            </w:r>
            <w:r w:rsidRPr="00B56838">
              <w:t xml:space="preserve"> </w:t>
            </w:r>
          </w:p>
        </w:tc>
      </w:tr>
    </w:tbl>
    <w:p w:rsidR="00B56838" w:rsidRPr="009B0F8C" w:rsidRDefault="00B56838" w:rsidP="00B56838">
      <w:r>
        <w:t xml:space="preserve">It is worth noting that the potentially material biases in </w:t>
      </w:r>
      <w:r>
        <w:fldChar w:fldCharType="begin"/>
      </w:r>
      <w:r>
        <w:instrText xml:space="preserve"> REF  _Ref450909942 \* Lower \h </w:instrText>
      </w:r>
      <w:r>
        <w:fldChar w:fldCharType="separate"/>
      </w:r>
      <w:r w:rsidR="000230CB">
        <w:t xml:space="preserve">table </w:t>
      </w:r>
      <w:r w:rsidR="000230CB">
        <w:rPr>
          <w:noProof/>
        </w:rPr>
        <w:t>3</w:t>
      </w:r>
      <w:r w:rsidR="000230CB">
        <w:noBreakHyphen/>
      </w:r>
      <w:r w:rsidR="000230CB">
        <w:rPr>
          <w:noProof/>
        </w:rPr>
        <w:t>25</w:t>
      </w:r>
      <w:r>
        <w:fldChar w:fldCharType="end"/>
      </w:r>
      <w:r>
        <w:t xml:space="preserve"> </w:t>
      </w:r>
      <w:r w:rsidRPr="009B0F8C">
        <w:t xml:space="preserve">have yet to be raised or discussed. </w:t>
      </w:r>
      <w:r>
        <w:t>This provides further support for broad consultation with</w:t>
      </w:r>
      <w:r w:rsidRPr="008D2805">
        <w:t xml:space="preserve"> all stakeholders</w:t>
      </w:r>
      <w:r>
        <w:t xml:space="preserve"> prior to changing approaches as this would illicit stakeholder input to the various benefits and limitations to a change in approach. For instance, </w:t>
      </w:r>
      <w:r w:rsidRPr="009B0F8C">
        <w:t xml:space="preserve">there is a range of limitations to the breakeven approach that </w:t>
      </w:r>
      <w:r>
        <w:t xml:space="preserve">neither AGN nor </w:t>
      </w:r>
      <w:r w:rsidRPr="009B0F8C">
        <w:t xml:space="preserve">CEG </w:t>
      </w:r>
      <w:r>
        <w:t>have raised</w:t>
      </w:r>
      <w:r w:rsidRPr="009B0F8C">
        <w:t xml:space="preserve"> and stakeholders may </w:t>
      </w:r>
      <w:r>
        <w:t>be</w:t>
      </w:r>
      <w:r w:rsidRPr="009B0F8C">
        <w:t xml:space="preserve"> yet </w:t>
      </w:r>
      <w:r>
        <w:t xml:space="preserve">to </w:t>
      </w:r>
      <w:r w:rsidRPr="009B0F8C">
        <w:t>consider.</w:t>
      </w:r>
      <w:r w:rsidRPr="009B0F8C">
        <w:rPr>
          <w:rStyle w:val="FootnoteReference"/>
        </w:rPr>
        <w:footnoteReference w:id="605"/>
      </w:r>
      <w:r w:rsidRPr="009B0F8C">
        <w:t xml:space="preserve"> Where possible, it would be prudent to adjust for any identifiable material biases if such a review lead us to adopt the breakeven approach (or another method, such as one</w:t>
      </w:r>
      <w:r>
        <w:t xml:space="preserve"> based on interest rate swaps).</w:t>
      </w:r>
    </w:p>
    <w:p w:rsidR="00B56838" w:rsidRPr="005F5142" w:rsidRDefault="00B56838" w:rsidP="00B56838">
      <w:pPr>
        <w:pStyle w:val="HeadingItalic"/>
      </w:pPr>
      <w:r w:rsidRPr="005F5142">
        <w:t>Limitations under market imperfections</w:t>
      </w:r>
    </w:p>
    <w:p w:rsidR="00B56838" w:rsidRPr="005F5142" w:rsidRDefault="00B56838" w:rsidP="00B56838">
      <w:pPr>
        <w:rPr>
          <w:rStyle w:val="AERbody"/>
        </w:rPr>
      </w:pPr>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606"/>
      </w:r>
      <w:r w:rsidRPr="005F5142">
        <w:t xml:space="preserve"> Also, CEG recently recognised this in advising</w:t>
      </w:r>
      <w:r w:rsidRPr="005F5142">
        <w:rPr>
          <w:rStyle w:val="AERbody"/>
        </w:rPr>
        <w:t>:</w:t>
      </w:r>
      <w:r w:rsidRPr="005F5142">
        <w:rPr>
          <w:rStyle w:val="FootnoteReference"/>
        </w:rPr>
        <w:footnoteReference w:id="607"/>
      </w:r>
    </w:p>
    <w:p w:rsidR="00B56838" w:rsidRPr="00B56838" w:rsidRDefault="00B56838" w:rsidP="001463A8">
      <w:pPr>
        <w:pStyle w:val="AERquote"/>
        <w:rPr>
          <w:rStyle w:val="AERbody"/>
          <w:color w:val="000000"/>
          <w:sz w:val="20"/>
        </w:rPr>
      </w:pPr>
      <w:r w:rsidRPr="00B56838">
        <w:rPr>
          <w:rStyle w:val="AERbody"/>
          <w:color w:val="000000"/>
          <w:sz w:val="20"/>
        </w:rPr>
        <w:t>in the period from 2006 to late 2008 the indexed CGS market was much smaller than today. R</w:t>
      </w:r>
      <w:r w:rsidRPr="001463A8">
        <w:rPr>
          <w:rStyle w:val="AERbody"/>
          <w:color w:val="000000"/>
          <w:sz w:val="20"/>
        </w:rPr>
        <w:t>BA</w:t>
      </w:r>
      <w:r w:rsidRPr="00B56838">
        <w:rPr>
          <w:rStyle w:val="AERbody"/>
          <w:color w:val="000000"/>
          <w:sz w:val="20"/>
        </w:rPr>
        <w:t xml:space="preserve"> analysis suggested that the limited supply, in combination with heightened demand by foreigners due to regulatory changes, were combining to push up indexed CGS prices and push down real yields; with the effect that breakeven inflation estimates were overstated.</w:t>
      </w:r>
    </w:p>
    <w:p w:rsidR="00B56838" w:rsidRPr="005F5142" w:rsidRDefault="00B56838" w:rsidP="00B56838">
      <w:r w:rsidRPr="005F5142">
        <w:t>CEG suggests that its criticism of the breakeven approach in 2007 does not apply to the current market. However, we do not consider it has provided convincing evidence of this. We agree with CEG's observation that there has been an increase in the size of the indexed CGS market (there are currently seven types of indexed CGS on issue).</w:t>
      </w:r>
      <w:r w:rsidRPr="005F5142">
        <w:rPr>
          <w:rStyle w:val="FootnoteReference"/>
        </w:rPr>
        <w:footnoteReference w:id="608"/>
      </w:r>
      <w:r w:rsidRPr="005F5142">
        <w:t xml:space="preserve"> However, we do not consider th</w:t>
      </w:r>
      <w:r>
        <w:t>is</w:t>
      </w:r>
      <w:r w:rsidRPr="005F5142">
        <w:t xml:space="preserve"> means that market disto</w:t>
      </w:r>
      <w:r>
        <w:t>rtions are no longer a concern.</w:t>
      </w:r>
    </w:p>
    <w:p w:rsidR="00B56838" w:rsidRPr="005F5142" w:rsidRDefault="00B56838" w:rsidP="00B56838">
      <w:r w:rsidRPr="005F5142">
        <w:t>For instance, despite having improved since 2007, the size and liquidity of the indexed CGS market is still limited.</w:t>
      </w:r>
      <w:r w:rsidRPr="005F5142">
        <w:rPr>
          <w:rStyle w:val="FootnoteReference"/>
        </w:rPr>
        <w:footnoteReference w:id="609"/>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610"/>
      </w:r>
      <w:r w:rsidRPr="005F5142">
        <w:t xml:space="preserve"> According to this metric, there has only been a minor improvement to relative liquidity of the indexed CGS since early 2008.</w:t>
      </w:r>
      <w:r w:rsidRPr="005F5142">
        <w:rPr>
          <w:rStyle w:val="FootnoteReference"/>
        </w:rPr>
        <w:footnoteReference w:id="611"/>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612"/>
      </w:r>
    </w:p>
    <w:p w:rsidR="00B56838" w:rsidRDefault="00B56838" w:rsidP="00B56838">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613"/>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614"/>
      </w:r>
    </w:p>
    <w:p w:rsidR="00B56838" w:rsidRDefault="00B56838" w:rsidP="00B56838">
      <w:pPr>
        <w:pStyle w:val="HeadingBoldBlue"/>
      </w:pPr>
      <w:bookmarkStart w:id="103" w:name="_Toc450909473"/>
      <w:r>
        <w:t>Amending methods in the future</w:t>
      </w:r>
      <w:bookmarkEnd w:id="103"/>
      <w:r>
        <w:t xml:space="preserve"> </w:t>
      </w:r>
    </w:p>
    <w:p w:rsidR="00B56838" w:rsidRPr="00746B06" w:rsidRDefault="00B56838" w:rsidP="00B56838">
      <w:r>
        <w:t xml:space="preserve">We do not consider that changing our approach would improve our estimates of expected inflation. However, if we change our view in the future, this should follow a consultation process and a comprehensive analysis of the strengths and weaknesses of different approaches. This will allow us to consistently apply a </w:t>
      </w:r>
      <w:r w:rsidRPr="00746B06">
        <w:rPr>
          <w:rStyle w:val="AERbody"/>
        </w:rPr>
        <w:t>methodology</w:t>
      </w:r>
      <w:r>
        <w:rPr>
          <w:rStyle w:val="AERbody"/>
        </w:rPr>
        <w:t xml:space="preserve"> for estimating expected inflation</w:t>
      </w:r>
      <w:r w:rsidRPr="00746B06">
        <w:rPr>
          <w:rStyle w:val="AERbody"/>
        </w:rPr>
        <w:t xml:space="preserve"> that is broadly accepted as sound</w:t>
      </w:r>
      <w:r>
        <w:rPr>
          <w:rStyle w:val="AERbody"/>
        </w:rPr>
        <w:t xml:space="preserve">. </w:t>
      </w:r>
      <w:r>
        <w:t>We consider this to be beneficial over</w:t>
      </w:r>
      <w:r w:rsidRPr="00746B06">
        <w:t xml:space="preserve"> changing approaches across resets</w:t>
      </w:r>
      <w:r>
        <w:t xml:space="preserve"> (noting that we do not consider service providers </w:t>
      </w:r>
      <w:r w:rsidRPr="008769C3">
        <w:t>have shown broad support to permanently return to the breakeven approach</w:t>
      </w:r>
      <w:r>
        <w:t>)</w:t>
      </w:r>
      <w:r w:rsidRPr="008769C3">
        <w:t>.</w:t>
      </w:r>
      <w:r w:rsidRPr="008769C3">
        <w:rPr>
          <w:rStyle w:val="FootnoteReference"/>
        </w:rPr>
        <w:footnoteReference w:id="615"/>
      </w:r>
      <w:r w:rsidRPr="00746B06">
        <w:t xml:space="preserve"> </w:t>
      </w:r>
      <w:r>
        <w:t>This is because</w:t>
      </w:r>
      <w:r w:rsidRPr="00746B06">
        <w:t>:</w:t>
      </w:r>
    </w:p>
    <w:p w:rsidR="00B56838" w:rsidRPr="00B56838" w:rsidRDefault="00B56838" w:rsidP="00B56838">
      <w:pPr>
        <w:pStyle w:val="AERbulletlistfirststyle"/>
      </w:pPr>
      <w:r>
        <w:t xml:space="preserve">For the majority of service providers we regulate, the </w:t>
      </w:r>
      <w:r w:rsidRPr="00B56838">
        <w:rPr>
          <w:rStyle w:val="AERtextunderline"/>
        </w:rPr>
        <w:t>method</w:t>
      </w:r>
      <w:r w:rsidRPr="00B56838">
        <w:t xml:space="preserve"> that we determine is likely to result in the best estimates of expected inflation must be contained in the PTRM.</w:t>
      </w:r>
      <w:r w:rsidRPr="00B56838">
        <w:rPr>
          <w:rStyle w:val="FootnoteReference"/>
        </w:rPr>
        <w:footnoteReference w:id="616"/>
      </w:r>
      <w:r w:rsidRPr="00B56838">
        <w:t xml:space="preserve"> The NER specify that we may amend the PTRM in accordance with consultation procedures.</w:t>
      </w:r>
      <w:r w:rsidRPr="00B56838">
        <w:rPr>
          <w:rStyle w:val="FootnoteReference"/>
        </w:rPr>
        <w:footnoteReference w:id="617"/>
      </w:r>
      <w:r w:rsidRPr="00B56838">
        <w:t xml:space="preserve"> Even where this is not required (such as under the NGR), it is nevertheless valuable to follow consultation procedures in amending aspects of our approach that will </w:t>
      </w:r>
      <w:r>
        <w:t>apply to all service providers.</w:t>
      </w:r>
    </w:p>
    <w:p w:rsidR="00B56838" w:rsidRPr="00B56838" w:rsidRDefault="00B56838" w:rsidP="00B56838">
      <w:pPr>
        <w:pStyle w:val="AERbulletlistfirststyle"/>
      </w:pPr>
      <w:r w:rsidRPr="003A1732">
        <w:t xml:space="preserve">Regularly </w:t>
      </w:r>
      <w:r w:rsidRPr="00B56838">
        <w:t>switching between different methods for estimating inflation expectations could allow bias to enter our decisions as this would incentivise service providers to propose approaches that were most beneficial to them at a given point in time. If an alternative to the current method provides unambiguously better estimates of expected inflation, we consider it preferable to adopt this as our general approach rather than applying it on a decision-by-decision basis.</w:t>
      </w:r>
    </w:p>
    <w:p w:rsidR="00B56838" w:rsidRPr="00B56838" w:rsidRDefault="00B56838" w:rsidP="00FC6E26">
      <w:pPr>
        <w:pStyle w:val="AERbulletlistfirststyle"/>
      </w:pPr>
      <w:r>
        <w:t>We do not consider that service providers or other stakeholders</w:t>
      </w:r>
      <w:r w:rsidRPr="00B56838">
        <w:t xml:space="preserve"> have shown broad support to permanently return to the breakeven approach. In 2013, stakeholders endorsed continuing the current method when we raised this as an issue for potential review of our regulatory approach.</w:t>
      </w:r>
      <w:r w:rsidRPr="00B56838">
        <w:rPr>
          <w:rStyle w:val="FootnoteReference"/>
        </w:rPr>
        <w:footnoteReference w:id="618"/>
      </w:r>
      <w:r w:rsidRPr="00B56838">
        <w:t xml:space="preserve"> AGN submitted that stakeholders endorsed continuing the current method in 2013 because it produced similar estimates to the breakeven approach at the time.</w:t>
      </w:r>
      <w:r w:rsidRPr="00B56838">
        <w:rPr>
          <w:rStyle w:val="FootnoteReference"/>
        </w:rPr>
        <w:footnoteReference w:id="619"/>
      </w:r>
      <w:r w:rsidRPr="00B56838">
        <w:t xml:space="preserve"> We do not find this convincing. Recognising that different methods produce different estimates across time, we consider stakeholders would have supported the estimation method they considered was most reasonable. We would accept that stakeholders might change their preferences if liquidity in the indexed CGS market improved notably since 2013 and/or less biases and premia were affecting the breakeven inflation rate more generally. However, this does not appear to be the case.</w:t>
      </w:r>
    </w:p>
    <w:p w:rsidR="00B56838" w:rsidRPr="00B56838" w:rsidRDefault="00B56838" w:rsidP="00B56838">
      <w:pPr>
        <w:rPr>
          <w:rStyle w:val="AERbody"/>
        </w:rPr>
      </w:pPr>
      <w:r>
        <w:t xml:space="preserve">More specifically, </w:t>
      </w:r>
      <w:r w:rsidRPr="00B56838">
        <w:t xml:space="preserve">we do not consider CEG or AGN have made a strong case for the breakeven approach being fundamentally superior. Rather, CEG considers the current method </w:t>
      </w:r>
      <w:r w:rsidRPr="00B56838">
        <w:rPr>
          <w:rStyle w:val="AERbody"/>
        </w:rPr>
        <w:t>to be broadly reasonable in most market circumstances.</w:t>
      </w:r>
      <w:r w:rsidRPr="00B56838">
        <w:rPr>
          <w:rStyle w:val="FootnoteReference"/>
        </w:rPr>
        <w:footnoteReference w:id="620"/>
      </w:r>
      <w:r w:rsidRPr="00B56838">
        <w:t xml:space="preserve"> </w:t>
      </w:r>
      <w:r w:rsidRPr="00B56838">
        <w:rPr>
          <w:rStyle w:val="AERbody"/>
        </w:rPr>
        <w:t>CEG also noted that:</w:t>
      </w:r>
      <w:r w:rsidRPr="00B56838">
        <w:rPr>
          <w:rStyle w:val="FootnoteReference"/>
        </w:rPr>
        <w:t xml:space="preserve"> </w:t>
      </w:r>
      <w:r w:rsidRPr="00B56838">
        <w:rPr>
          <w:rStyle w:val="FootnoteReference"/>
        </w:rPr>
        <w:footnoteReference w:id="621"/>
      </w:r>
    </w:p>
    <w:p w:rsidR="00B56838" w:rsidRPr="001463A8" w:rsidRDefault="00B56838" w:rsidP="001463A8">
      <w:pPr>
        <w:pStyle w:val="AERquote"/>
        <w:rPr>
          <w:rStyle w:val="AERbody"/>
          <w:color w:val="000000"/>
          <w:sz w:val="20"/>
        </w:rPr>
      </w:pPr>
      <w:r w:rsidRPr="001463A8">
        <w:rPr>
          <w:rStyle w:val="AERbody"/>
          <w:color w:val="000000"/>
          <w:sz w:val="20"/>
        </w:rPr>
        <w:t>I consider that there have been some periods in the past when the AER’s method has resulted in a better estimate of expected inflation than market based estimates (such as breakeven inflation measured as the difference in yields between nominal and CPI indexed CGS).</w:t>
      </w:r>
    </w:p>
    <w:p w:rsidR="00C73102" w:rsidRDefault="00B56838" w:rsidP="00B56838">
      <w:r>
        <w:t xml:space="preserve">Given the above points, </w:t>
      </w:r>
      <w:r w:rsidRPr="00B56838">
        <w:t>we have a preference towards providing more regulatory certainty and for reviewing the benefits and limitations of different estimation methods in consultation with a broad range of relevant stakeholders before changing approaches.</w:t>
      </w:r>
    </w:p>
    <w:p w:rsidR="00B66414" w:rsidRPr="00BA0AFD" w:rsidRDefault="00B66414" w:rsidP="00B66414">
      <w:pPr>
        <w:pStyle w:val="Heading7"/>
      </w:pPr>
      <w:bookmarkStart w:id="104" w:name="_Ref448871343"/>
      <w:bookmarkStart w:id="105" w:name="_Toc451943784"/>
      <w:bookmarkEnd w:id="12"/>
      <w:r>
        <w:t>Our foundation model approach</w:t>
      </w:r>
      <w:bookmarkEnd w:id="104"/>
      <w:bookmarkEnd w:id="105"/>
    </w:p>
    <w:p w:rsidR="00B66414" w:rsidRDefault="00B66414" w:rsidP="00B66414">
      <w:r>
        <w:t>We determined the allowed return on equity by applying our foundation model approach. The foundation model approach was developed after extensive consultation during the formation of our Rate of Return Guideline in December 2013.</w:t>
      </w:r>
    </w:p>
    <w:p w:rsidR="00B66414" w:rsidRDefault="00B66414" w:rsidP="00B66414">
      <w:r>
        <w:t>Service providers submitted that our approach prevents us from having appropriate regard to relevant material.</w:t>
      </w:r>
      <w:r>
        <w:rPr>
          <w:rStyle w:val="FootnoteReference"/>
        </w:rPr>
        <w:footnoteReference w:id="622"/>
      </w:r>
      <w:r>
        <w:t xml:space="preserve"> We disagree, and provide the following for clarification:</w:t>
      </w:r>
    </w:p>
    <w:p w:rsidR="00B66414" w:rsidRPr="00B66414" w:rsidRDefault="00B66414" w:rsidP="00B66414">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sidRPr="00B66414">
        <w:rPr>
          <w:rStyle w:val="FootnoteReference"/>
        </w:rPr>
        <w:footnoteReference w:id="623"/>
      </w:r>
    </w:p>
    <w:p w:rsidR="00B66414" w:rsidRPr="0081065F" w:rsidRDefault="00B66414" w:rsidP="00B66414">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B66414" w:rsidRDefault="00B66414" w:rsidP="00B66414">
      <w:pPr>
        <w:pStyle w:val="AERbulletlistfirststyle"/>
      </w:pPr>
      <w:r>
        <w:t>The foundation model approach has six steps, but this does not mean that material considered in earlier steps are given more weight than material considered in later steps.</w:t>
      </w:r>
    </w:p>
    <w:p w:rsidR="00B66414" w:rsidRDefault="00B66414" w:rsidP="00B66414">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B66414" w:rsidRPr="00B66414" w:rsidRDefault="00B66414" w:rsidP="00B66414">
      <w:pPr>
        <w:pStyle w:val="AERbulletlistfirststyle"/>
      </w:pPr>
      <w:r>
        <w:t xml:space="preserve">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AGN's </w:t>
      </w:r>
      <w:r w:rsidRPr="00B66414">
        <w:t>regulated services.</w:t>
      </w:r>
    </w:p>
    <w:p w:rsidR="00B66414" w:rsidRPr="003D1061" w:rsidRDefault="00B66414" w:rsidP="00B66414">
      <w:pPr>
        <w:numPr>
          <w:ilvl w:val="0"/>
          <w:numId w:val="24"/>
        </w:numPr>
      </w:pPr>
      <w:r>
        <w:t>Our approach was endorsed by the Tribunal, which stated recently:</w:t>
      </w:r>
    </w:p>
    <w:p w:rsidR="00B66414" w:rsidRPr="003D1061" w:rsidRDefault="00B66414" w:rsidP="00B66414">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B66414" w:rsidRPr="003D1061" w:rsidRDefault="00B66414" w:rsidP="00B66414">
      <w:pPr>
        <w:pStyle w:val="AERquote"/>
      </w:pPr>
      <w:r w:rsidRPr="003D1061">
        <w:t xml:space="preserve">(a) the RoR Objective has primacy in any estimation of the rate of return on equity (pp 18, 36 and 38-39); </w:t>
      </w:r>
    </w:p>
    <w:p w:rsidR="00B66414" w:rsidRPr="003D1061" w:rsidRDefault="00B66414" w:rsidP="00B66414">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B66414" w:rsidRPr="003D1061" w:rsidRDefault="00B66414" w:rsidP="00B66414">
      <w:pPr>
        <w:pStyle w:val="AERquote"/>
      </w:pPr>
      <w:r w:rsidRPr="003D1061">
        <w:t xml:space="preserve">(c) the AER must actively turn its mind to the factors listed, but it is up to the regulator to determine whether and, if so, how the factors should influence its decision (if at all) (pp 36-37); </w:t>
      </w:r>
    </w:p>
    <w:p w:rsidR="00B66414" w:rsidRPr="003D1061" w:rsidRDefault="00B66414" w:rsidP="00B66414">
      <w:pPr>
        <w:pStyle w:val="AERquote"/>
      </w:pPr>
      <w:r w:rsidRPr="003D1061">
        <w:t xml:space="preserve">(d) it is important that the AER be given flexibility to adopt an approach to determining the rate of return that is appropriate to market conditions (p 44); </w:t>
      </w:r>
    </w:p>
    <w:p w:rsidR="00B66414" w:rsidRPr="003D1061" w:rsidRDefault="00B66414" w:rsidP="00B66414">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B66414" w:rsidRPr="003D1061" w:rsidRDefault="00B66414" w:rsidP="00B66414">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B66414" w:rsidRPr="003D1061" w:rsidRDefault="00B66414" w:rsidP="00B66414">
      <w:pPr>
        <w:pStyle w:val="AERquote"/>
      </w:pPr>
      <w:r w:rsidRPr="003D1061">
        <w:t>(g) the RoR 2013 Guideline should include details as to the financial models that the AER would take into account in making a determination, and why it has chosen those models over other models (p 70);</w:t>
      </w:r>
    </w:p>
    <w:p w:rsidR="00B66414" w:rsidRPr="003D1061" w:rsidRDefault="00B66414" w:rsidP="00B66414">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B66414" w:rsidRDefault="00B66414" w:rsidP="00B66414">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B66414" w:rsidRPr="002629C5" w:rsidRDefault="00B66414" w:rsidP="00B66414">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24"/>
      </w:r>
      <w:r>
        <w:t xml:space="preserve"> We recognise that there are potential weaknesses in the different models and estimation methods.  Nevertheless, we are charged with deciding from the available evidence, a return on equity that we consider contributes to the rate of return objective. The Tribunal has described the way in which the AER should carry out this task as follows:</w:t>
      </w:r>
      <w:r>
        <w:rPr>
          <w:rStyle w:val="FootnoteReference"/>
        </w:rPr>
        <w:footnoteReference w:id="625"/>
      </w:r>
    </w:p>
    <w:p w:rsidR="00B66414" w:rsidRPr="002629C5" w:rsidRDefault="00B66414" w:rsidP="00B66414">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B66414" w:rsidRPr="002629C5" w:rsidRDefault="00B66414" w:rsidP="00B66414">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B66414" w:rsidRPr="002629C5" w:rsidRDefault="00B66414" w:rsidP="00B66414">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B66414" w:rsidRPr="00C241EE" w:rsidRDefault="00B66414" w:rsidP="00B66414">
      <w:r>
        <w:t>This means that when we consider conflicting evidence, we must come to a conclusion that we consider fits the regulatory requirements.  This has been recently emphasised again by the Tribunal:</w:t>
      </w:r>
      <w:r>
        <w:rPr>
          <w:rStyle w:val="FootnoteReference"/>
        </w:rPr>
        <w:footnoteReference w:id="626"/>
      </w:r>
    </w:p>
    <w:p w:rsidR="00B66414" w:rsidRDefault="00B66414" w:rsidP="00B66414">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71133C" w:rsidRPr="00BA0AFD" w:rsidRDefault="0071133C" w:rsidP="0071133C">
      <w:pPr>
        <w:pStyle w:val="Heading7"/>
      </w:pPr>
      <w:bookmarkStart w:id="106" w:name="_Ref451691802"/>
      <w:bookmarkStart w:id="107" w:name="_Toc451943785"/>
      <w:bookmarkStart w:id="108" w:name="_Ref451414893"/>
      <w:bookmarkStart w:id="109" w:name="_Ref451414916"/>
      <w:bookmarkStart w:id="110" w:name="_Ref451415098"/>
      <w:bookmarkStart w:id="111" w:name="_Ref451415590"/>
      <w:bookmarkStart w:id="112" w:name="_Ref451415625"/>
      <w:bookmarkStart w:id="113" w:name="_Ref451415763"/>
      <w:bookmarkStart w:id="114" w:name="_Ref451415800"/>
      <w:bookmarkStart w:id="115" w:name="_Ref451415926"/>
      <w:bookmarkStart w:id="116" w:name="_Ref451416598"/>
      <w:bookmarkStart w:id="117" w:name="_Ref451416623"/>
      <w:bookmarkStart w:id="118" w:name="_Ref451416644"/>
      <w:bookmarkStart w:id="119" w:name="_Toc451498843"/>
      <w:r>
        <w:t>Equity models</w:t>
      </w:r>
      <w:bookmarkEnd w:id="106"/>
      <w:bookmarkEnd w:id="107"/>
    </w:p>
    <w:p w:rsidR="0071133C" w:rsidRPr="001562D4" w:rsidRDefault="0071133C" w:rsidP="0071133C">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71133C" w:rsidRPr="001562D4" w:rsidRDefault="0071133C" w:rsidP="0071133C">
      <w:pPr>
        <w:pStyle w:val="ListNumber"/>
        <w:numPr>
          <w:ilvl w:val="1"/>
          <w:numId w:val="24"/>
        </w:numPr>
      </w:pPr>
      <w:r w:rsidRPr="001562D4">
        <w:t>The Sharp</w:t>
      </w:r>
      <w:r>
        <w:t>e–</w:t>
      </w:r>
      <w:r w:rsidRPr="001562D4">
        <w:t>Lintn</w:t>
      </w:r>
      <w:r>
        <w:t>er Capital Asset Pricing Model (Sharpe-Lintner CAPM)</w:t>
      </w:r>
    </w:p>
    <w:p w:rsidR="0071133C" w:rsidRPr="001562D4" w:rsidRDefault="0071133C" w:rsidP="0071133C">
      <w:pPr>
        <w:pStyle w:val="ListNumber"/>
        <w:numPr>
          <w:ilvl w:val="1"/>
          <w:numId w:val="24"/>
        </w:numPr>
      </w:pPr>
      <w:r w:rsidRPr="001562D4">
        <w:t>The Black Capital Asset Pricing model (Black CAPM)</w:t>
      </w:r>
    </w:p>
    <w:p w:rsidR="0071133C" w:rsidRPr="001562D4" w:rsidRDefault="0071133C" w:rsidP="0071133C">
      <w:pPr>
        <w:pStyle w:val="ListNumber"/>
        <w:numPr>
          <w:ilvl w:val="1"/>
          <w:numId w:val="24"/>
        </w:numPr>
      </w:pPr>
      <w:r w:rsidRPr="001562D4">
        <w:t xml:space="preserve">The </w:t>
      </w:r>
      <w:r>
        <w:t>Fama French Three Factor Model</w:t>
      </w:r>
    </w:p>
    <w:p w:rsidR="0071133C" w:rsidRPr="001562D4" w:rsidRDefault="0071133C" w:rsidP="0071133C">
      <w:pPr>
        <w:pStyle w:val="ListNumber"/>
        <w:numPr>
          <w:ilvl w:val="1"/>
          <w:numId w:val="24"/>
        </w:numPr>
      </w:pPr>
      <w:r>
        <w:t>The Dividend Growth Model</w:t>
      </w:r>
    </w:p>
    <w:p w:rsidR="0071133C" w:rsidRDefault="0071133C" w:rsidP="0071133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71133C" w:rsidRPr="001562D4" w:rsidRDefault="0071133C" w:rsidP="0071133C">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27"/>
      </w:r>
      <w:r>
        <w:t xml:space="preserve"> </w:t>
      </w:r>
    </w:p>
    <w:p w:rsidR="0071133C" w:rsidRPr="0071133C" w:rsidRDefault="0071133C" w:rsidP="0071133C">
      <w:pPr>
        <w:pStyle w:val="AERbulletlistfirststyle"/>
      </w:pPr>
      <w:r>
        <w:t>e</w:t>
      </w:r>
      <w:r w:rsidRPr="0071133C">
        <w:t>stimating their proposed return on equity as part of a multi-model approach, or to inform input parameters into the Sharpe-Lintner CAPM, and/or</w:t>
      </w:r>
    </w:p>
    <w:p w:rsidR="0071133C" w:rsidRPr="0071133C" w:rsidRDefault="0071133C" w:rsidP="0071133C">
      <w:pPr>
        <w:pStyle w:val="AERbulletlistfirststyle"/>
      </w:pPr>
      <w:r>
        <w:t xml:space="preserve">providing </w:t>
      </w:r>
      <w:r w:rsidRPr="0071133C">
        <w:t xml:space="preserve">evidentiary support that their estimate of the return on equity is reasonable and will contribute to the achievement of the </w:t>
      </w:r>
      <w:r w:rsidR="0068661A">
        <w:t>ARORO</w:t>
      </w:r>
      <w:r w:rsidRPr="0071133C">
        <w:t>.</w:t>
      </w:r>
    </w:p>
    <w:p w:rsidR="0071133C" w:rsidRDefault="0071133C" w:rsidP="0071133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71133C" w:rsidRDefault="0071133C" w:rsidP="0071133C">
      <w:pPr>
        <w:pStyle w:val="Heading8"/>
      </w:pPr>
      <w:bookmarkStart w:id="120" w:name="_Toc443923187"/>
      <w:bookmarkStart w:id="121" w:name="_Ref445849366"/>
      <w:bookmarkStart w:id="122" w:name="_Ref451691679"/>
      <w:bookmarkStart w:id="123" w:name="_Ref451691691"/>
      <w:bookmarkStart w:id="124" w:name="_Toc451943786"/>
      <w:r>
        <w:t>Sharpe-Lintner CAPM</w:t>
      </w:r>
      <w:bookmarkEnd w:id="120"/>
      <w:bookmarkEnd w:id="121"/>
      <w:bookmarkEnd w:id="122"/>
      <w:bookmarkEnd w:id="123"/>
      <w:bookmarkEnd w:id="124"/>
    </w:p>
    <w:p w:rsidR="0071133C" w:rsidRPr="001562D4" w:rsidRDefault="0071133C" w:rsidP="0071133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28"/>
      </w:r>
    </w:p>
    <w:p w:rsidR="0071133C" w:rsidRDefault="0071133C" w:rsidP="0071133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29"/>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71133C" w:rsidRPr="001562D4" w:rsidRDefault="0071133C" w:rsidP="0071133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30"/>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31"/>
      </w:r>
    </w:p>
    <w:p w:rsidR="0071133C" w:rsidRPr="001562D4" w:rsidRDefault="0071133C" w:rsidP="0071133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32"/>
      </w:r>
      <w:r>
        <w:t xml:space="preserve"> We consider the model:</w:t>
      </w:r>
    </w:p>
    <w:p w:rsidR="0071133C" w:rsidRPr="0071133C" w:rsidRDefault="0071133C" w:rsidP="0071133C">
      <w:pPr>
        <w:pStyle w:val="AERbulletlistfirststyle"/>
      </w:pPr>
      <w:r w:rsidRPr="001562D4">
        <w:t>is reflective of economic and finance pri</w:t>
      </w:r>
      <w:r w:rsidRPr="0071133C">
        <w:t>nciples and market information</w:t>
      </w:r>
    </w:p>
    <w:p w:rsidR="0071133C" w:rsidRPr="0071133C" w:rsidRDefault="0071133C" w:rsidP="0071133C">
      <w:pPr>
        <w:pStyle w:val="AERbulletlistfirststyle"/>
      </w:pPr>
      <w:r w:rsidRPr="001562D4">
        <w:t xml:space="preserve">is fit for purpose as it was developed for </w:t>
      </w:r>
      <w:r w:rsidRPr="0071133C">
        <w:t>estimating the cost of capital</w:t>
      </w:r>
    </w:p>
    <w:p w:rsidR="0071133C" w:rsidRPr="0071133C" w:rsidRDefault="0071133C" w:rsidP="0071133C">
      <w:pPr>
        <w:pStyle w:val="AERbulletlistfirststyle"/>
      </w:pPr>
      <w:r w:rsidRPr="001562D4">
        <w:t>can be implemented in accordance with good pr</w:t>
      </w:r>
      <w:r w:rsidRPr="0071133C">
        <w:t>actice</w:t>
      </w:r>
    </w:p>
    <w:p w:rsidR="0071133C" w:rsidRPr="0071133C" w:rsidRDefault="0071133C" w:rsidP="0071133C">
      <w:pPr>
        <w:pStyle w:val="AERbulletlistfirststyle"/>
      </w:pPr>
      <w:r w:rsidRPr="001562D4">
        <w:t>is not unduly sensitive to errors in</w:t>
      </w:r>
      <w:r w:rsidRPr="0071133C">
        <w:t xml:space="preserve"> inputs or arbitrary filtering</w:t>
      </w:r>
    </w:p>
    <w:p w:rsidR="0071133C" w:rsidRPr="0071133C" w:rsidRDefault="0071133C" w:rsidP="0071133C">
      <w:pPr>
        <w:pStyle w:val="AERbulletlistfirststyle"/>
      </w:pPr>
      <w:r w:rsidRPr="001562D4">
        <w:t xml:space="preserve">uses input data that is credible and verifiable, comparable and </w:t>
      </w:r>
      <w:r w:rsidRPr="0071133C">
        <w:t>timely and clearly sourced</w:t>
      </w:r>
    </w:p>
    <w:p w:rsidR="0071133C" w:rsidRPr="0071133C" w:rsidRDefault="0071133C" w:rsidP="0071133C">
      <w:pPr>
        <w:pStyle w:val="AERbulletlistfirststyle"/>
      </w:pPr>
      <w:r w:rsidRPr="001562D4">
        <w:t>is sufficiently flexible to allow for changing market conditions and new information to be reflected in regul</w:t>
      </w:r>
      <w:r w:rsidRPr="0071133C">
        <w:t>atory outcomes, as appropriate.</w:t>
      </w:r>
    </w:p>
    <w:p w:rsidR="0071133C" w:rsidRPr="006C4D93" w:rsidRDefault="0071133C" w:rsidP="0071133C">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33"/>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71133C" w:rsidRPr="001562D4" w:rsidRDefault="0071133C" w:rsidP="0071133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34"/>
      </w:r>
    </w:p>
    <w:p w:rsidR="0071133C" w:rsidRPr="0071133C" w:rsidRDefault="0071133C" w:rsidP="0071133C">
      <w:pPr>
        <w:pStyle w:val="AERbulletlistfirststyle"/>
      </w:pPr>
      <w:r>
        <w:t>A</w:t>
      </w:r>
      <w:r w:rsidRPr="0071133C">
        <w:t>s the foundation model it, 'provides a starting point, which is firmly based in a mature and well accepted theoretical and empirical literature'.</w:t>
      </w:r>
    </w:p>
    <w:p w:rsidR="0071133C" w:rsidRPr="0071133C" w:rsidRDefault="0071133C" w:rsidP="0071133C">
      <w:pPr>
        <w:pStyle w:val="AERbulletlistfirststyle"/>
      </w:pPr>
      <w:r w:rsidRPr="001562D4">
        <w:t>Its efficacy comes from surviving the test of time</w:t>
      </w:r>
      <w:r w:rsidRPr="0071133C">
        <w:t>. They noted the 'model has been around for in excess of half a century and has become the standard workhorse model of modern finance both in theory and practice'.</w:t>
      </w:r>
    </w:p>
    <w:p w:rsidR="0071133C" w:rsidRPr="0071133C" w:rsidRDefault="0071133C" w:rsidP="0071133C">
      <w:pPr>
        <w:pStyle w:val="AERbulletlistfirststyle"/>
      </w:pPr>
      <w:r>
        <w:t>Its '</w:t>
      </w:r>
      <w:r w:rsidRPr="0071133C">
        <w:t>place as the foundation model is justifiable in terms of its simple theoretical underpinnings and relative ease of application'.</w:t>
      </w:r>
    </w:p>
    <w:p w:rsidR="0071133C" w:rsidRPr="0071133C" w:rsidRDefault="0071133C" w:rsidP="0071133C">
      <w:pPr>
        <w:pStyle w:val="AERbulletlistfirststyle"/>
      </w:pPr>
      <w:r>
        <w:t>T</w:t>
      </w:r>
      <w:r w:rsidRPr="0071133C">
        <w:t>he majority of international regulators primarily base their decision on the Sharpe-Lintner CAPM framework.</w:t>
      </w:r>
    </w:p>
    <w:p w:rsidR="0071133C" w:rsidRPr="001562D4" w:rsidRDefault="0071133C" w:rsidP="0071133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35"/>
      </w:r>
    </w:p>
    <w:p w:rsidR="0071133C" w:rsidRPr="0071133C" w:rsidRDefault="0071133C" w:rsidP="0071133C">
      <w:pPr>
        <w:pStyle w:val="AERbulletlistfirststyle"/>
      </w:pPr>
      <w:r w:rsidRPr="001562D4">
        <w:t xml:space="preserve">lead to a reasonable estimate of the </w:t>
      </w:r>
      <w:r w:rsidRPr="0071133C">
        <w:t>return on equity</w:t>
      </w:r>
    </w:p>
    <w:p w:rsidR="0071133C" w:rsidRPr="0071133C" w:rsidRDefault="0071133C" w:rsidP="0071133C">
      <w:pPr>
        <w:pStyle w:val="AERbulletlistfirststyle"/>
      </w:pPr>
      <w:r w:rsidRPr="001562D4">
        <w:t xml:space="preserve">lead to a </w:t>
      </w:r>
      <w:r w:rsidRPr="0071133C">
        <w:t>rate of return that meets the allowed rate of return objective</w:t>
      </w:r>
    </w:p>
    <w:p w:rsidR="0071133C" w:rsidRPr="0071133C" w:rsidRDefault="0071133C" w:rsidP="0071133C">
      <w:pPr>
        <w:pStyle w:val="AERbulletlistfirststyle"/>
      </w:pPr>
      <w:r w:rsidRPr="001562D4">
        <w:t>not lead to a downward biased estimate of the cost of equity fo</w:t>
      </w:r>
      <w:r w:rsidRPr="0071133C">
        <w:t>r a benchmark efficient entity.</w:t>
      </w:r>
    </w:p>
    <w:p w:rsidR="0071133C" w:rsidRDefault="0071133C" w:rsidP="0071133C">
      <w:pPr>
        <w:pStyle w:val="AERbulletlistfirststyle"/>
        <w:numPr>
          <w:ilvl w:val="0"/>
          <w:numId w:val="24"/>
        </w:numPr>
      </w:pPr>
      <w:r>
        <w:t>In relation to the Sharpe-Lintner CAPM, Partington and Satchell noted:</w:t>
      </w:r>
      <w:r>
        <w:rPr>
          <w:rStyle w:val="FootnoteReference"/>
        </w:rPr>
        <w:footnoteReference w:id="636"/>
      </w:r>
      <w:r>
        <w:t xml:space="preserve"> </w:t>
      </w:r>
    </w:p>
    <w:p w:rsidR="0071133C" w:rsidRPr="0071133C" w:rsidRDefault="0071133C" w:rsidP="0071133C">
      <w:pPr>
        <w:pStyle w:val="AERbulletlistfirststyle"/>
      </w:pPr>
      <w:r>
        <w:t>The model is 'ubiquitous in relation to the estimation of the cost of equity' and 'the same cannot be said for the alternative models proposed by the regulated businesses.</w:t>
      </w:r>
      <w:r w:rsidRPr="0071133C">
        <w:rPr>
          <w:rStyle w:val="FootnoteReference"/>
        </w:rPr>
        <w:footnoteReference w:id="637"/>
      </w:r>
    </w:p>
    <w:p w:rsidR="0071133C" w:rsidRPr="0071133C" w:rsidRDefault="0071133C" w:rsidP="0071133C">
      <w:pPr>
        <w:pStyle w:val="AERbulletlistfirststyle"/>
      </w:pPr>
      <w:r>
        <w:t xml:space="preserve">It is 'widely used and understood'. </w:t>
      </w:r>
    </w:p>
    <w:p w:rsidR="0071133C" w:rsidRPr="0071133C" w:rsidRDefault="0071133C" w:rsidP="0071133C">
      <w:pPr>
        <w:pStyle w:val="AERbulletlistfirststyle"/>
      </w:pPr>
      <w:r>
        <w:t xml:space="preserve">The model has passed the test of time and 'has had several decades of widespread practical use in estimating the cost of capital'. </w:t>
      </w:r>
    </w:p>
    <w:p w:rsidR="0071133C" w:rsidRDefault="0071133C" w:rsidP="0071133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38"/>
      </w:r>
      <w:r>
        <w:t xml:space="preserve"> He noted:</w:t>
      </w:r>
      <w:r w:rsidRPr="00B310A9">
        <w:rPr>
          <w:rStyle w:val="FootnoteReference"/>
        </w:rPr>
        <w:t xml:space="preserve"> </w:t>
      </w:r>
      <w:r>
        <w:rPr>
          <w:rStyle w:val="FootnoteReference"/>
        </w:rPr>
        <w:footnoteReference w:id="639"/>
      </w:r>
    </w:p>
    <w:p w:rsidR="0071133C" w:rsidRDefault="0071133C" w:rsidP="0071133C">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71133C" w:rsidRDefault="0071133C" w:rsidP="0071133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40"/>
      </w:r>
      <w:r>
        <w:t xml:space="preserve"> These submissions are detailed in section </w:t>
      </w:r>
      <w:r>
        <w:fldChar w:fldCharType="begin"/>
      </w:r>
      <w:r>
        <w:instrText xml:space="preserve"> REF _Ref449004907 \r \h </w:instrText>
      </w:r>
      <w:r>
        <w:fldChar w:fldCharType="separate"/>
      </w:r>
      <w:r w:rsidR="000230CB">
        <w:t>B.1.1</w:t>
      </w:r>
      <w:r>
        <w:fldChar w:fldCharType="end"/>
      </w:r>
      <w:r>
        <w:t>.</w:t>
      </w:r>
    </w:p>
    <w:p w:rsidR="0071133C" w:rsidRDefault="0071133C" w:rsidP="0071133C">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41"/>
      </w:r>
      <w:r>
        <w:t xml:space="preserve"> Service providers also resubmitted these positions in their submissions on other service providers' regulatory proposals.</w:t>
      </w:r>
      <w:r>
        <w:rPr>
          <w:rStyle w:val="FootnoteReference"/>
        </w:rPr>
        <w:footnoteReference w:id="642"/>
      </w:r>
      <w:r w:rsidRPr="001562D4">
        <w:t xml:space="preserve"> </w:t>
      </w:r>
    </w:p>
    <w:p w:rsidR="0071133C" w:rsidRDefault="0071133C" w:rsidP="0071133C">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643"/>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644"/>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645"/>
      </w:r>
      <w:r>
        <w:t xml:space="preserve"> </w:t>
      </w:r>
    </w:p>
    <w:p w:rsidR="0071133C" w:rsidRDefault="0071133C" w:rsidP="0071133C">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71133C" w:rsidRPr="0071133C" w:rsidRDefault="0071133C" w:rsidP="0071133C">
      <w:pPr>
        <w:pStyle w:val="AERbulletlistfirststyle"/>
      </w:pPr>
      <w:r w:rsidRPr="00787D60">
        <w:t>Studies of ex post performance of the S</w:t>
      </w:r>
      <w:r w:rsidRPr="0071133C">
        <w:t>harpe-Lintner CAPM.</w:t>
      </w:r>
      <w:r w:rsidRPr="0071133C">
        <w:rPr>
          <w:rStyle w:val="FootnoteReference"/>
        </w:rPr>
        <w:footnoteReference w:id="646"/>
      </w:r>
      <w:r w:rsidRPr="0071133C">
        <w:t xml:space="preserve"> Frontier and NERA submitted that empirical tests reject the model and that it performs poorly relative to the other models.</w:t>
      </w:r>
      <w:r w:rsidRPr="0071133C">
        <w:rPr>
          <w:rStyle w:val="FootnoteReference"/>
        </w:rPr>
        <w:footnoteReference w:id="647"/>
      </w:r>
      <w:r w:rsidRPr="0071133C">
        <w:t xml:space="preserve"> </w:t>
      </w:r>
    </w:p>
    <w:p w:rsidR="0071133C" w:rsidRPr="0071133C" w:rsidRDefault="0071133C" w:rsidP="0071133C">
      <w:pPr>
        <w:pStyle w:val="AERbulletlistfirststyle"/>
      </w:pPr>
      <w:r w:rsidRPr="00787D60">
        <w:t xml:space="preserve">Other direct estimates of the </w:t>
      </w:r>
      <w:r w:rsidRPr="0071133C">
        <w:t>return on equity from the Black CAPM, Fama-French model, and dividend growth model.</w:t>
      </w:r>
      <w:r w:rsidRPr="0071133C">
        <w:rPr>
          <w:rStyle w:val="FootnoteReference"/>
        </w:rPr>
        <w:footnoteReference w:id="648"/>
      </w:r>
      <w:r w:rsidRPr="0071133C">
        <w:t xml:space="preserve"> Service providers submitted:</w:t>
      </w:r>
    </w:p>
    <w:p w:rsidR="0071133C" w:rsidRDefault="0071133C" w:rsidP="0071133C">
      <w:pPr>
        <w:pStyle w:val="AERbulletlistsecondstyle"/>
      </w:pPr>
      <w:r>
        <w:t>the Black CAPM as evidence that the Sharpe-Lintner CAPM displays low beta bias</w:t>
      </w:r>
    </w:p>
    <w:p w:rsidR="0071133C" w:rsidRDefault="0071133C" w:rsidP="0071133C">
      <w:pPr>
        <w:pStyle w:val="AERbulletlistsecondstyle"/>
      </w:pPr>
      <w:r>
        <w:t>the Fama-French model as evidence that the Sharpe-Lintner CAPM displays book-to-market bias</w:t>
      </w:r>
    </w:p>
    <w:p w:rsidR="0071133C" w:rsidRPr="006C4D93" w:rsidRDefault="0071133C" w:rsidP="0071133C">
      <w:pPr>
        <w:pStyle w:val="AERbulletlistsecondstyle"/>
      </w:pPr>
      <w:r>
        <w:t>the dividend growth model as evidence that the Sharpe-Lintner CAPM, as applied by the AER, is not reflective of prevailing market conditions.</w:t>
      </w:r>
    </w:p>
    <w:p w:rsidR="0071133C" w:rsidRDefault="0071133C" w:rsidP="0071133C">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0230CB">
        <w:t>B.1.3</w:t>
      </w:r>
      <w:r>
        <w:fldChar w:fldCharType="end"/>
      </w:r>
      <w:r>
        <w:t xml:space="preserve"> and </w:t>
      </w:r>
      <w:r>
        <w:fldChar w:fldCharType="begin"/>
      </w:r>
      <w:r>
        <w:instrText xml:space="preserve"> REF _Ref449004969 \r \h </w:instrText>
      </w:r>
      <w:r>
        <w:fldChar w:fldCharType="separate"/>
      </w:r>
      <w:r w:rsidR="000230CB">
        <w:t>B.1.2</w:t>
      </w:r>
      <w:r>
        <w:fldChar w:fldCharType="end"/>
      </w:r>
      <w:r>
        <w:t xml:space="preserve"> below.</w:t>
      </w:r>
    </w:p>
    <w:p w:rsidR="0071133C" w:rsidRDefault="0071133C" w:rsidP="0071133C">
      <w:pPr>
        <w:numPr>
          <w:ilvl w:val="0"/>
          <w:numId w:val="24"/>
        </w:numPr>
      </w:pPr>
      <w:r>
        <w:t>The</w:t>
      </w:r>
      <w:r w:rsidRPr="00787D60">
        <w:t xml:space="preserve"> key submissions on these points</w:t>
      </w:r>
      <w:r>
        <w:t xml:space="preserve"> were considered in our draft decision for AGN,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649"/>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71133C" w:rsidRPr="00663DB7" w:rsidRDefault="0071133C" w:rsidP="0071133C">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50"/>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51"/>
      </w:r>
    </w:p>
    <w:p w:rsidR="0071133C" w:rsidRPr="00B4711B" w:rsidRDefault="0071133C" w:rsidP="0071133C">
      <w:pPr>
        <w:pStyle w:val="Heading9"/>
      </w:pPr>
      <w:bookmarkStart w:id="125" w:name="_Ref449004907"/>
      <w:r>
        <w:t>Submissions supporting the use of the Sharpe-Lintner CAPM as the foundation model</w:t>
      </w:r>
      <w:bookmarkEnd w:id="125"/>
    </w:p>
    <w:p w:rsidR="0071133C" w:rsidRPr="001562D4" w:rsidRDefault="0071133C" w:rsidP="0071133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52"/>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53"/>
      </w:r>
      <w:r w:rsidRPr="001562D4">
        <w:t xml:space="preserve"> </w:t>
      </w:r>
      <w:r>
        <w:fldChar w:fldCharType="begin"/>
      </w:r>
      <w:r>
        <w:instrText xml:space="preserve"> REF _Ref433137654 \h </w:instrText>
      </w:r>
      <w:r>
        <w:fldChar w:fldCharType="separate"/>
      </w:r>
      <w:r w:rsidR="000230CB">
        <w:t xml:space="preserve">Table </w:t>
      </w:r>
      <w:r w:rsidR="000230CB">
        <w:rPr>
          <w:noProof/>
        </w:rPr>
        <w:t>3</w:t>
      </w:r>
      <w:r w:rsidR="000230CB">
        <w:noBreakHyphen/>
      </w:r>
      <w:r w:rsidR="000230CB">
        <w:rPr>
          <w:noProof/>
        </w:rPr>
        <w:t>26</w:t>
      </w:r>
      <w:r>
        <w:fldChar w:fldCharType="end"/>
      </w:r>
      <w:r>
        <w:t xml:space="preserve"> summarises a</w:t>
      </w:r>
      <w:r w:rsidRPr="001562D4">
        <w:t xml:space="preserve"> number of these submissions</w:t>
      </w:r>
      <w:r>
        <w:t>.</w:t>
      </w:r>
      <w:r w:rsidRPr="001562D4">
        <w:t xml:space="preserve"> </w:t>
      </w:r>
    </w:p>
    <w:p w:rsidR="0071133C" w:rsidRPr="001562D4" w:rsidRDefault="0071133C" w:rsidP="0071133C">
      <w:pPr>
        <w:pStyle w:val="Caption"/>
      </w:pPr>
      <w:bookmarkStart w:id="126" w:name="_Ref433137654"/>
      <w:r>
        <w:t xml:space="preserve">Table </w:t>
      </w:r>
      <w:r w:rsidRPr="00421894">
        <w:fldChar w:fldCharType="begin"/>
      </w:r>
      <w:r>
        <w:instrText xml:space="preserve"> STYLEREF 1 \s </w:instrText>
      </w:r>
      <w:r w:rsidRPr="00421894">
        <w:fldChar w:fldCharType="separate"/>
      </w:r>
      <w:r w:rsidR="000230CB">
        <w:rPr>
          <w:noProof/>
        </w:rPr>
        <w:t>3</w:t>
      </w:r>
      <w:r w:rsidRPr="00421894">
        <w:fldChar w:fldCharType="end"/>
      </w:r>
      <w:r>
        <w:noBreakHyphen/>
      </w:r>
      <w:r w:rsidRPr="00421894">
        <w:fldChar w:fldCharType="begin"/>
      </w:r>
      <w:r>
        <w:instrText xml:space="preserve"> SEQ Table \* ARABIC \s 1 </w:instrText>
      </w:r>
      <w:r w:rsidRPr="00421894">
        <w:fldChar w:fldCharType="separate"/>
      </w:r>
      <w:r w:rsidR="000230CB">
        <w:rPr>
          <w:noProof/>
        </w:rPr>
        <w:t>26</w:t>
      </w:r>
      <w:r w:rsidRPr="00421894">
        <w:fldChar w:fldCharType="end"/>
      </w:r>
      <w:bookmarkEnd w:id="126"/>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71133C" w:rsidRPr="001848E2" w:rsidTr="00630E2D">
        <w:trPr>
          <w:cnfStyle w:val="100000000000" w:firstRow="1" w:lastRow="0" w:firstColumn="0" w:lastColumn="0" w:oddVBand="0" w:evenVBand="0" w:oddHBand="0" w:evenHBand="0" w:firstRowFirstColumn="0" w:firstRowLastColumn="0" w:lastRowFirstColumn="0" w:lastRowLastColumn="0"/>
          <w:tblHeader/>
        </w:trPr>
        <w:tc>
          <w:tcPr>
            <w:tcW w:w="1605" w:type="dxa"/>
          </w:tcPr>
          <w:p w:rsidR="0071133C" w:rsidRPr="0071133C" w:rsidRDefault="0071133C" w:rsidP="00BC70E6">
            <w:r w:rsidRPr="001562D4">
              <w:t>Stakeholder</w:t>
            </w:r>
          </w:p>
        </w:tc>
        <w:tc>
          <w:tcPr>
            <w:tcW w:w="7088" w:type="dxa"/>
          </w:tcPr>
          <w:p w:rsidR="0071133C" w:rsidRPr="0071133C" w:rsidRDefault="0071133C" w:rsidP="00BC70E6">
            <w:r w:rsidRPr="001562D4">
              <w:t>Submission</w:t>
            </w:r>
          </w:p>
        </w:tc>
      </w:tr>
      <w:tr w:rsidR="0071133C" w:rsidRPr="001848E2" w:rsidTr="00630E2D">
        <w:tc>
          <w:tcPr>
            <w:tcW w:w="1605" w:type="dxa"/>
          </w:tcPr>
          <w:p w:rsidR="0071133C" w:rsidRPr="0071133C" w:rsidRDefault="0071133C" w:rsidP="00BC70E6">
            <w:r w:rsidRPr="001562D4">
              <w:t>AGL</w:t>
            </w:r>
          </w:p>
        </w:tc>
        <w:tc>
          <w:tcPr>
            <w:tcW w:w="7088" w:type="dxa"/>
          </w:tcPr>
          <w:p w:rsidR="0071133C" w:rsidRPr="0071133C" w:rsidRDefault="0071133C" w:rsidP="00BC70E6">
            <w:r w:rsidRPr="00B54D67">
              <w:t>AGL</w:t>
            </w:r>
            <w:r w:rsidRPr="0071133C">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71133C">
              <w:rPr>
                <w:rStyle w:val="FootnoteReference"/>
              </w:rPr>
              <w:footnoteReference w:id="654"/>
            </w:r>
          </w:p>
        </w:tc>
      </w:tr>
      <w:tr w:rsidR="0071133C" w:rsidRPr="001848E2" w:rsidTr="00630E2D">
        <w:trPr>
          <w:cnfStyle w:val="000000010000" w:firstRow="0" w:lastRow="0" w:firstColumn="0" w:lastColumn="0" w:oddVBand="0" w:evenVBand="0" w:oddHBand="0" w:evenHBand="1" w:firstRowFirstColumn="0" w:firstRowLastColumn="0" w:lastRowFirstColumn="0" w:lastRowLastColumn="0"/>
        </w:trPr>
        <w:tc>
          <w:tcPr>
            <w:tcW w:w="1605" w:type="dxa"/>
          </w:tcPr>
          <w:p w:rsidR="0071133C" w:rsidRPr="0071133C" w:rsidRDefault="0071133C" w:rsidP="00BC70E6">
            <w:r>
              <w:t xml:space="preserve">Alternative </w:t>
            </w:r>
            <w:r w:rsidRPr="0071133C">
              <w:t>Technologies Association (ATA)</w:t>
            </w:r>
          </w:p>
        </w:tc>
        <w:tc>
          <w:tcPr>
            <w:tcW w:w="7088" w:type="dxa"/>
          </w:tcPr>
          <w:p w:rsidR="0071133C" w:rsidRPr="0071133C" w:rsidDel="00433B42" w:rsidRDefault="0071133C" w:rsidP="00BC70E6">
            <w:r w:rsidRPr="00D5494F">
              <w:t>ATA expect</w:t>
            </w:r>
            <w:r w:rsidRPr="0071133C">
              <w:t>ed our determinations to be consistent with our recent decisions and provide for a lower rate of return.</w:t>
            </w:r>
            <w:r w:rsidRPr="0071133C">
              <w:rPr>
                <w:rStyle w:val="FootnoteReference"/>
              </w:rPr>
              <w:footnoteReference w:id="655"/>
            </w:r>
          </w:p>
        </w:tc>
      </w:tr>
      <w:tr w:rsidR="0071133C" w:rsidRPr="001848E2" w:rsidTr="00630E2D">
        <w:tc>
          <w:tcPr>
            <w:tcW w:w="1605" w:type="dxa"/>
          </w:tcPr>
          <w:p w:rsidR="0071133C" w:rsidRPr="0071133C" w:rsidRDefault="0071133C" w:rsidP="00BC70E6">
            <w:r>
              <w:t>Business South Australia</w:t>
            </w:r>
          </w:p>
        </w:tc>
        <w:tc>
          <w:tcPr>
            <w:tcW w:w="7088" w:type="dxa"/>
          </w:tcPr>
          <w:p w:rsidR="0071133C" w:rsidRPr="0071133C" w:rsidRDefault="0071133C" w:rsidP="00BC70E6">
            <w:r>
              <w:t>Business SA support</w:t>
            </w:r>
            <w:r w:rsidRPr="0071133C">
              <w:t>ed our decision not to depart from its rate of return guideline.</w:t>
            </w:r>
            <w:r w:rsidRPr="0071133C">
              <w:rPr>
                <w:rStyle w:val="FootnoteReference"/>
              </w:rPr>
              <w:footnoteReference w:id="656"/>
            </w:r>
          </w:p>
        </w:tc>
      </w:tr>
      <w:tr w:rsidR="0071133C" w:rsidRPr="001848E2" w:rsidTr="00630E2D">
        <w:trPr>
          <w:cnfStyle w:val="000000010000" w:firstRow="0" w:lastRow="0" w:firstColumn="0" w:lastColumn="0" w:oddVBand="0" w:evenVBand="0" w:oddHBand="0" w:evenHBand="1" w:firstRowFirstColumn="0" w:firstRowLastColumn="0" w:lastRowFirstColumn="0" w:lastRowLastColumn="0"/>
        </w:trPr>
        <w:tc>
          <w:tcPr>
            <w:tcW w:w="1605" w:type="dxa"/>
          </w:tcPr>
          <w:p w:rsidR="0071133C" w:rsidRPr="0071133C" w:rsidRDefault="0071133C" w:rsidP="00BC70E6">
            <w:r>
              <w:t>The Consumer Utilities Advocacy Centre (CUAC)</w:t>
            </w:r>
          </w:p>
        </w:tc>
        <w:tc>
          <w:tcPr>
            <w:tcW w:w="7088" w:type="dxa"/>
          </w:tcPr>
          <w:p w:rsidR="0071133C" w:rsidRPr="0071133C" w:rsidRDefault="0071133C" w:rsidP="00BC70E6">
            <w:r>
              <w:t>The Consumer Utilities Advocacy Centre submit</w:t>
            </w:r>
            <w:r w:rsidRPr="0071133C">
              <w:t>ted that the weighted average cost of capital proposals from distributors are excessive, and encourages us to instead apply the methodology of the Guideline in estimating a fair rate of return.</w:t>
            </w:r>
            <w:r w:rsidRPr="0071133C">
              <w:rPr>
                <w:rStyle w:val="FootnoteReference"/>
              </w:rPr>
              <w:footnoteReference w:id="657"/>
            </w:r>
          </w:p>
        </w:tc>
      </w:tr>
      <w:tr w:rsidR="0071133C" w:rsidRPr="001848E2" w:rsidTr="00630E2D">
        <w:tc>
          <w:tcPr>
            <w:tcW w:w="1605" w:type="dxa"/>
          </w:tcPr>
          <w:p w:rsidR="0071133C" w:rsidRPr="0071133C" w:rsidRDefault="0071133C" w:rsidP="00BC70E6">
            <w:r>
              <w:t>Consumer Challenge Panel (</w:t>
            </w:r>
            <w:r w:rsidRPr="0071133C">
              <w:t>CCP)</w:t>
            </w:r>
          </w:p>
        </w:tc>
        <w:tc>
          <w:tcPr>
            <w:tcW w:w="7088" w:type="dxa"/>
          </w:tcPr>
          <w:p w:rsidR="0071133C" w:rsidRPr="0071133C" w:rsidRDefault="0071133C" w:rsidP="00BC70E6">
            <w:r>
              <w:t>The CCP wa</w:t>
            </w:r>
            <w:r w:rsidRPr="0071133C">
              <w:t>s unconvinced by arguments from the service providers' various consultants' reports urging us to use models other than the Sharpe-Lintner CAPM for calculating the rate of return. The CCP considered that these alternative models are currently not being utilized by academics nor valuation practitioners.</w:t>
            </w:r>
            <w:r w:rsidRPr="0071133C">
              <w:rPr>
                <w:rStyle w:val="FootnoteReference"/>
              </w:rPr>
              <w:footnoteReference w:id="658"/>
            </w:r>
            <w:r w:rsidRPr="0071133C">
              <w:t xml:space="preserve"> </w:t>
            </w:r>
          </w:p>
        </w:tc>
      </w:tr>
      <w:tr w:rsidR="0071133C" w:rsidRPr="001848E2" w:rsidTr="00630E2D">
        <w:trPr>
          <w:cnfStyle w:val="000000010000" w:firstRow="0" w:lastRow="0" w:firstColumn="0" w:lastColumn="0" w:oddVBand="0" w:evenVBand="0" w:oddHBand="0" w:evenHBand="1" w:firstRowFirstColumn="0" w:firstRowLastColumn="0" w:lastRowFirstColumn="0" w:lastRowLastColumn="0"/>
        </w:trPr>
        <w:tc>
          <w:tcPr>
            <w:tcW w:w="1605" w:type="dxa"/>
          </w:tcPr>
          <w:p w:rsidR="0071133C" w:rsidRPr="0071133C" w:rsidRDefault="0071133C" w:rsidP="00BC70E6">
            <w:r w:rsidRPr="00202838">
              <w:t>Energy Consumers Coalition of SA (ECCSA)</w:t>
            </w:r>
          </w:p>
        </w:tc>
        <w:tc>
          <w:tcPr>
            <w:tcW w:w="7088" w:type="dxa"/>
          </w:tcPr>
          <w:p w:rsidR="0071133C" w:rsidRPr="0071133C" w:rsidRDefault="0071133C" w:rsidP="00BC70E6">
            <w:r>
              <w:t>The Energy Consumers Coalition of SA</w:t>
            </w:r>
            <w:r w:rsidRPr="0071133C">
              <w:t xml:space="preserve">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71133C">
              <w:rPr>
                <w:rStyle w:val="FootnoteReference"/>
              </w:rPr>
              <w:footnoteReference w:id="659"/>
            </w:r>
          </w:p>
          <w:p w:rsidR="0071133C" w:rsidRPr="0071133C" w:rsidRDefault="0071133C" w:rsidP="00BC70E6">
            <w:r>
              <w:t xml:space="preserve">The </w:t>
            </w:r>
            <w:r w:rsidRPr="0071133C">
              <w:t>ECCSA is concerned with AGN's equity modelling framework, which the ECCSA consider to be arbitrary and includes weighting for models that have not met the tests of transparency, repeatability and validity in the Australian context.</w:t>
            </w:r>
          </w:p>
          <w:p w:rsidR="0071133C" w:rsidRPr="0071133C" w:rsidRDefault="0071133C" w:rsidP="00BC70E6">
            <w:r w:rsidRPr="00D57CEF">
              <w:t xml:space="preserve">The </w:t>
            </w:r>
            <w:r w:rsidRPr="0071133C">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71133C">
              <w:rPr>
                <w:rStyle w:val="FootnoteReference"/>
              </w:rPr>
              <w:footnoteReference w:id="660"/>
            </w:r>
          </w:p>
        </w:tc>
      </w:tr>
      <w:tr w:rsidR="0071133C" w:rsidRPr="001848E2" w:rsidTr="00630E2D">
        <w:tc>
          <w:tcPr>
            <w:tcW w:w="1605" w:type="dxa"/>
          </w:tcPr>
          <w:p w:rsidR="0071133C" w:rsidRPr="0071133C" w:rsidRDefault="0071133C" w:rsidP="00BC70E6">
            <w:r>
              <w:t>The</w:t>
            </w:r>
            <w:r w:rsidRPr="0071133C">
              <w:t xml:space="preserve"> Energy Retailers Association of Australia (ERAA)</w:t>
            </w:r>
          </w:p>
        </w:tc>
        <w:tc>
          <w:tcPr>
            <w:tcW w:w="7088" w:type="dxa"/>
          </w:tcPr>
          <w:p w:rsidR="0071133C" w:rsidRPr="0071133C" w:rsidRDefault="0071133C" w:rsidP="00527450">
            <w:r>
              <w:t>ERAA support</w:t>
            </w:r>
            <w:r w:rsidRPr="0071133C">
              <w:t xml:space="preserve">ed our proposed methodology and determination in relation to the rate of return. It believed our </w:t>
            </w:r>
            <w:r w:rsidR="00527450">
              <w:t>prelimiary</w:t>
            </w:r>
            <w:r w:rsidRPr="0071133C">
              <w:t xml:space="preserve">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71133C">
              <w:rPr>
                <w:rStyle w:val="FootnoteReference"/>
              </w:rPr>
              <w:footnoteReference w:id="661"/>
            </w:r>
          </w:p>
        </w:tc>
      </w:tr>
      <w:tr w:rsidR="0071133C" w:rsidRPr="001848E2" w:rsidTr="00630E2D">
        <w:trPr>
          <w:cnfStyle w:val="000000010000" w:firstRow="0" w:lastRow="0" w:firstColumn="0" w:lastColumn="0" w:oddVBand="0" w:evenVBand="0" w:oddHBand="0" w:evenHBand="1" w:firstRowFirstColumn="0" w:firstRowLastColumn="0" w:lastRowFirstColumn="0" w:lastRowLastColumn="0"/>
        </w:trPr>
        <w:tc>
          <w:tcPr>
            <w:tcW w:w="1605" w:type="dxa"/>
          </w:tcPr>
          <w:p w:rsidR="0071133C" w:rsidRPr="0071133C" w:rsidRDefault="0071133C" w:rsidP="00BC70E6">
            <w:r w:rsidRPr="001562D4">
              <w:t xml:space="preserve">The Energy </w:t>
            </w:r>
            <w:r w:rsidRPr="0071133C">
              <w:t>Users Association of Australia (EUAA)</w:t>
            </w:r>
          </w:p>
        </w:tc>
        <w:tc>
          <w:tcPr>
            <w:tcW w:w="7088" w:type="dxa"/>
          </w:tcPr>
          <w:p w:rsidR="0071133C" w:rsidRPr="0071133C" w:rsidRDefault="0071133C" w:rsidP="00BC70E6">
            <w:r>
              <w:t xml:space="preserve">The Energy Users Association of Australia (EUAA) </w:t>
            </w:r>
            <w:r w:rsidRPr="0071133C">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71133C">
              <w:rPr>
                <w:rStyle w:val="FootnoteReference"/>
              </w:rPr>
              <w:footnoteReference w:id="662"/>
            </w:r>
          </w:p>
        </w:tc>
      </w:tr>
      <w:tr w:rsidR="0071133C" w:rsidRPr="001848E2" w:rsidTr="00630E2D">
        <w:tc>
          <w:tcPr>
            <w:tcW w:w="1605" w:type="dxa"/>
          </w:tcPr>
          <w:p w:rsidR="0071133C" w:rsidRPr="0071133C" w:rsidRDefault="0071133C" w:rsidP="00BC70E6">
            <w:r w:rsidRPr="001562D4">
              <w:t>Origin Energy</w:t>
            </w:r>
          </w:p>
        </w:tc>
        <w:tc>
          <w:tcPr>
            <w:tcW w:w="7088" w:type="dxa"/>
          </w:tcPr>
          <w:p w:rsidR="0071133C" w:rsidRPr="0071133C" w:rsidRDefault="0071133C" w:rsidP="00BC70E6">
            <w:r w:rsidRPr="00C61D42">
              <w:t>Origin Energy submitted that the AER has no reason to expect that departing from relying pri</w:t>
            </w:r>
            <w:r w:rsidRPr="0071133C">
              <w:t>ncipally on the output of the Sharpe-Lintner CAPM would better contribute to the achievement of the allowed rate of return objective.</w:t>
            </w:r>
            <w:r w:rsidRPr="0071133C">
              <w:rPr>
                <w:rStyle w:val="FootnoteReference"/>
              </w:rPr>
              <w:footnoteReference w:id="663"/>
            </w:r>
          </w:p>
          <w:p w:rsidR="0071133C" w:rsidRPr="0071133C" w:rsidRDefault="0071133C" w:rsidP="00BC70E6">
            <w:r>
              <w:t>Origin Energy maintain</w:t>
            </w:r>
            <w:r w:rsidRPr="0071133C">
              <w:t>ed its view that we have adopted a balanced and pragmatic approach that provides certain and predictable outcomes for investors and provides a balance between the views of consumer groups and the network businesses.</w:t>
            </w:r>
            <w:r w:rsidRPr="0071133C">
              <w:rPr>
                <w:rStyle w:val="FootnoteReference"/>
              </w:rPr>
              <w:footnoteReference w:id="664"/>
            </w:r>
          </w:p>
          <w:p w:rsidR="0071133C" w:rsidRPr="0071133C" w:rsidRDefault="0071133C" w:rsidP="00BC70E6">
            <w:r>
              <w:t>Origin Energy submit</w:t>
            </w:r>
            <w:r w:rsidRPr="0071133C">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71133C">
              <w:rPr>
                <w:rStyle w:val="FootnoteReference"/>
              </w:rPr>
              <w:footnoteReference w:id="665"/>
            </w:r>
          </w:p>
        </w:tc>
      </w:tr>
      <w:tr w:rsidR="0071133C" w:rsidRPr="001848E2" w:rsidTr="00630E2D">
        <w:trPr>
          <w:cnfStyle w:val="000000010000" w:firstRow="0" w:lastRow="0" w:firstColumn="0" w:lastColumn="0" w:oddVBand="0" w:evenVBand="0" w:oddHBand="0" w:evenHBand="1" w:firstRowFirstColumn="0" w:firstRowLastColumn="0" w:lastRowFirstColumn="0" w:lastRowLastColumn="0"/>
        </w:trPr>
        <w:tc>
          <w:tcPr>
            <w:tcW w:w="1605" w:type="dxa"/>
          </w:tcPr>
          <w:p w:rsidR="0071133C" w:rsidRPr="0071133C" w:rsidRDefault="0071133C" w:rsidP="00BC70E6">
            <w:r w:rsidRPr="00DD3B92">
              <w:t>Q</w:t>
            </w:r>
            <w:r w:rsidRPr="0071133C">
              <w:t xml:space="preserve">ueensland Council of Social Service (QCOSS) </w:t>
            </w:r>
          </w:p>
        </w:tc>
        <w:tc>
          <w:tcPr>
            <w:tcW w:w="7088" w:type="dxa"/>
          </w:tcPr>
          <w:p w:rsidR="0071133C" w:rsidRPr="0071133C" w:rsidRDefault="0071133C" w:rsidP="00BC70E6">
            <w:r>
              <w:t>The Queensland Council of Social Service consider</w:t>
            </w:r>
            <w:r w:rsidRPr="0071133C">
              <w:t xml:space="preserve">ed the rate of return parameters in the </w:t>
            </w:r>
            <w:r>
              <w:t>draft</w:t>
            </w:r>
            <w:r w:rsidRPr="0071133C">
              <w:t xml:space="preserve"> decision are too conservative and are not consistent with both the low prevailing cost of capital and the low risk of distribution activities.</w:t>
            </w:r>
            <w:r w:rsidRPr="0071133C">
              <w:rPr>
                <w:rStyle w:val="FootnoteReference"/>
              </w:rPr>
              <w:footnoteReference w:id="666"/>
            </w:r>
          </w:p>
          <w:p w:rsidR="0071133C" w:rsidRPr="0071133C" w:rsidRDefault="0071133C" w:rsidP="00BC70E6">
            <w:r>
              <w:t>The Queensland Council of Social Service submit</w:t>
            </w:r>
            <w:r w:rsidRPr="0071133C">
              <w:t>ted that empirical studies, as well as the reports from McKenzie and Partington and Frontier suggest an appropriate equity beta to be around 0.5.</w:t>
            </w:r>
            <w:r w:rsidRPr="0071133C">
              <w:rPr>
                <w:rStyle w:val="FootnoteReference"/>
              </w:rPr>
              <w:footnoteReference w:id="667"/>
            </w:r>
          </w:p>
        </w:tc>
      </w:tr>
      <w:tr w:rsidR="0071133C" w:rsidRPr="001848E2" w:rsidTr="00630E2D">
        <w:tc>
          <w:tcPr>
            <w:tcW w:w="1605" w:type="dxa"/>
          </w:tcPr>
          <w:p w:rsidR="0071133C" w:rsidRPr="0071133C" w:rsidRDefault="0071133C" w:rsidP="00BC70E6">
            <w:r>
              <w:t>Victorian Energy Consumer and User Alliance</w:t>
            </w:r>
            <w:r w:rsidRPr="0071133C">
              <w:t xml:space="preserve"> (VECUSA)</w:t>
            </w:r>
          </w:p>
        </w:tc>
        <w:tc>
          <w:tcPr>
            <w:tcW w:w="7088" w:type="dxa"/>
          </w:tcPr>
          <w:p w:rsidR="0071133C" w:rsidRPr="0071133C" w:rsidRDefault="0071133C" w:rsidP="00BC70E6">
            <w:r>
              <w:t>The Victorian Energy Consumer and User Alliance consider</w:t>
            </w:r>
            <w:r w:rsidRPr="0071133C">
              <w:t>ed the Victorian service providers' proposed rate of return allowances of 7.18-7.38 per cent to be excessive and based on major unjustified departures from the Guideline.</w:t>
            </w:r>
            <w:r w:rsidRPr="0071133C">
              <w:rPr>
                <w:rStyle w:val="FootnoteReference"/>
              </w:rPr>
              <w:footnoteReference w:id="668"/>
            </w:r>
          </w:p>
          <w:p w:rsidR="0071133C" w:rsidRPr="0071133C" w:rsidRDefault="0071133C" w:rsidP="00BC70E6">
            <w:r>
              <w:t>The Victorian Energy Consumer and User Alliance consider</w:t>
            </w:r>
            <w:r w:rsidRPr="0071133C">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71133C">
              <w:rPr>
                <w:rStyle w:val="FootnoteReference"/>
              </w:rPr>
              <w:footnoteReference w:id="669"/>
            </w:r>
          </w:p>
          <w:p w:rsidR="0071133C" w:rsidRPr="0071133C" w:rsidRDefault="0071133C" w:rsidP="00BC70E6">
            <w:r>
              <w:t xml:space="preserve">The Victorian Energy Consumers and Users </w:t>
            </w:r>
            <w:r w:rsidRPr="0071133C">
              <w:t>Alliance noted Professor Henry's report</w:t>
            </w:r>
            <w:r w:rsidRPr="0071133C">
              <w:rPr>
                <w:rStyle w:val="FootnoteReference"/>
              </w:rPr>
              <w:footnoteReference w:id="670"/>
            </w:r>
            <w:r w:rsidRPr="0071133C">
              <w:t xml:space="preserve"> suggests an equity beta at the low end of the Guideline range (i.e. 0.4) more accurately reflects the empirical data available.</w:t>
            </w:r>
            <w:r w:rsidRPr="0071133C">
              <w:rPr>
                <w:rStyle w:val="FootnoteReference"/>
              </w:rPr>
              <w:footnoteReference w:id="671"/>
            </w:r>
          </w:p>
          <w:p w:rsidR="0071133C" w:rsidRPr="0071133C" w:rsidRDefault="0071133C" w:rsidP="00BC70E6">
            <w:r>
              <w:t xml:space="preserve">The Victorian </w:t>
            </w:r>
            <w:r w:rsidRPr="0071133C">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71133C">
              <w:rPr>
                <w:rStyle w:val="FootnoteReference"/>
              </w:rPr>
              <w:footnoteReference w:id="672"/>
            </w:r>
          </w:p>
        </w:tc>
      </w:tr>
    </w:tbl>
    <w:p w:rsidR="0071133C" w:rsidRPr="001562D4" w:rsidRDefault="0071133C" w:rsidP="0071133C">
      <w:pPr>
        <w:pStyle w:val="AERtablesource"/>
      </w:pPr>
      <w:r>
        <w:t xml:space="preserve">Source: </w:t>
      </w:r>
      <w:r>
        <w:tab/>
        <w:t>AER analysis of submissions.</w:t>
      </w:r>
    </w:p>
    <w:p w:rsidR="0071133C" w:rsidRDefault="0071133C" w:rsidP="0071133C">
      <w:pPr>
        <w:numPr>
          <w:ilvl w:val="0"/>
          <w:numId w:val="24"/>
        </w:numPr>
      </w:pPr>
      <w:r>
        <w:t xml:space="preserve">We consider the submissions in </w:t>
      </w:r>
      <w:r>
        <w:fldChar w:fldCharType="begin"/>
      </w:r>
      <w:r>
        <w:instrText xml:space="preserve"> REF _Ref433137654 \h </w:instrText>
      </w:r>
      <w:r>
        <w:fldChar w:fldCharType="separate"/>
      </w:r>
      <w:r w:rsidR="000230CB">
        <w:t xml:space="preserve">Table </w:t>
      </w:r>
      <w:r w:rsidR="000230CB">
        <w:rPr>
          <w:noProof/>
        </w:rPr>
        <w:t>3</w:t>
      </w:r>
      <w:r w:rsidR="000230CB">
        <w:noBreakHyphen/>
      </w:r>
      <w:r w:rsidR="000230CB">
        <w:rPr>
          <w:noProof/>
        </w:rPr>
        <w:t>26</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CD50B0">
        <w:t xml:space="preserve"> </w:t>
      </w:r>
      <w:r w:rsidR="00CD50B0">
        <w:fldChar w:fldCharType="begin"/>
      </w:r>
      <w:r w:rsidR="00CD50B0">
        <w:instrText xml:space="preserve"> REF _Ref430958591 \r \h </w:instrText>
      </w:r>
      <w:r w:rsidR="00CD50B0">
        <w:fldChar w:fldCharType="separate"/>
      </w:r>
      <w:r w:rsidR="000230CB">
        <w:t>3.4.1</w:t>
      </w:r>
      <w:r w:rsidR="00CD50B0">
        <w:fldChar w:fldCharType="end"/>
      </w:r>
      <w:r>
        <w:t>.</w:t>
      </w:r>
    </w:p>
    <w:p w:rsidR="0071133C" w:rsidRPr="00B4711B" w:rsidRDefault="0071133C" w:rsidP="0071133C">
      <w:pPr>
        <w:pStyle w:val="Heading9"/>
      </w:pPr>
      <w:bookmarkStart w:id="127" w:name="_Ref449004969"/>
      <w:r>
        <w:t>Empirical tests of the Sharpe-Lintner CAPM</w:t>
      </w:r>
      <w:bookmarkEnd w:id="127"/>
    </w:p>
    <w:p w:rsidR="0071133C" w:rsidRDefault="0071133C" w:rsidP="0071133C">
      <w:pPr>
        <w:numPr>
          <w:ilvl w:val="0"/>
          <w:numId w:val="24"/>
        </w:numPr>
      </w:pPr>
      <w:r>
        <w:t>Service providers submitted that empirical tests indicate that the Sharpe-Lintner CAPM performs poorly compared to the Fama-French model and Black CAPM.</w:t>
      </w:r>
      <w:r>
        <w:rPr>
          <w:rStyle w:val="FootnoteReference"/>
        </w:rPr>
        <w:footnoteReference w:id="673"/>
      </w:r>
    </w:p>
    <w:p w:rsidR="0071133C" w:rsidRDefault="0071133C" w:rsidP="0071133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71133C" w:rsidRPr="001562D4" w:rsidRDefault="0071133C" w:rsidP="0071133C">
      <w:pPr>
        <w:numPr>
          <w:ilvl w:val="0"/>
          <w:numId w:val="24"/>
        </w:numPr>
      </w:pPr>
      <w:r>
        <w:t xml:space="preserve">On the empirical performance of the Sharpe-Lintner </w:t>
      </w:r>
      <w:r w:rsidRPr="001562D4">
        <w:t>CAPM, McKenzie and Partington found the following:</w:t>
      </w:r>
      <w:r>
        <w:rPr>
          <w:rStyle w:val="FootnoteReference"/>
        </w:rPr>
        <w:footnoteReference w:id="674"/>
      </w:r>
    </w:p>
    <w:p w:rsidR="0071133C" w:rsidRPr="0071133C" w:rsidRDefault="0071133C" w:rsidP="0071133C">
      <w:pPr>
        <w:pStyle w:val="AERbulletlistfirststyle"/>
      </w:pPr>
      <w:r w:rsidRPr="001562D4">
        <w:t>The fact some work appears to show other models better explain the cross section of realised average returns does not invalidate the use of the model for several reasons</w:t>
      </w:r>
      <w:r w:rsidRPr="0071133C">
        <w:t>. For instance, the cross section of returns is only one dimension of interest.</w:t>
      </w:r>
      <w:r w:rsidRPr="0071133C">
        <w:rPr>
          <w:rStyle w:val="FootnoteReference"/>
        </w:rPr>
        <w:footnoteReference w:id="675"/>
      </w:r>
    </w:p>
    <w:p w:rsidR="0071133C" w:rsidRPr="0071133C" w:rsidRDefault="0071133C" w:rsidP="0071133C">
      <w:pPr>
        <w:pStyle w:val="AERbulletlistfirststyle"/>
      </w:pPr>
      <w:r>
        <w:t>T</w:t>
      </w:r>
      <w:r w:rsidRPr="0071133C">
        <w:t>he evidence against the Sharpe-Lintner CAPM may not be as robust as once thought when more appropriate statistical tests are used.</w:t>
      </w:r>
    </w:p>
    <w:p w:rsidR="0071133C" w:rsidRPr="0071133C" w:rsidRDefault="0071133C" w:rsidP="0071133C">
      <w:pPr>
        <w:pStyle w:val="AERbulletlistfirststyle"/>
      </w:pPr>
      <w:r>
        <w:t>T</w:t>
      </w:r>
      <w:r w:rsidRPr="0071133C">
        <w:t>he empirical evidence against the model does not invalidate its use for estimating the cost of capital for projects when making capital budgeting decisions.</w:t>
      </w:r>
    </w:p>
    <w:p w:rsidR="0071133C" w:rsidRDefault="0071133C" w:rsidP="0071133C">
      <w:pPr>
        <w:numPr>
          <w:ilvl w:val="0"/>
          <w:numId w:val="24"/>
        </w:numPr>
      </w:pPr>
      <w:r>
        <w:t xml:space="preserve">Partington and Satchell made the following observations for testing empirical performances of asset pricing models: </w:t>
      </w:r>
    </w:p>
    <w:p w:rsidR="0071133C" w:rsidRPr="0071133C" w:rsidRDefault="0071133C" w:rsidP="0071133C">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71133C">
        <w:rPr>
          <w:rStyle w:val="FootnoteReference"/>
        </w:rPr>
        <w:footnoteReference w:id="676"/>
      </w:r>
      <w:r w:rsidRPr="0071133C">
        <w:t xml:space="preserve"> </w:t>
      </w:r>
    </w:p>
    <w:p w:rsidR="0071133C" w:rsidRPr="0071133C" w:rsidRDefault="0071133C" w:rsidP="0071133C">
      <w:pPr>
        <w:pStyle w:val="AERbulletlistfirststyle"/>
      </w:pPr>
      <w:r>
        <w:t>T</w:t>
      </w:r>
      <w:r w:rsidRPr="0071133C">
        <w:t>he results are dependent on the method used to conduct the test (for example the characteristics used in sorting stocks into portfolios when testing model performance), was also noted by Kan, Robotti and Shanken.</w:t>
      </w:r>
      <w:r w:rsidRPr="0071133C">
        <w:rPr>
          <w:rStyle w:val="FootnoteReference"/>
        </w:rPr>
        <w:t xml:space="preserve"> </w:t>
      </w:r>
      <w:r w:rsidRPr="0071133C">
        <w:rPr>
          <w:rStyle w:val="FootnoteReference"/>
        </w:rPr>
        <w:footnoteReference w:id="677"/>
      </w:r>
      <w:r w:rsidRPr="0071133C">
        <w:t xml:space="preserve"> </w:t>
      </w:r>
    </w:p>
    <w:p w:rsidR="0071133C" w:rsidRPr="0071133C" w:rsidRDefault="0071133C" w:rsidP="0071133C">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71133C">
        <w:rPr>
          <w:rStyle w:val="FootnoteReference"/>
        </w:rPr>
        <w:footnoteReference w:id="678"/>
      </w:r>
    </w:p>
    <w:p w:rsidR="0071133C" w:rsidRPr="0071133C" w:rsidRDefault="0071133C" w:rsidP="0071133C">
      <w:pPr>
        <w:pStyle w:val="AERbulletlistfirststyle"/>
      </w:pPr>
      <w:r w:rsidRPr="00C61D42">
        <w:t>NERA referred to the work of Kan, Robotti</w:t>
      </w:r>
      <w:r w:rsidRPr="0071133C">
        <w:t xml:space="preserve"> and Shanken for the superior performance of the Fama-French model compared to the Sharpe-Lintner CAPM.</w:t>
      </w:r>
      <w:r w:rsidRPr="0071133C">
        <w:rPr>
          <w:rStyle w:val="FootnoteReference"/>
        </w:rPr>
        <w:footnoteReference w:id="679"/>
      </w:r>
      <w:r w:rsidRPr="0071133C">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71133C">
        <w:rPr>
          <w:rStyle w:val="FootnoteReference"/>
        </w:rPr>
        <w:footnoteReference w:id="680"/>
      </w:r>
      <w:r w:rsidRPr="0071133C">
        <w:t xml:space="preserve">  Partington and Satchell noted that Lewellen, Nagel and Shanken have cautioned that 'none of the models provides much improvement over the simple or consumption CAPM when performance is measured by the GLS</w:t>
      </w:r>
      <w:r w:rsidRPr="0071133C">
        <w:rPr>
          <w:rStyle w:val="FootnoteReference"/>
        </w:rPr>
        <w:footnoteReference w:id="681"/>
      </w:r>
      <w:r w:rsidRPr="0071133C">
        <w:t xml:space="preserve"> R2 or q'.</w:t>
      </w:r>
      <w:r w:rsidRPr="0071133C">
        <w:rPr>
          <w:rStyle w:val="FootnoteReference"/>
        </w:rPr>
        <w:footnoteReference w:id="682"/>
      </w:r>
      <w:r w:rsidRPr="0071133C">
        <w:t xml:space="preserve"> </w:t>
      </w:r>
    </w:p>
    <w:p w:rsidR="0071133C" w:rsidRDefault="0071133C" w:rsidP="0071133C">
      <w:r>
        <w:t xml:space="preserve">In response to our draft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83"/>
      </w:r>
      <w:r>
        <w:t xml:space="preserve"> In response, Partington and Satchell state that:</w:t>
      </w:r>
      <w:r>
        <w:rPr>
          <w:rStyle w:val="FootnoteReference"/>
        </w:rPr>
        <w:footnoteReference w:id="684"/>
      </w:r>
    </w:p>
    <w:p w:rsidR="0071133C" w:rsidRDefault="0071133C" w:rsidP="0071133C">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71133C" w:rsidRDefault="0071133C" w:rsidP="0071133C">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685"/>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86"/>
      </w:r>
      <w:r>
        <w:t xml:space="preserve"> NERA also provided an estimate of the zero-beta premium of 10.75 per cent.</w:t>
      </w:r>
      <w:r>
        <w:rPr>
          <w:rStyle w:val="FootnoteReference"/>
        </w:rPr>
        <w:footnoteReference w:id="687"/>
      </w:r>
      <w:r>
        <w:t xml:space="preserve"> It has been acknowledged that it is implausible for the zero beta premium to be equal to or greater than the market risk premium</w:t>
      </w:r>
      <w:r w:rsidRPr="001562D4">
        <w:t>.</w:t>
      </w:r>
      <w:r w:rsidRPr="001562D4">
        <w:rPr>
          <w:rStyle w:val="FootnoteReference"/>
        </w:rPr>
        <w:footnoteReference w:id="688"/>
      </w:r>
      <w:r>
        <w:t xml:space="preserve"> Further, having reviewed this report in relation to its results on the Black CAPM, Partington advised:</w:t>
      </w:r>
      <w:r>
        <w:rPr>
          <w:rStyle w:val="FootnoteReference"/>
        </w:rPr>
        <w:footnoteReference w:id="689"/>
      </w:r>
      <w:r>
        <w:t xml:space="preserve"> </w:t>
      </w:r>
    </w:p>
    <w:p w:rsidR="0071133C" w:rsidRPr="00AB3FED" w:rsidRDefault="0071133C" w:rsidP="0071133C">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71133C" w:rsidRPr="001562D4" w:rsidRDefault="0071133C" w:rsidP="0071133C">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71133C" w:rsidRDefault="0071133C" w:rsidP="0071133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90"/>
      </w:r>
    </w:p>
    <w:p w:rsidR="0071133C" w:rsidRDefault="0071133C" w:rsidP="0071133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691"/>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0230CB">
        <w:t>B.2.2</w:t>
      </w:r>
      <w:r>
        <w:fldChar w:fldCharType="end"/>
      </w:r>
      <w:r>
        <w:t xml:space="preserve"> and </w:t>
      </w:r>
      <w:r>
        <w:fldChar w:fldCharType="begin"/>
      </w:r>
      <w:r>
        <w:instrText xml:space="preserve"> REF _Ref449010281 \r \h </w:instrText>
      </w:r>
      <w:r>
        <w:fldChar w:fldCharType="separate"/>
      </w:r>
      <w:r w:rsidR="000230CB">
        <w:t>B.3.2</w:t>
      </w:r>
      <w:r>
        <w:fldChar w:fldCharType="end"/>
      </w:r>
      <w:r>
        <w:t>.</w:t>
      </w:r>
    </w:p>
    <w:p w:rsidR="0071133C" w:rsidRDefault="0071133C" w:rsidP="0071133C">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692"/>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693"/>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694"/>
      </w:r>
    </w:p>
    <w:p w:rsidR="0071133C" w:rsidRDefault="0071133C" w:rsidP="0071133C">
      <w:r>
        <w:t>Partington and Satchell also note that '</w:t>
      </w:r>
      <w:r w:rsidRPr="000A45F8">
        <w:t xml:space="preserve"> a relatively flat or inverted relation between beta and realised returns is quite common in empirical work</w:t>
      </w:r>
      <w:r>
        <w:t>'.</w:t>
      </w:r>
      <w:r>
        <w:rPr>
          <w:rStyle w:val="FootnoteReference"/>
        </w:rPr>
        <w:footnoteReference w:id="695"/>
      </w:r>
      <w:r>
        <w:t xml:space="preserve"> However, they also note that it is not clear that this is evidence that other models are better at estimating expected return on equity, stating: </w:t>
      </w:r>
      <w:r>
        <w:rPr>
          <w:rStyle w:val="FootnoteReference"/>
        </w:rPr>
        <w:footnoteReference w:id="696"/>
      </w:r>
    </w:p>
    <w:p w:rsidR="0071133C" w:rsidRDefault="0071133C" w:rsidP="0071133C">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71133C" w:rsidRDefault="0071133C" w:rsidP="0071133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697"/>
      </w:r>
    </w:p>
    <w:p w:rsidR="0071133C" w:rsidRPr="00BD52D8" w:rsidRDefault="0071133C" w:rsidP="0071133C">
      <w:pPr>
        <w:pStyle w:val="AERquote"/>
      </w:pPr>
      <w:r w:rsidRPr="00BD52D8">
        <w:t>we note the work of Henry (2008), who finds no evidence that would support the use of the Vasicek model for Australian data.  The results of the Henry (2008) study:</w:t>
      </w:r>
    </w:p>
    <w:p w:rsidR="0071133C" w:rsidRPr="00BD52D8" w:rsidRDefault="0071133C" w:rsidP="0071133C">
      <w:pPr>
        <w:pStyle w:val="AERquoteindent2"/>
      </w:pPr>
      <w:r w:rsidRPr="00BD52D8">
        <w:t>“… suggest that there is little convincing evidence of regression to unity in this data. Therefore, it is difficult to justify the application of the Blume or Vasicek adjustments.” (p. 12)</w:t>
      </w:r>
    </w:p>
    <w:p w:rsidR="0071133C" w:rsidRDefault="0071133C" w:rsidP="0071133C">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698"/>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699"/>
      </w:r>
    </w:p>
    <w:p w:rsidR="0071133C" w:rsidRPr="00B4711B" w:rsidRDefault="0071133C" w:rsidP="0071133C">
      <w:pPr>
        <w:pStyle w:val="Heading9"/>
      </w:pPr>
      <w:bookmarkStart w:id="128" w:name="_Ref449004981"/>
      <w:r>
        <w:t>Evidence from estimates of other models</w:t>
      </w:r>
      <w:bookmarkEnd w:id="128"/>
    </w:p>
    <w:p w:rsidR="0071133C" w:rsidRDefault="0071133C" w:rsidP="0071133C">
      <w:r>
        <w:t>Service providers</w:t>
      </w:r>
      <w:r w:rsidRPr="001562D4">
        <w:t xml:space="preserve"> </w:t>
      </w:r>
      <w:r>
        <w:t>submitted:</w:t>
      </w:r>
    </w:p>
    <w:p w:rsidR="0071133C" w:rsidRPr="0071133C" w:rsidRDefault="0071133C" w:rsidP="0071133C">
      <w:pPr>
        <w:pStyle w:val="AERbulletlistfirststyle"/>
      </w:pPr>
      <w:r>
        <w:t xml:space="preserve">the Black CAPM as evidence that the Sharpe-Lintner CAPM displays low beta bias (that is, </w:t>
      </w:r>
      <w:r w:rsidRPr="0071133C">
        <w:t>downward biased for stocks with a beta of less than one)</w:t>
      </w:r>
    </w:p>
    <w:p w:rsidR="0071133C" w:rsidRPr="0071133C" w:rsidRDefault="0071133C" w:rsidP="0071133C">
      <w:pPr>
        <w:pStyle w:val="AERbulletlistfirststyle"/>
      </w:pPr>
      <w:r>
        <w:t>the Fama-French model as evidence that the Sharpe-Lintner CAPM displays book-to-market bias</w:t>
      </w:r>
    </w:p>
    <w:p w:rsidR="0071133C" w:rsidRPr="0071133C" w:rsidRDefault="0071133C" w:rsidP="0071133C">
      <w:pPr>
        <w:pStyle w:val="AERbulletlistfirststyle"/>
      </w:pPr>
      <w:r>
        <w:t>the dividend growth model as evidence that the Sharpe-Lintner CAPM, as applied by the AER, is not reflective of prevailing market conditions.</w:t>
      </w:r>
    </w:p>
    <w:p w:rsidR="0071133C" w:rsidRDefault="0071133C" w:rsidP="0071133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71133C" w:rsidRDefault="0071133C" w:rsidP="0071133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0230CB">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w:t>
      </w:r>
      <w:r w:rsidR="0095169E">
        <w:t>approach</w:t>
      </w:r>
      <w:r>
        <w:t xml:space="preserve">, is downwardly biased. Our assessment of the Black CAPM, Fama-French model, and dividend growth model are contained in sections </w:t>
      </w:r>
      <w:r>
        <w:fldChar w:fldCharType="begin"/>
      </w:r>
      <w:r>
        <w:instrText xml:space="preserve"> REF _Ref449007419 \r \h </w:instrText>
      </w:r>
      <w:r>
        <w:fldChar w:fldCharType="separate"/>
      </w:r>
      <w:r w:rsidR="000230CB">
        <w:t>B.2</w:t>
      </w:r>
      <w:r>
        <w:fldChar w:fldCharType="end"/>
      </w:r>
      <w:r>
        <w:t xml:space="preserve">, </w:t>
      </w:r>
      <w:r>
        <w:fldChar w:fldCharType="begin"/>
      </w:r>
      <w:r>
        <w:instrText xml:space="preserve"> REF _Ref449007420 \r \h </w:instrText>
      </w:r>
      <w:r>
        <w:fldChar w:fldCharType="separate"/>
      </w:r>
      <w:r w:rsidR="000230CB">
        <w:t>B.3</w:t>
      </w:r>
      <w:r>
        <w:fldChar w:fldCharType="end"/>
      </w:r>
      <w:r>
        <w:t xml:space="preserve">, and </w:t>
      </w:r>
      <w:r>
        <w:fldChar w:fldCharType="begin"/>
      </w:r>
      <w:r>
        <w:instrText xml:space="preserve"> REF _Ref449007421 \r \h </w:instrText>
      </w:r>
      <w:r>
        <w:fldChar w:fldCharType="separate"/>
      </w:r>
      <w:r w:rsidR="000230CB">
        <w:t>B.4</w:t>
      </w:r>
      <w:r>
        <w:fldChar w:fldCharType="end"/>
      </w:r>
      <w:r>
        <w:t xml:space="preserve"> respectively.</w:t>
      </w:r>
    </w:p>
    <w:p w:rsidR="0071133C" w:rsidRDefault="0071133C" w:rsidP="0071133C">
      <w:pPr>
        <w:pStyle w:val="Heading8"/>
      </w:pPr>
      <w:bookmarkStart w:id="129" w:name="_Ref449007419"/>
      <w:bookmarkStart w:id="130" w:name="_Toc451943787"/>
      <w:r>
        <w:t>Black CAPM</w:t>
      </w:r>
      <w:bookmarkEnd w:id="129"/>
      <w:bookmarkEnd w:id="130"/>
    </w:p>
    <w:p w:rsidR="0071133C" w:rsidRPr="001562D4" w:rsidRDefault="0071133C" w:rsidP="0071133C">
      <w:r w:rsidRPr="001562D4">
        <w:t>Fischer Black developed a version of the CAPM with restricted borrowing</w:t>
      </w:r>
      <w:r>
        <w:t xml:space="preserve"> (the Black CAPM)</w:t>
      </w:r>
      <w:r w:rsidRPr="001562D4">
        <w:t>.</w:t>
      </w:r>
      <w:r w:rsidRPr="001562D4">
        <w:rPr>
          <w:rStyle w:val="FootnoteReference"/>
        </w:rPr>
        <w:footnoteReference w:id="700"/>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01"/>
      </w:r>
      <w:r w:rsidRPr="001562D4">
        <w:t xml:space="preserve"> </w:t>
      </w:r>
      <w:r>
        <w:t>Unlimited short selling does not hold in practice either</w:t>
      </w:r>
      <w:r w:rsidRPr="001562D4">
        <w:t>.</w:t>
      </w:r>
      <w:r>
        <w:rPr>
          <w:rStyle w:val="FootnoteReference"/>
        </w:rPr>
        <w:footnoteReference w:id="702"/>
      </w:r>
    </w:p>
    <w:p w:rsidR="0071133C" w:rsidRDefault="0071133C" w:rsidP="0071133C">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03"/>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71133C" w:rsidRDefault="0071133C" w:rsidP="0071133C">
      <w:pPr>
        <w:numPr>
          <w:ilvl w:val="0"/>
          <w:numId w:val="24"/>
        </w:numPr>
      </w:pPr>
      <w:r>
        <w:t>We have reviewed the material submitted to us</w:t>
      </w:r>
      <w:r>
        <w:rPr>
          <w:rStyle w:val="FootnoteReference"/>
        </w:rPr>
        <w:footnoteReference w:id="704"/>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05"/>
      </w:r>
      <w:r w:rsidRPr="002E1BC3">
        <w:rPr>
          <w:rStyle w:val="FootnoteReference"/>
        </w:rPr>
        <w:t xml:space="preserve"> </w:t>
      </w:r>
    </w:p>
    <w:p w:rsidR="0071133C" w:rsidRPr="001562D4" w:rsidDel="00BF79E1" w:rsidRDefault="0071133C" w:rsidP="0071133C">
      <w:r>
        <w:t>Therefore, our approach is to:</w:t>
      </w:r>
    </w:p>
    <w:p w:rsidR="0071133C" w:rsidRPr="0071133C" w:rsidRDefault="0071133C" w:rsidP="0071133C">
      <w:pPr>
        <w:pStyle w:val="AERbulletlistfirststyle"/>
      </w:pPr>
      <w:r>
        <w:t>use the</w:t>
      </w:r>
      <w:r w:rsidRPr="0071133C">
        <w:t xml:space="preserve"> theory behind the Black CAPM to inform the equity beta estimate in the Sharpe-Lintner CAPM.</w:t>
      </w:r>
    </w:p>
    <w:p w:rsidR="0071133C" w:rsidRPr="0071133C" w:rsidRDefault="0071133C" w:rsidP="0071133C">
      <w:pPr>
        <w:pStyle w:val="AERbulletlistfirststyle"/>
      </w:pPr>
      <w:r>
        <w:t>not use the</w:t>
      </w:r>
      <w:r w:rsidRPr="0071133C">
        <w:t xml:space="preserve"> Black CAPM to empirically estimate the return on equity for the benchmark efficient entity.</w:t>
      </w:r>
    </w:p>
    <w:p w:rsidR="0071133C" w:rsidRPr="001562D4" w:rsidRDefault="0071133C" w:rsidP="0071133C">
      <w:r>
        <w:t>Our use of the</w:t>
      </w:r>
      <w:r w:rsidRPr="006C4D93">
        <w:t xml:space="preserve"> Black CAPM </w:t>
      </w:r>
      <w:r>
        <w:t>is due to the following reasons:</w:t>
      </w:r>
    </w:p>
    <w:p w:rsidR="0071133C" w:rsidRPr="0071133C" w:rsidRDefault="0071133C" w:rsidP="0071133C">
      <w:pPr>
        <w:pStyle w:val="AERbulletlistfirststyle"/>
      </w:pPr>
      <w:r>
        <w:t>T</w:t>
      </w:r>
      <w:r w:rsidRPr="0071133C">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71133C" w:rsidRPr="0071133C" w:rsidRDefault="0071133C" w:rsidP="0071133C">
      <w:pPr>
        <w:pStyle w:val="AERbulletlistfirststyle"/>
      </w:pPr>
      <w:r>
        <w:t>T</w:t>
      </w:r>
      <w:r w:rsidRPr="0071133C">
        <w:t>here is little evidence that other regulators, academics or market practitioners use the Black CAPM to estimate the return on equity.</w:t>
      </w:r>
      <w:r w:rsidRPr="0071133C">
        <w:rPr>
          <w:rStyle w:val="FootnoteReference"/>
        </w:rPr>
        <w:footnoteReference w:id="706"/>
      </w:r>
      <w:r w:rsidRPr="0071133C">
        <w:t xml:space="preserve"> In particular, regulators rarely have recourse to the Black CAPM.</w:t>
      </w:r>
      <w:r w:rsidRPr="0071133C">
        <w:rPr>
          <w:rStyle w:val="FootnoteReference"/>
        </w:rPr>
        <w:footnoteReference w:id="707"/>
      </w:r>
      <w:r w:rsidRPr="0071133C">
        <w:t xml:space="preserve"> This view was supported by Handley.</w:t>
      </w:r>
      <w:r w:rsidRPr="0071133C">
        <w:rPr>
          <w:rStyle w:val="FootnoteReference"/>
        </w:rPr>
        <w:footnoteReference w:id="708"/>
      </w:r>
    </w:p>
    <w:p w:rsidR="0071133C" w:rsidRPr="0071133C" w:rsidRDefault="0071133C" w:rsidP="0071133C">
      <w:pPr>
        <w:pStyle w:val="AERbulletlistfirststyle"/>
      </w:pPr>
      <w:r>
        <w:t>Implementation of the Black CAPM typically results in estimates of the</w:t>
      </w:r>
      <w:r w:rsidRPr="0071133C">
        <w:t xml:space="preserve"> zero beta return being less reflective of prevailing market conditions than risk free rate estimates.</w:t>
      </w:r>
      <w:r w:rsidRPr="0071133C">
        <w:rPr>
          <w:rStyle w:val="FootnoteReference"/>
        </w:rPr>
        <w:footnoteReference w:id="709"/>
      </w:r>
      <w:r w:rsidRPr="0071133C">
        <w:t xml:space="preserve"> </w:t>
      </w:r>
    </w:p>
    <w:p w:rsidR="0071133C" w:rsidRPr="0071133C" w:rsidRDefault="0071133C" w:rsidP="0071133C">
      <w:pPr>
        <w:pStyle w:val="AERbulletlistfirststyle"/>
      </w:pPr>
      <w:r>
        <w:t>U</w:t>
      </w:r>
      <w:r w:rsidRPr="0071133C">
        <w:t>sing a conservative estimate of beta in the Sharpe-Lintner CAPM can accommodate potential issues that arise from not estimating the Black CAPM.</w:t>
      </w:r>
      <w:r w:rsidRPr="0071133C">
        <w:rPr>
          <w:rStyle w:val="FootnoteReference"/>
        </w:rPr>
        <w:footnoteReference w:id="710"/>
      </w:r>
    </w:p>
    <w:p w:rsidR="0071133C" w:rsidRDefault="0071133C" w:rsidP="0071133C">
      <w:r>
        <w:t xml:space="preserve">We elaborate on our reasons for these positions in sections </w:t>
      </w:r>
      <w:r>
        <w:fldChar w:fldCharType="begin"/>
      </w:r>
      <w:r>
        <w:instrText xml:space="preserve"> REF _Ref448924784 \r \h </w:instrText>
      </w:r>
      <w:r>
        <w:fldChar w:fldCharType="separate"/>
      </w:r>
      <w:r w:rsidR="000230CB">
        <w:t>B.2.1</w:t>
      </w:r>
      <w:r>
        <w:fldChar w:fldCharType="end"/>
      </w:r>
      <w:r>
        <w:t xml:space="preserve"> to </w:t>
      </w:r>
      <w:r>
        <w:fldChar w:fldCharType="begin"/>
      </w:r>
      <w:r>
        <w:instrText xml:space="preserve"> REF _Ref448924785 \r \h </w:instrText>
      </w:r>
      <w:r>
        <w:fldChar w:fldCharType="separate"/>
      </w:r>
      <w:r w:rsidR="000230CB">
        <w:t>B.2.3</w:t>
      </w:r>
      <w:r>
        <w:fldChar w:fldCharType="end"/>
      </w:r>
      <w:r>
        <w:t xml:space="preserve"> below.</w:t>
      </w:r>
    </w:p>
    <w:p w:rsidR="0071133C" w:rsidRPr="001562D4" w:rsidRDefault="0071133C" w:rsidP="0071133C">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711"/>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71133C" w:rsidRPr="0071133C" w:rsidRDefault="0071133C" w:rsidP="0071133C">
      <w:pPr>
        <w:pStyle w:val="AERbulletlistfirststyle"/>
      </w:pPr>
      <w:r>
        <w:t xml:space="preserve">Empirical evidence indicates that the 'SL-CAPM will lead to downwardly biased </w:t>
      </w:r>
      <w:r w:rsidRPr="0071133C">
        <w:t>estimates of the return on equity for low-beta stocks.</w:t>
      </w:r>
      <w:r w:rsidRPr="0071133C">
        <w:rPr>
          <w:rStyle w:val="FootnoteReference"/>
        </w:rPr>
        <w:footnoteReference w:id="712"/>
      </w:r>
    </w:p>
    <w:p w:rsidR="0071133C" w:rsidRPr="0071133C" w:rsidRDefault="0071133C" w:rsidP="0071133C">
      <w:pPr>
        <w:pStyle w:val="AERbulletlistfirststyle"/>
      </w:pPr>
      <w:r>
        <w:t>The AER cannot reject the use of the Black CAPM based on concerns with reliability without testing SFG's zero-beta premium or 'seeking a reliable estimate' of the premium</w:t>
      </w:r>
      <w:r w:rsidRPr="0071133C">
        <w:rPr>
          <w:rStyle w:val="FootnoteReference"/>
        </w:rPr>
        <w:footnoteReference w:id="713"/>
      </w:r>
    </w:p>
    <w:p w:rsidR="0071133C" w:rsidRPr="0071133C" w:rsidRDefault="0071133C" w:rsidP="0071133C">
      <w:pPr>
        <w:pStyle w:val="AERbulletlistfirststyle"/>
      </w:pPr>
      <w:r>
        <w:t>The AER's return on equity estimate is below those from other relevant return on equity models.</w:t>
      </w:r>
      <w:r w:rsidRPr="0071133C">
        <w:rPr>
          <w:rStyle w:val="FootnoteReference"/>
        </w:rPr>
        <w:footnoteReference w:id="714"/>
      </w:r>
    </w:p>
    <w:p w:rsidR="0071133C" w:rsidRPr="0071133C" w:rsidRDefault="0071133C" w:rsidP="0071133C">
      <w:pPr>
        <w:pStyle w:val="AERbulletlistfirststyle"/>
      </w:pPr>
      <w:r>
        <w:t>Consultant reports show that the Black CAPM is used in rate of return regulation cases.</w:t>
      </w:r>
      <w:r w:rsidRPr="0071133C">
        <w:rPr>
          <w:rStyle w:val="FootnoteReference"/>
        </w:rPr>
        <w:footnoteReference w:id="715"/>
      </w:r>
      <w:r w:rsidRPr="0071133C">
        <w:t xml:space="preserve"> </w:t>
      </w:r>
    </w:p>
    <w:p w:rsidR="0071133C" w:rsidRDefault="0071133C" w:rsidP="0071133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regulated services. We elaborate on our response to these submissions in sections </w:t>
      </w:r>
      <w:r>
        <w:fldChar w:fldCharType="begin"/>
      </w:r>
      <w:r>
        <w:instrText xml:space="preserve"> REF _Ref448924784 \r \h </w:instrText>
      </w:r>
      <w:r>
        <w:fldChar w:fldCharType="separate"/>
      </w:r>
      <w:r w:rsidR="000230CB">
        <w:t>B.2.1</w:t>
      </w:r>
      <w:r>
        <w:fldChar w:fldCharType="end"/>
      </w:r>
      <w:r>
        <w:t xml:space="preserve"> to </w:t>
      </w:r>
      <w:r>
        <w:fldChar w:fldCharType="begin"/>
      </w:r>
      <w:r>
        <w:instrText xml:space="preserve"> REF _Ref448924785 \r \h </w:instrText>
      </w:r>
      <w:r>
        <w:fldChar w:fldCharType="separate"/>
      </w:r>
      <w:r w:rsidR="000230CB">
        <w:t>B.2.3</w:t>
      </w:r>
      <w:r>
        <w:fldChar w:fldCharType="end"/>
      </w:r>
      <w:r>
        <w:t xml:space="preserve"> below.</w:t>
      </w:r>
    </w:p>
    <w:p w:rsidR="0071133C" w:rsidRPr="00B4711B" w:rsidRDefault="0071133C" w:rsidP="0071133C">
      <w:pPr>
        <w:pStyle w:val="Heading9"/>
      </w:pPr>
      <w:bookmarkStart w:id="131" w:name="_Ref448924784"/>
      <w:r>
        <w:t>Empirical reliability of the Black CAPM</w:t>
      </w:r>
      <w:bookmarkEnd w:id="131"/>
    </w:p>
    <w:p w:rsidR="0071133C" w:rsidRDefault="0071133C" w:rsidP="0071133C">
      <w:r>
        <w:t>We consider that there appears no consensus on the methodological choices required to construct a zero-beta portfolio.</w:t>
      </w:r>
    </w:p>
    <w:p w:rsidR="0071133C" w:rsidRPr="007B60D8" w:rsidRDefault="0071133C" w:rsidP="0071133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16"/>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17"/>
      </w:r>
      <w:r w:rsidRPr="00C61D42">
        <w:t xml:space="preserve"> They noted Beaulieu, Dufour and Khalaf's conclusion that the estimate of the zero beta return is unstable and unreliable over time.</w:t>
      </w:r>
      <w:r w:rsidRPr="00C61D42">
        <w:rPr>
          <w:rStyle w:val="FootnoteReference"/>
        </w:rPr>
        <w:footnoteReference w:id="718"/>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719"/>
      </w:r>
    </w:p>
    <w:p w:rsidR="0071133C" w:rsidRPr="001562D4" w:rsidRDefault="0071133C" w:rsidP="0071133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720"/>
      </w:r>
    </w:p>
    <w:p w:rsidR="0071133C" w:rsidRPr="0071133C" w:rsidRDefault="0071133C" w:rsidP="0071133C">
      <w:pPr>
        <w:pStyle w:val="AERbulletlistfirststyle"/>
      </w:pPr>
      <w:r w:rsidRPr="001562D4">
        <w:t xml:space="preserve">CEG (2008) reports zero beta </w:t>
      </w:r>
      <w:r w:rsidRPr="0071133C">
        <w:t>premium estimates between 7.21 and 10.31 per cent per annum.</w:t>
      </w:r>
    </w:p>
    <w:p w:rsidR="0071133C" w:rsidRPr="0071133C" w:rsidRDefault="0071133C" w:rsidP="0071133C">
      <w:pPr>
        <w:pStyle w:val="AERbulletlistfirststyle"/>
      </w:pPr>
      <w:r w:rsidRPr="001562D4">
        <w:t xml:space="preserve">NERA (2013) reports zero beta </w:t>
      </w:r>
      <w:r w:rsidRPr="0071133C">
        <w:t>premium estimates between 8.74 and 13.95 per cent per annum.</w:t>
      </w:r>
    </w:p>
    <w:p w:rsidR="0071133C" w:rsidRDefault="0071133C" w:rsidP="0071133C">
      <w:pPr>
        <w:numPr>
          <w:ilvl w:val="0"/>
          <w:numId w:val="24"/>
        </w:numPr>
      </w:pPr>
      <w:r w:rsidRPr="001562D4">
        <w:t>NERA also acknowledge</w:t>
      </w:r>
      <w:r>
        <w:t>d</w:t>
      </w:r>
      <w:r w:rsidRPr="001562D4">
        <w:t xml:space="preserve"> that</w:t>
      </w:r>
      <w:r>
        <w:t>:</w:t>
      </w:r>
      <w:r w:rsidRPr="001562D4">
        <w:rPr>
          <w:rStyle w:val="FootnoteReference"/>
        </w:rPr>
        <w:footnoteReference w:id="721"/>
      </w:r>
    </w:p>
    <w:p w:rsidR="0071133C" w:rsidRDefault="0071133C" w:rsidP="0071133C">
      <w:pPr>
        <w:pStyle w:val="AERquote"/>
      </w:pPr>
      <w:r w:rsidRPr="001562D4">
        <w:t>estimates of the zero-beta premium produced by studies that use long time series of Australian data are generally larger than estimates of the MRP that the AER has in the past used</w:t>
      </w:r>
      <w:r>
        <w:t>.</w:t>
      </w:r>
    </w:p>
    <w:p w:rsidR="0071133C" w:rsidRDefault="0071133C" w:rsidP="0071133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722"/>
      </w:r>
      <w:r>
        <w:t xml:space="preserve"> Similarly, SFG submitted that imprecise estimates of the zero beta premium arose from the imprecision in the relationship between beta and stock returns.</w:t>
      </w:r>
      <w:r>
        <w:rPr>
          <w:rStyle w:val="FootnoteReference"/>
        </w:rPr>
        <w:footnoteReference w:id="723"/>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724"/>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71133C" w:rsidRDefault="0071133C" w:rsidP="0071133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725"/>
      </w:r>
      <w:r w:rsidRPr="00CA5AF6">
        <w:t xml:space="preserve"> </w:t>
      </w:r>
    </w:p>
    <w:p w:rsidR="0071133C" w:rsidRPr="00C854DA" w:rsidRDefault="0071133C" w:rsidP="0071133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726"/>
      </w:r>
    </w:p>
    <w:p w:rsidR="0071133C" w:rsidRPr="001562D4" w:rsidRDefault="0071133C" w:rsidP="0071133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727"/>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728"/>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729"/>
      </w:r>
    </w:p>
    <w:p w:rsidR="0071133C" w:rsidRPr="001562D4" w:rsidRDefault="0071133C" w:rsidP="0071133C">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71133C" w:rsidRPr="001562D4" w:rsidRDefault="0071133C" w:rsidP="0071133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730"/>
      </w:r>
    </w:p>
    <w:p w:rsidR="0071133C" w:rsidRDefault="0071133C" w:rsidP="0071133C">
      <w:pPr>
        <w:pStyle w:val="AERquote"/>
      </w:pPr>
      <w:r w:rsidRPr="001562D4">
        <w:t>Our point that ‘what you get depends very heavily on what you do’ is well illustrated by the SFG estimate of the zero beta premium, which is quite different to the NERA estimate</w:t>
      </w:r>
    </w:p>
    <w:p w:rsidR="0071133C" w:rsidRDefault="0071133C" w:rsidP="0071133C">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731"/>
      </w:r>
      <w:r>
        <w:t xml:space="preserve"> Having reviewed SFG's report, Partington advised:</w:t>
      </w:r>
      <w:r>
        <w:rPr>
          <w:rStyle w:val="FootnoteReference"/>
        </w:rPr>
        <w:footnoteReference w:id="732"/>
      </w:r>
    </w:p>
    <w:p w:rsidR="0071133C" w:rsidRPr="009A5577" w:rsidRDefault="0071133C" w:rsidP="0071133C">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71133C" w:rsidRPr="00127ECB" w:rsidRDefault="0071133C" w:rsidP="0071133C">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733"/>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734"/>
      </w:r>
    </w:p>
    <w:p w:rsidR="0071133C" w:rsidRDefault="0071133C" w:rsidP="0071133C">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735"/>
      </w:r>
      <w:r w:rsidRPr="00127ECB">
        <w:t xml:space="preserve"> </w:t>
      </w:r>
    </w:p>
    <w:p w:rsidR="0071133C" w:rsidRDefault="0071133C" w:rsidP="0071133C">
      <w:pPr>
        <w:rPr>
          <w:rStyle w:val="AERbody"/>
        </w:rPr>
      </w:pPr>
      <w:r>
        <w:rPr>
          <w:rStyle w:val="AERbody"/>
        </w:rPr>
        <w:t>Partington and Satchell continue to note a range of issues (some of which are long-standing) with the Black CAPM in their latest report:</w:t>
      </w:r>
    </w:p>
    <w:p w:rsidR="0071133C" w:rsidRPr="0071133C" w:rsidRDefault="0071133C" w:rsidP="0071133C">
      <w:pPr>
        <w:pStyle w:val="AERbulletlistfirststyle"/>
      </w:pPr>
      <w:r>
        <w:t>Examinations of important academic research on the Black CAPM show that it is based on a number of unrealistic assumptions, such as unrestricted short-selling.</w:t>
      </w:r>
      <w:r w:rsidRPr="0071133C">
        <w:rPr>
          <w:rStyle w:val="FootnoteReference"/>
        </w:rPr>
        <w:footnoteReference w:id="736"/>
      </w:r>
      <w:r w:rsidRPr="0071133C">
        <w:t xml:space="preserve"> In particular, the 1971 Brennan paper indicates that the Black CAPM is unsuitable for regulatory use due to its assumption of two Markowitz portfolios as we cannot be certain what the properties of the market portfolio actually are. </w:t>
      </w:r>
    </w:p>
    <w:p w:rsidR="0071133C" w:rsidRPr="0071133C" w:rsidRDefault="0071133C" w:rsidP="0071133C">
      <w:pPr>
        <w:pStyle w:val="AERbulletlistfirststyle"/>
        <w:rPr>
          <w:rStyle w:val="AERbody"/>
        </w:rPr>
      </w:pPr>
      <w:r>
        <w:rPr>
          <w:rStyle w:val="AERbody"/>
        </w:rPr>
        <w:t>There are a range of issues with implementing the Black CAPM.</w:t>
      </w:r>
      <w:r w:rsidRPr="0071133C">
        <w:rPr>
          <w:rStyle w:val="FootnoteReference"/>
        </w:rPr>
        <w:footnoteReference w:id="737"/>
      </w:r>
      <w:r w:rsidRPr="0071133C">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71133C" w:rsidRPr="0071133C" w:rsidRDefault="0071133C" w:rsidP="0071133C">
      <w:pPr>
        <w:pStyle w:val="AERbulletlistfirststyle"/>
      </w:pPr>
      <w:r>
        <w:t>The zero beta premium estimates is not current nor observable and the standard errors of the estimates are substantial.</w:t>
      </w:r>
      <w:r w:rsidRPr="0071133C">
        <w:rPr>
          <w:rStyle w:val="FootnoteReference"/>
        </w:rPr>
        <w:footnoteReference w:id="738"/>
      </w:r>
    </w:p>
    <w:p w:rsidR="0071133C" w:rsidRDefault="0071133C" w:rsidP="0071133C">
      <w:r>
        <w:t>After reviewing the material submitted to us, we are satisfied that we do not need to estimate the Black CAPM.</w:t>
      </w:r>
    </w:p>
    <w:p w:rsidR="0071133C" w:rsidRDefault="0071133C" w:rsidP="0071133C">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739"/>
      </w:r>
      <w:r w:rsidRPr="001B55CE">
        <w:t xml:space="preserve"> </w:t>
      </w:r>
    </w:p>
    <w:p w:rsidR="0071133C" w:rsidRPr="001B6CF5" w:rsidRDefault="0071133C" w:rsidP="0071133C">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71133C" w:rsidRDefault="0071133C" w:rsidP="0071133C">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740"/>
      </w:r>
    </w:p>
    <w:p w:rsidR="0071133C" w:rsidRDefault="0071133C" w:rsidP="0071133C">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741"/>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71133C" w:rsidRDefault="0071133C" w:rsidP="0071133C">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742"/>
      </w:r>
    </w:p>
    <w:p w:rsidR="00F8120D" w:rsidRPr="00F8120D" w:rsidRDefault="00F8120D" w:rsidP="00F8120D">
      <w:pPr>
        <w:pStyle w:val="AERquote"/>
      </w:pPr>
      <w:r w:rsidRPr="00F8120D">
        <w:t>[Beaulieu, Dufour and Khalaf (2012) states that] even if estimated betas are not close to one, irregularities associated with WI [weak identification] are not at all precluded [in view of (1) and (2) above]…</w:t>
      </w:r>
    </w:p>
    <w:p w:rsidR="00F8120D" w:rsidRPr="00F8120D" w:rsidRDefault="00F8120D" w:rsidP="00F8120D">
      <w:pPr>
        <w:pStyle w:val="AERquote"/>
      </w:pPr>
      <w:r w:rsidRPr="00F8120D">
        <w:t xml:space="preserve"> [Their statement states that] even if the estimated betas are not close to one, this is not a sufficient condition to preclude problems of estimation and inference.</w:t>
      </w:r>
    </w:p>
    <w:p w:rsidR="0071133C" w:rsidRPr="003E007E" w:rsidRDefault="00F8120D" w:rsidP="0071133C">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71133C" w:rsidRDefault="0071133C" w:rsidP="0071133C">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743"/>
      </w:r>
    </w:p>
    <w:p w:rsidR="0071133C" w:rsidRDefault="0071133C" w:rsidP="0071133C">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744"/>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745"/>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746"/>
      </w:r>
    </w:p>
    <w:p w:rsidR="0071133C" w:rsidRPr="00890E90" w:rsidRDefault="0071133C" w:rsidP="0071133C">
      <w:r>
        <w:t>HoustonKemp submitted in respect of the asset pricing tests in Lewellen, Nagel and Shanken:</w:t>
      </w:r>
      <w:r w:rsidRPr="00890E90">
        <w:rPr>
          <w:rStyle w:val="FootnoteReference"/>
        </w:rPr>
        <w:footnoteReference w:id="747"/>
      </w:r>
      <w:r w:rsidRPr="00890E90">
        <w:t xml:space="preserve">  </w:t>
      </w:r>
    </w:p>
    <w:p w:rsidR="0071133C" w:rsidRPr="0071133C" w:rsidRDefault="0071133C" w:rsidP="0071133C">
      <w:pPr>
        <w:pStyle w:val="AERbulletlistfirststyle"/>
      </w:pPr>
      <w:r>
        <w:t>Lewellen, Nagel and Shanken</w:t>
      </w:r>
      <w:r w:rsidRPr="0071133C">
        <w:t xml:space="preserve"> find that there is little relation between mean return and beta, and that estimates of the zero-beta premium are large and both economically and statistically significant.</w:t>
      </w:r>
    </w:p>
    <w:p w:rsidR="0071133C" w:rsidRPr="0071133C" w:rsidRDefault="0071133C" w:rsidP="0071133C">
      <w:pPr>
        <w:pStyle w:val="AERbulletlistfirststyle"/>
      </w:pPr>
      <w:r w:rsidRPr="00065C01">
        <w:t>Lewellen, Nagel and Shanken find</w:t>
      </w:r>
      <w:r w:rsidRPr="0071133C">
        <w:t xml:space="preserve"> statistically significant evidence that the Sharpe-Lintner CAPM will deliver downwardly biased estimates of the returns required on low-beta portfolios of stocks.</w:t>
      </w:r>
    </w:p>
    <w:p w:rsidR="0071133C" w:rsidRPr="009A482A" w:rsidRDefault="0071133C" w:rsidP="0071133C">
      <w:pPr>
        <w:rPr>
          <w:rStyle w:val="AERbody"/>
        </w:rPr>
      </w:pPr>
      <w:r w:rsidRPr="009A482A">
        <w:rPr>
          <w:rStyle w:val="AERbody"/>
        </w:rPr>
        <w:t>However, Partington and Satchell cautioned use of results from asset pricing tests:</w:t>
      </w:r>
      <w:r w:rsidRPr="009A482A">
        <w:rPr>
          <w:rStyle w:val="FootnoteReference"/>
        </w:rPr>
        <w:footnoteReference w:id="748"/>
      </w:r>
    </w:p>
    <w:p w:rsidR="0071133C" w:rsidRDefault="0071133C" w:rsidP="0071133C">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71133C" w:rsidRDefault="0071133C" w:rsidP="0071133C">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71133C" w:rsidRPr="00B4711B" w:rsidRDefault="0071133C" w:rsidP="0071133C">
      <w:pPr>
        <w:pStyle w:val="Heading9"/>
      </w:pPr>
      <w:bookmarkStart w:id="132" w:name="_Ref449010288"/>
      <w:r>
        <w:t>Low beta bias may not reflect ex ante priced risk</w:t>
      </w:r>
      <w:bookmarkEnd w:id="132"/>
    </w:p>
    <w:p w:rsidR="0071133C" w:rsidRDefault="0071133C" w:rsidP="0071133C">
      <w:r>
        <w:t xml:space="preserve">Service </w:t>
      </w:r>
      <w:r w:rsidR="0095169E">
        <w:t>providers</w:t>
      </w:r>
      <w:r>
        <w:t xml:space="preserve">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749"/>
      </w:r>
    </w:p>
    <w:p w:rsidR="0071133C" w:rsidRDefault="0071133C" w:rsidP="0071133C">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0230CB">
        <w:t>B.1.2</w:t>
      </w:r>
      <w:r>
        <w:fldChar w:fldCharType="end"/>
      </w:r>
      <w:r>
        <w:t xml:space="preserve">. We acknowledge </w:t>
      </w:r>
      <w:r w:rsidR="0095169E">
        <w:t>that</w:t>
      </w:r>
      <w:r>
        <w:t xml:space="preserve">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71133C" w:rsidRPr="006C4D93" w:rsidRDefault="0071133C" w:rsidP="0071133C">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50"/>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51"/>
      </w:r>
      <w:r>
        <w:t xml:space="preserve"> Handley later reiterated that </w:t>
      </w:r>
      <w:r w:rsidRPr="00725202">
        <w:t>our understanding of the low beta bias is still far</w:t>
      </w:r>
      <w:r>
        <w:t xml:space="preserve"> </w:t>
      </w:r>
      <w:r w:rsidRPr="00725202">
        <w:t>from clear.</w:t>
      </w:r>
      <w:r>
        <w:rPr>
          <w:rStyle w:val="FootnoteReference"/>
        </w:rPr>
        <w:footnoteReference w:id="752"/>
      </w:r>
    </w:p>
    <w:p w:rsidR="0071133C" w:rsidRDefault="0071133C" w:rsidP="0071133C">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53"/>
      </w:r>
    </w:p>
    <w:p w:rsidR="0071133C" w:rsidRDefault="0071133C" w:rsidP="0071133C">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54"/>
      </w:r>
      <w:r>
        <w:t xml:space="preserve"> As such, any attempt to compare the two models must be done with great care.</w:t>
      </w:r>
      <w:r>
        <w:rPr>
          <w:rStyle w:val="FootnoteReference"/>
        </w:rPr>
        <w:footnoteReference w:id="755"/>
      </w:r>
    </w:p>
    <w:p w:rsidR="0071133C" w:rsidRPr="001B6CF5" w:rsidRDefault="0071133C" w:rsidP="0071133C">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756"/>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757"/>
      </w:r>
      <w:r w:rsidRPr="001B6CF5">
        <w:t xml:space="preserve"> </w:t>
      </w:r>
    </w:p>
    <w:p w:rsidR="0071133C" w:rsidRPr="00B4711B" w:rsidRDefault="0071133C" w:rsidP="00DB4FCE">
      <w:pPr>
        <w:pStyle w:val="Heading9"/>
        <w:keepNext/>
      </w:pPr>
      <w:bookmarkStart w:id="133" w:name="_Ref448924785"/>
      <w:r>
        <w:t>AER's role for the theory of the Black CAPM</w:t>
      </w:r>
      <w:bookmarkEnd w:id="133"/>
    </w:p>
    <w:p w:rsidR="0071133C" w:rsidRDefault="0071133C" w:rsidP="00DB4FCE">
      <w:pPr>
        <w:keepNext/>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71133C" w:rsidRDefault="0071133C" w:rsidP="0071133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58"/>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71133C" w:rsidRDefault="0071133C" w:rsidP="0071133C">
      <w:pPr>
        <w:numPr>
          <w:ilvl w:val="0"/>
          <w:numId w:val="24"/>
        </w:numPr>
      </w:pPr>
      <w:r>
        <w:t>Our empirical and conceptual analysis of equity beta for businesses with a similar degree of risk as AGN (in the provision of regulated services) indicates an equity beta less than one, and within the range of 0.4 to 0.7.</w:t>
      </w:r>
      <w:r>
        <w:rPr>
          <w:rStyle w:val="FootnoteReference"/>
        </w:rPr>
        <w:footnoteReference w:id="759"/>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71133C" w:rsidRDefault="0071133C" w:rsidP="0071133C">
      <w:pPr>
        <w:numPr>
          <w:ilvl w:val="0"/>
          <w:numId w:val="24"/>
        </w:numPr>
      </w:pPr>
      <w:r>
        <w:t>However, it is important to note that:</w:t>
      </w:r>
    </w:p>
    <w:p w:rsidR="0071133C" w:rsidRPr="0071133C" w:rsidRDefault="0071133C" w:rsidP="0071133C">
      <w:pPr>
        <w:pStyle w:val="AERbulletlistfirststyle"/>
      </w:pPr>
      <w:r>
        <w:t>A</w:t>
      </w:r>
      <w:r w:rsidRPr="0071133C">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71133C" w:rsidRPr="0071133C" w:rsidRDefault="0071133C" w:rsidP="0071133C">
      <w:pPr>
        <w:pStyle w:val="AERbulletlistfirststyle"/>
      </w:pPr>
      <w:r>
        <w:t>W</w:t>
      </w:r>
      <w:r w:rsidRPr="0071133C">
        <w:t>e consider that we cannot reliably estimate the Black CAPM.</w:t>
      </w:r>
    </w:p>
    <w:p w:rsidR="0071133C" w:rsidRPr="0071133C" w:rsidRDefault="0071133C" w:rsidP="0071133C">
      <w:pPr>
        <w:pStyle w:val="AERbulletlistfirststyle"/>
      </w:pPr>
      <w:r>
        <w:t>The</w:t>
      </w:r>
      <w:r w:rsidRPr="0071133C">
        <w:t xml:space="preserve"> empirical tests of the Sharpe-Lintner CAPM using ex-post data do not provide conclusive evidence that the Sharpe-Lintner CAPM has 'low beta bias'.</w:t>
      </w:r>
    </w:p>
    <w:p w:rsidR="0071133C" w:rsidRDefault="0071133C" w:rsidP="0071133C">
      <w:pPr>
        <w:numPr>
          <w:ilvl w:val="0"/>
          <w:numId w:val="24"/>
        </w:numPr>
      </w:pPr>
      <w:r>
        <w:t xml:space="preserve">Our use of the Black CAPM in informing the equity beta point estimate is supported by recent advice from our expert consultants, McKenzie and Partington and John Handley. </w:t>
      </w:r>
    </w:p>
    <w:p w:rsidR="0071133C" w:rsidRDefault="0071133C" w:rsidP="0071133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760"/>
      </w:r>
    </w:p>
    <w:p w:rsidR="0071133C" w:rsidRDefault="0071133C" w:rsidP="0071133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61"/>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62"/>
      </w:r>
      <w:r>
        <w:t xml:space="preserve"> </w:t>
      </w:r>
    </w:p>
    <w:p w:rsidR="0071133C" w:rsidRDefault="0071133C" w:rsidP="0071133C">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63"/>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71133C" w:rsidRPr="00C61D42" w:rsidRDefault="0071133C" w:rsidP="0071133C">
      <w:r>
        <w:t>Some s</w:t>
      </w:r>
      <w:r w:rsidRPr="00C61D42">
        <w:t>ervice providers have submitted that we have adjusted the equity beta for the Black CAPM in order to provide a correction for low beta bias.</w:t>
      </w:r>
      <w:r>
        <w:rPr>
          <w:rStyle w:val="FootnoteReference"/>
        </w:rPr>
        <w:footnoteReference w:id="764"/>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65"/>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 see the 'estimating equity beta' subsection in section</w:t>
      </w:r>
      <w:r w:rsidR="00CD50B0">
        <w:t xml:space="preserve"> </w:t>
      </w:r>
      <w:r w:rsidR="00CD50B0">
        <w:fldChar w:fldCharType="begin"/>
      </w:r>
      <w:r w:rsidR="00CD50B0">
        <w:instrText xml:space="preserve"> REF _Ref430958591 \r \h </w:instrText>
      </w:r>
      <w:r w:rsidR="00CD50B0">
        <w:fldChar w:fldCharType="separate"/>
      </w:r>
      <w:r w:rsidR="000230CB">
        <w:t>3.4.1</w:t>
      </w:r>
      <w:r w:rsidR="00CD50B0">
        <w:fldChar w:fldCharType="end"/>
      </w:r>
      <w:r>
        <w:t>).</w:t>
      </w:r>
    </w:p>
    <w:p w:rsidR="0071133C" w:rsidRDefault="0071133C" w:rsidP="0071133C">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66"/>
      </w:r>
      <w:r>
        <w:t xml:space="preserve"> We do not consider that the Black CAPM can be reliably estimated, and therefore consider that proper regard to the model requires that we do not place weight on estimates from the model and do not estimate the zero-beta premium.</w:t>
      </w:r>
    </w:p>
    <w:p w:rsidR="0071133C" w:rsidRDefault="0071133C" w:rsidP="0071133C">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67"/>
      </w:r>
      <w:r>
        <w:t xml:space="preserve"> </w:t>
      </w:r>
    </w:p>
    <w:p w:rsidR="0071133C" w:rsidRPr="0092561B" w:rsidRDefault="0071133C" w:rsidP="0071133C">
      <w:pPr>
        <w:rPr>
          <w:rStyle w:val="AERbody"/>
        </w:rPr>
      </w:pPr>
      <w:r w:rsidRPr="0092561B">
        <w:rPr>
          <w:rStyle w:val="AERbody"/>
        </w:rPr>
        <w:t>We note that our equity beta estimate of 0.7 is informed by a range of relevant evidence</w:t>
      </w:r>
      <w:r w:rsidRPr="0092561B">
        <w:rPr>
          <w:rStyle w:val="FootnoteReference"/>
        </w:rPr>
        <w:footnoteReference w:id="768"/>
      </w:r>
      <w:r w:rsidRPr="0092561B">
        <w:rPr>
          <w:rStyle w:val="AERbody"/>
        </w:rPr>
        <w:t xml:space="preserve"> and based on exercise of our regulatory judgment. It is not determined in any mechanistic manner as suggested by HoustonKemp. </w:t>
      </w:r>
    </w:p>
    <w:p w:rsidR="0071133C" w:rsidRDefault="0071133C" w:rsidP="0071133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69"/>
      </w:r>
      <w:r w:rsidRPr="00EB6387">
        <w:t xml:space="preserve"> We do not consider </w:t>
      </w:r>
      <w:r>
        <w:t>that Frontier</w:t>
      </w:r>
      <w:r w:rsidRPr="00EB6387">
        <w:t xml:space="preserve"> have raised any substantive new evidence to support their views. Therefore, we maintain the position and reasoning set out above.</w:t>
      </w:r>
    </w:p>
    <w:p w:rsidR="0071133C" w:rsidRPr="00F143C8" w:rsidRDefault="0071133C" w:rsidP="0071133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70"/>
      </w:r>
      <w:r w:rsidRPr="00F143C8">
        <w:t xml:space="preserve"> The </w:t>
      </w:r>
      <w:r>
        <w:t>Consumer Challenge Panel</w:t>
      </w:r>
      <w:r w:rsidRPr="00F143C8">
        <w:t xml:space="preserve"> stated:</w:t>
      </w:r>
      <w:r w:rsidRPr="00F143C8">
        <w:rPr>
          <w:rStyle w:val="FootnoteReference"/>
        </w:rPr>
        <w:footnoteReference w:id="771"/>
      </w:r>
    </w:p>
    <w:p w:rsidR="0071133C" w:rsidRPr="00F143C8" w:rsidRDefault="0071133C" w:rsidP="0071133C">
      <w:pPr>
        <w:pStyle w:val="AERquote"/>
      </w:pPr>
      <w:r w:rsidRPr="00F143C8">
        <w:t>We have discussed our concerns with the Black CAPM above and do not consider it is an appropriate basis for the AER to select an equity beta that is higher than the median of the empirical observations.</w:t>
      </w:r>
    </w:p>
    <w:p w:rsidR="0071133C" w:rsidRDefault="0071133C" w:rsidP="0071133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72"/>
      </w:r>
      <w:r w:rsidRPr="00F143C8">
        <w:t xml:space="preserve"> We note that the theory of the Black CAPM was only one factor that informed our equity beta point estimate.</w:t>
      </w:r>
    </w:p>
    <w:p w:rsidR="0071133C" w:rsidRPr="001B6CF5" w:rsidRDefault="0071133C" w:rsidP="0071133C">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773"/>
      </w:r>
      <w:r w:rsidRPr="001B6CF5">
        <w:t xml:space="preserve"> We consider that this refers to the Guideline in its entirety, including our role for the theory of the Black CAPM.</w:t>
      </w:r>
    </w:p>
    <w:p w:rsidR="0071133C" w:rsidRDefault="0071133C" w:rsidP="0071133C">
      <w:pPr>
        <w:pStyle w:val="Heading8"/>
      </w:pPr>
      <w:bookmarkStart w:id="134" w:name="_Ref449007420"/>
      <w:bookmarkStart w:id="135" w:name="_Toc451943788"/>
      <w:r>
        <w:t>Fama-French model</w:t>
      </w:r>
      <w:bookmarkEnd w:id="134"/>
      <w:bookmarkEnd w:id="135"/>
    </w:p>
    <w:p w:rsidR="0071133C" w:rsidRPr="001562D4" w:rsidRDefault="0071133C" w:rsidP="0071133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74"/>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75"/>
      </w:r>
    </w:p>
    <w:p w:rsidR="0071133C" w:rsidRPr="0071133C" w:rsidRDefault="0071133C" w:rsidP="0071133C">
      <w:pPr>
        <w:pStyle w:val="AERbulletlistfirststyle"/>
      </w:pPr>
      <w:r w:rsidRPr="001562D4">
        <w:t>the return on the market (thus it incorporates the CAPM</w:t>
      </w:r>
      <w:r w:rsidRPr="0071133C">
        <w:t>'s systematic risk factor by having  the return on the market as a factor)</w:t>
      </w:r>
    </w:p>
    <w:p w:rsidR="0071133C" w:rsidRPr="0071133C" w:rsidRDefault="0071133C" w:rsidP="0071133C">
      <w:pPr>
        <w:pStyle w:val="AERbulletlistfirststyle"/>
      </w:pPr>
      <w:r w:rsidRPr="001562D4">
        <w:t>firm size (measured by market capitalisation)</w:t>
      </w:r>
    </w:p>
    <w:p w:rsidR="0071133C" w:rsidRPr="0071133C" w:rsidRDefault="0071133C" w:rsidP="0071133C">
      <w:pPr>
        <w:pStyle w:val="AERbulletlistfirststyle"/>
      </w:pPr>
      <w:r w:rsidRPr="001562D4">
        <w:t>the ratio of book value to market value</w:t>
      </w:r>
      <w:r w:rsidRPr="0071133C">
        <w:t>.</w:t>
      </w:r>
    </w:p>
    <w:p w:rsidR="0071133C" w:rsidRDefault="0071133C" w:rsidP="0071133C">
      <w:pPr>
        <w:numPr>
          <w:ilvl w:val="0"/>
          <w:numId w:val="24"/>
        </w:numPr>
      </w:pPr>
      <w:r>
        <w:t>We have reviewed all the material submitted to us</w:t>
      </w:r>
      <w:r>
        <w:rPr>
          <w:rStyle w:val="FootnoteReference"/>
        </w:rPr>
        <w:footnoteReference w:id="776"/>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77"/>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p>
    <w:p w:rsidR="0071133C" w:rsidRPr="001562D4" w:rsidRDefault="0071133C" w:rsidP="0071133C">
      <w:pPr>
        <w:numPr>
          <w:ilvl w:val="0"/>
          <w:numId w:val="24"/>
        </w:numPr>
      </w:pPr>
      <w:r>
        <w:t>Our</w:t>
      </w:r>
      <w:r w:rsidRPr="001562D4">
        <w:t xml:space="preserve"> reasons for giving the </w:t>
      </w:r>
      <w:r>
        <w:t>Fama-French model</w:t>
      </w:r>
      <w:r w:rsidRPr="001562D4">
        <w:t xml:space="preserve"> no role </w:t>
      </w:r>
      <w:r>
        <w:t>are:</w:t>
      </w:r>
    </w:p>
    <w:p w:rsidR="0071133C" w:rsidRPr="0071133C" w:rsidRDefault="0071133C" w:rsidP="0071133C">
      <w:pPr>
        <w:pStyle w:val="AERbulletlistfirststyle"/>
      </w:pPr>
      <w:r>
        <w:t>E</w:t>
      </w:r>
      <w:r w:rsidRPr="0071133C">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71133C" w:rsidRPr="0071133C" w:rsidRDefault="0071133C" w:rsidP="0071133C">
      <w:pPr>
        <w:pStyle w:val="AERbulletlistfirststyle"/>
      </w:pPr>
      <w:r>
        <w:t>T</w:t>
      </w:r>
      <w:r w:rsidRPr="0071133C">
        <w:t>he ex-post (backward looking) observation of apparently priced risk factors does not mean these factors are priced ex-ante (on a forward looking basis).</w:t>
      </w:r>
    </w:p>
    <w:p w:rsidR="0071133C" w:rsidRPr="0071133C" w:rsidRDefault="0071133C" w:rsidP="0071133C">
      <w:pPr>
        <w:pStyle w:val="AERbulletlistfirststyle"/>
      </w:pPr>
      <w:r>
        <w:t>T</w:t>
      </w:r>
      <w:r w:rsidRPr="0071133C">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71133C">
        <w:rPr>
          <w:rStyle w:val="FootnoteReference"/>
        </w:rPr>
        <w:t xml:space="preserve"> </w:t>
      </w:r>
      <w:r w:rsidRPr="0071133C">
        <w:rPr>
          <w:rStyle w:val="FootnoteReference"/>
        </w:rPr>
        <w:footnoteReference w:id="778"/>
      </w:r>
    </w:p>
    <w:p w:rsidR="0071133C" w:rsidRPr="0071133C" w:rsidRDefault="0071133C" w:rsidP="0071133C">
      <w:pPr>
        <w:pStyle w:val="AERbulletlistfirststyle"/>
      </w:pPr>
      <w:r>
        <w:t>T</w:t>
      </w:r>
      <w:r w:rsidRPr="0071133C">
        <w:t>here is little evidence of companies or regulators using the Fama-French model to estimate the return on equity.</w:t>
      </w:r>
      <w:r w:rsidRPr="0071133C">
        <w:rPr>
          <w:rStyle w:val="FootnoteReference"/>
        </w:rPr>
        <w:footnoteReference w:id="779"/>
      </w:r>
    </w:p>
    <w:p w:rsidR="0071133C" w:rsidRDefault="0071133C" w:rsidP="0071133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AGN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71133C" w:rsidRPr="001562D4" w:rsidRDefault="0071133C" w:rsidP="0071133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80"/>
      </w:r>
      <w:r>
        <w:t xml:space="preserve"> We consider Handley's comments on the model also support our decision to not use the Fame-French model.</w:t>
      </w:r>
      <w:r>
        <w:rPr>
          <w:rStyle w:val="FootnoteReference"/>
        </w:rPr>
        <w:footnoteReference w:id="781"/>
      </w:r>
    </w:p>
    <w:p w:rsidR="0071133C" w:rsidRDefault="0071133C" w:rsidP="0071133C">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82"/>
      </w:r>
      <w:r>
        <w:t xml:space="preserve"> </w:t>
      </w:r>
    </w:p>
    <w:p w:rsidR="0071133C" w:rsidRDefault="0071133C" w:rsidP="0071133C">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783"/>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84"/>
      </w:r>
      <w:r>
        <w:t xml:space="preserve"> </w:t>
      </w:r>
    </w:p>
    <w:p w:rsidR="0071133C" w:rsidRDefault="0071133C" w:rsidP="0071133C">
      <w:pPr>
        <w:numPr>
          <w:ilvl w:val="0"/>
          <w:numId w:val="24"/>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785"/>
      </w:r>
      <w:r>
        <w:t xml:space="preserve"> </w:t>
      </w:r>
    </w:p>
    <w:p w:rsidR="0071133C" w:rsidRPr="0071133C" w:rsidRDefault="0071133C" w:rsidP="0071133C">
      <w:pPr>
        <w:pStyle w:val="AERbulletlistfirststyle"/>
      </w:pPr>
      <w:r>
        <w:t>The Fama-French model performs better than the Sharpe-Lintner CAPM.</w:t>
      </w:r>
      <w:r w:rsidRPr="0071133C">
        <w:rPr>
          <w:rStyle w:val="FootnoteReference"/>
        </w:rPr>
        <w:footnoteReference w:id="786"/>
      </w:r>
    </w:p>
    <w:p w:rsidR="0071133C" w:rsidRPr="0071133C" w:rsidRDefault="0071133C" w:rsidP="0071133C">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71133C" w:rsidRPr="0071133C" w:rsidRDefault="0071133C" w:rsidP="0071133C">
      <w:pPr>
        <w:pStyle w:val="AERbulletlistfirststyle"/>
        <w:rPr>
          <w:rStyle w:val="AERbody"/>
        </w:rPr>
      </w:pPr>
      <w:r w:rsidRPr="008166A1">
        <w:rPr>
          <w:rStyle w:val="AERbody"/>
        </w:rPr>
        <w:t xml:space="preserve">HoustonKemp noted that the </w:t>
      </w:r>
      <w:r w:rsidRPr="0071133C">
        <w:rPr>
          <w:rStyle w:val="AERbody"/>
        </w:rPr>
        <w:t>Fama-French model was developed to address mis-pricing on low-cap and value stocks.</w:t>
      </w:r>
      <w:r w:rsidRPr="0071133C">
        <w:rPr>
          <w:rStyle w:val="FootnoteReference"/>
        </w:rPr>
        <w:footnoteReference w:id="787"/>
      </w:r>
      <w:r w:rsidRPr="0071133C">
        <w:rPr>
          <w:rStyle w:val="AERbody"/>
        </w:rPr>
        <w:t xml:space="preserve"> </w:t>
      </w:r>
    </w:p>
    <w:p w:rsidR="0071133C" w:rsidRPr="008166A1" w:rsidRDefault="0071133C" w:rsidP="0071133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88"/>
      </w:r>
      <w:r w:rsidRPr="008166A1">
        <w:rPr>
          <w:rStyle w:val="AERbody"/>
        </w:rPr>
        <w:t xml:space="preserve"> </w:t>
      </w:r>
    </w:p>
    <w:p w:rsidR="0071133C" w:rsidRDefault="0071133C" w:rsidP="0071133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89"/>
      </w:r>
    </w:p>
    <w:p w:rsidR="0071133C" w:rsidRPr="006F34DC" w:rsidRDefault="0071133C" w:rsidP="0071133C">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71133C" w:rsidRPr="001F02B3" w:rsidRDefault="0071133C" w:rsidP="0071133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90"/>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791"/>
      </w:r>
    </w:p>
    <w:p w:rsidR="0071133C" w:rsidRDefault="0071133C" w:rsidP="0071133C">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0230CB">
        <w:t>B.1</w:t>
      </w:r>
      <w:r>
        <w:fldChar w:fldCharType="end"/>
      </w:r>
      <w:r>
        <w:t xml:space="preserve"> above. We set out our response to the other issues in the following sections.</w:t>
      </w:r>
    </w:p>
    <w:p w:rsidR="0071133C" w:rsidRPr="00B4711B" w:rsidRDefault="0071133C" w:rsidP="0071133C">
      <w:pPr>
        <w:pStyle w:val="Heading9"/>
      </w:pPr>
      <w:r>
        <w:t>Sensitivity to methodological choices</w:t>
      </w:r>
    </w:p>
    <w:p w:rsidR="0071133C" w:rsidRDefault="0071133C" w:rsidP="0071133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792"/>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93"/>
      </w:r>
    </w:p>
    <w:p w:rsidR="0071133C" w:rsidRDefault="0071133C" w:rsidP="0071133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794"/>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71133C" w:rsidRPr="00F17532" w:rsidRDefault="0071133C" w:rsidP="0071133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795"/>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796"/>
      </w:r>
    </w:p>
    <w:p w:rsidR="0071133C" w:rsidRPr="001562D4" w:rsidRDefault="0071133C" w:rsidP="0071133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797"/>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798"/>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799"/>
      </w:r>
      <w:r>
        <w:t xml:space="preserve"> In contrast, we have a higher degree of confidence in our Sharpe-Lintner CAPM input parameters and resulting return on equity estimates.</w:t>
      </w:r>
    </w:p>
    <w:p w:rsidR="0071133C" w:rsidRDefault="0071133C" w:rsidP="0071133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71133C" w:rsidRDefault="0071133C" w:rsidP="0071133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00"/>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01"/>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02"/>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71133C" w:rsidRDefault="0071133C" w:rsidP="0071133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03"/>
      </w:r>
      <w:r>
        <w:t xml:space="preserve"> While we recognise that all models can be sensitive, we are not satisfied that the sensitivity of the Fama-French model is comparable to the Sharpe-Lintner CAPM. </w:t>
      </w:r>
    </w:p>
    <w:p w:rsidR="0071133C" w:rsidRDefault="0071133C" w:rsidP="0071133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04"/>
      </w:r>
      <w:r>
        <w:t xml:space="preserve"> We have confidence in our proxy for the risk free rate, which would be the same if we were to apply the Fama-French model.</w:t>
      </w:r>
    </w:p>
    <w:p w:rsidR="0071133C" w:rsidRDefault="0071133C" w:rsidP="0071133C">
      <w:r>
        <w:t>Partington did not agree with SFG's submission that all models are sensitive to different estimation periods and methodologies. He advised:</w:t>
      </w:r>
      <w:r>
        <w:rPr>
          <w:rStyle w:val="FootnoteReference"/>
        </w:rPr>
        <w:footnoteReference w:id="805"/>
      </w:r>
    </w:p>
    <w:p w:rsidR="0071133C" w:rsidRDefault="0071133C" w:rsidP="0071133C">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71133C" w:rsidRDefault="0071133C" w:rsidP="0071133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06"/>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71133C" w:rsidRPr="006C4D93" w:rsidRDefault="0071133C" w:rsidP="0071133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07"/>
      </w:r>
      <w:r>
        <w:t xml:space="preserve"> Further, NERA previously submitted:</w:t>
      </w:r>
      <w:r w:rsidRPr="006C4D93">
        <w:rPr>
          <w:rStyle w:val="FootnoteReference"/>
        </w:rPr>
        <w:footnoteReference w:id="808"/>
      </w:r>
    </w:p>
    <w:p w:rsidR="0071133C" w:rsidRPr="001562D4" w:rsidRDefault="0071133C" w:rsidP="0071133C">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71133C" w:rsidRDefault="0071133C" w:rsidP="0071133C">
      <w:r>
        <w:t>We do not consider there are clear objective grounds to distinguish the 'best' studies. McKenzie and Partington supported this view.</w:t>
      </w:r>
      <w:r>
        <w:rPr>
          <w:rStyle w:val="FootnoteReference"/>
        </w:rPr>
        <w:footnoteReference w:id="809"/>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10"/>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11"/>
      </w:r>
    </w:p>
    <w:p w:rsidR="0071133C" w:rsidRPr="00B4711B" w:rsidRDefault="0071133C" w:rsidP="0071133C">
      <w:pPr>
        <w:pStyle w:val="Heading9"/>
      </w:pPr>
      <w:bookmarkStart w:id="136" w:name="_Ref449010281"/>
      <w:r>
        <w:t>Fama-French factors may not reflect ex ante priced risk</w:t>
      </w:r>
      <w:bookmarkEnd w:id="136"/>
    </w:p>
    <w:p w:rsidR="0071133C" w:rsidRDefault="0071133C" w:rsidP="0071133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12"/>
      </w:r>
    </w:p>
    <w:p w:rsidR="0071133C" w:rsidRDefault="0071133C" w:rsidP="0071133C">
      <w:pPr>
        <w:numPr>
          <w:ilvl w:val="0"/>
          <w:numId w:val="24"/>
        </w:numPr>
      </w:pPr>
      <w:r>
        <w:t>We are not satisfied the Fama-French model is helpful for our regulatory task because:</w:t>
      </w:r>
    </w:p>
    <w:p w:rsidR="0071133C" w:rsidRPr="0071133C" w:rsidRDefault="0071133C" w:rsidP="0071133C">
      <w:pPr>
        <w:pStyle w:val="AERbulletlistfirststyle"/>
      </w:pPr>
      <w:r>
        <w:t xml:space="preserve">We consider that whether </w:t>
      </w:r>
      <w:r w:rsidRPr="0071133C">
        <w:t>factors are priced in the cross-section is unresolved. SFG referred to a number of possible explanations for why the value factor could be genuinely priced in average returns in the cross section.</w:t>
      </w:r>
      <w:r w:rsidRPr="0071133C">
        <w:rPr>
          <w:rStyle w:val="FootnoteReference"/>
        </w:rPr>
        <w:footnoteReference w:id="813"/>
      </w:r>
      <w:r w:rsidRPr="0071133C">
        <w:t xml:space="preserve"> However, none of the possible reasons is commonly accepted.</w:t>
      </w:r>
      <w:r w:rsidRPr="0071133C">
        <w:rPr>
          <w:rStyle w:val="FootnoteReference"/>
        </w:rPr>
        <w:footnoteReference w:id="814"/>
      </w:r>
    </w:p>
    <w:p w:rsidR="0071133C" w:rsidRPr="0071133C" w:rsidRDefault="0071133C" w:rsidP="0071133C">
      <w:pPr>
        <w:pStyle w:val="AERbulletlistfirststyle"/>
      </w:pPr>
      <w:r>
        <w:t>E</w:t>
      </w:r>
      <w:r w:rsidRPr="0071133C">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71133C" w:rsidRDefault="0071133C" w:rsidP="0071133C">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15"/>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816"/>
      </w:r>
    </w:p>
    <w:p w:rsidR="0071133C" w:rsidRDefault="0071133C" w:rsidP="0071133C">
      <w:pPr>
        <w:pStyle w:val="ListParagraph"/>
        <w:numPr>
          <w:ilvl w:val="0"/>
          <w:numId w:val="24"/>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817"/>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818"/>
      </w:r>
      <w:r>
        <w:t xml:space="preserve"> They added that f</w:t>
      </w:r>
      <w:r w:rsidRPr="00615EDE">
        <w:t>orecasting stock returns and determining equilibrium expected returns (asset pricing) are two different tasks.</w:t>
      </w:r>
      <w:r>
        <w:rPr>
          <w:rStyle w:val="FootnoteReference"/>
        </w:rPr>
        <w:footnoteReference w:id="819"/>
      </w:r>
      <w:r w:rsidRPr="00615EDE">
        <w:t xml:space="preserve"> </w:t>
      </w:r>
    </w:p>
    <w:p w:rsidR="0071133C" w:rsidRDefault="0071133C" w:rsidP="0071133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820"/>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71133C" w:rsidRDefault="0071133C" w:rsidP="0071133C">
      <w:pPr>
        <w:pStyle w:val="Heading8"/>
      </w:pPr>
      <w:bookmarkStart w:id="137" w:name="_Ref449007421"/>
      <w:bookmarkStart w:id="138" w:name="_Toc451943789"/>
      <w:r>
        <w:t>Dividend growth model</w:t>
      </w:r>
      <w:bookmarkEnd w:id="137"/>
      <w:bookmarkEnd w:id="138"/>
    </w:p>
    <w:p w:rsidR="0071133C" w:rsidRDefault="0071133C" w:rsidP="0071133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0230CB">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71133C" w:rsidRPr="00957F0D" w:rsidRDefault="0071133C" w:rsidP="0071133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71133C" w:rsidRPr="0071133C" w:rsidRDefault="0071133C" w:rsidP="0071133C">
      <w:pPr>
        <w:pStyle w:val="AERbulletlistfirststyle"/>
      </w:pPr>
      <w:r>
        <w:t>e</w:t>
      </w:r>
      <w:r w:rsidRPr="0071133C">
        <w:t>stimating the return on equity for the benchmark efficient entity</w:t>
      </w:r>
    </w:p>
    <w:p w:rsidR="0071133C" w:rsidRPr="0071133C" w:rsidRDefault="0071133C" w:rsidP="0071133C">
      <w:pPr>
        <w:pStyle w:val="AERbulletlistfirststyle"/>
      </w:pPr>
      <w:r>
        <w:t>p</w:t>
      </w:r>
      <w:r w:rsidRPr="0071133C">
        <w:t>erforming a cross check on whether other models (including the Sharpe-Lintner CAPM) are producing reasonable estimates of the return on equity.</w:t>
      </w:r>
    </w:p>
    <w:p w:rsidR="0071133C" w:rsidRPr="00957F0D" w:rsidRDefault="0071133C" w:rsidP="0071133C">
      <w:pPr>
        <w:numPr>
          <w:ilvl w:val="0"/>
          <w:numId w:val="24"/>
        </w:numPr>
      </w:pPr>
      <w:r>
        <w:t>Our</w:t>
      </w:r>
      <w:r w:rsidRPr="00957F0D">
        <w:t xml:space="preserve"> reasons for </w:t>
      </w:r>
      <w:r>
        <w:t>this position</w:t>
      </w:r>
      <w:r w:rsidRPr="00957F0D">
        <w:t xml:space="preserve"> are:</w:t>
      </w:r>
    </w:p>
    <w:p w:rsidR="0071133C" w:rsidRPr="0071133C" w:rsidRDefault="0071133C" w:rsidP="0071133C">
      <w:pPr>
        <w:pStyle w:val="AERbulletlistfirststyle"/>
      </w:pPr>
      <w:r>
        <w:t>T</w:t>
      </w:r>
      <w:r w:rsidRPr="0071133C">
        <w:t>here is insufficient data on dividend forecasts to form robust estimates of the required return on equity for Australian energy network service providers.</w:t>
      </w:r>
      <w:r w:rsidRPr="0071133C">
        <w:rPr>
          <w:rStyle w:val="FootnoteReference"/>
        </w:rPr>
        <w:footnoteReference w:id="821"/>
      </w:r>
      <w:r w:rsidRPr="0071133C">
        <w:t xml:space="preserve"> As such, there are practical difficulties in constructing credible datasets for implementing industry specific dividend growth models.</w:t>
      </w:r>
      <w:r w:rsidRPr="0071133C">
        <w:rPr>
          <w:rStyle w:val="FootnoteReference"/>
        </w:rPr>
        <w:footnoteReference w:id="822"/>
      </w:r>
      <w:r w:rsidRPr="0071133C">
        <w:t xml:space="preserve"> Also, there are too few Australian businesses to estimate dividend growth models on an individual business level.</w:t>
      </w:r>
      <w:r w:rsidRPr="0071133C">
        <w:rPr>
          <w:rStyle w:val="FootnoteReference"/>
        </w:rPr>
        <w:footnoteReference w:id="823"/>
      </w:r>
      <w:r w:rsidRPr="0071133C">
        <w:t xml:space="preserve"> However, a sufficiently robust data series exists for dividend yields for the Australian market as a whole.</w:t>
      </w:r>
    </w:p>
    <w:p w:rsidR="0071133C" w:rsidRPr="0071133C" w:rsidRDefault="0071133C" w:rsidP="0071133C">
      <w:pPr>
        <w:pStyle w:val="AERbulletlistfirststyle"/>
      </w:pPr>
      <w:r>
        <w:t>We do not consider that</w:t>
      </w:r>
      <w:r w:rsidRPr="0071133C">
        <w:t xml:space="preserve"> there is a sufficiently robust method for estimating the long-term dividend growth rate</w:t>
      </w:r>
      <w:r w:rsidRPr="0071133C">
        <w:rPr>
          <w:rStyle w:val="CommentReference"/>
        </w:rPr>
        <w:t xml:space="preserve"> </w:t>
      </w:r>
      <w:r w:rsidRPr="0071133C">
        <w:t>for Australian energy network service providers.</w:t>
      </w:r>
      <w:r w:rsidRPr="0071133C">
        <w:rPr>
          <w:rStyle w:val="FootnoteReference"/>
        </w:rPr>
        <w:footnoteReference w:id="824"/>
      </w:r>
      <w:r w:rsidRPr="0071133C">
        <w:t xml:space="preserve"> However, there are developed methods for estimating the long-term growth rate of dividends for the Australian market as a whole.</w:t>
      </w:r>
      <w:r w:rsidRPr="0071133C">
        <w:rPr>
          <w:rStyle w:val="FootnoteReference"/>
        </w:rPr>
        <w:footnoteReference w:id="825"/>
      </w:r>
      <w:r w:rsidRPr="0071133C">
        <w:t xml:space="preserve"> </w:t>
      </w:r>
    </w:p>
    <w:p w:rsidR="0071133C" w:rsidRPr="0071133C" w:rsidRDefault="0071133C" w:rsidP="0071133C">
      <w:pPr>
        <w:pStyle w:val="AERbulletlistfirststyle"/>
      </w:pPr>
      <w:r>
        <w:t>Dividend growth models</w:t>
      </w:r>
      <w:r w:rsidRPr="0071133C">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71133C">
        <w:rPr>
          <w:rStyle w:val="CommentReference"/>
        </w:rPr>
        <w:t xml:space="preserve"> </w:t>
      </w:r>
      <w:r w:rsidRPr="0071133C">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71133C">
        <w:rPr>
          <w:rStyle w:val="FootnoteReference"/>
        </w:rPr>
        <w:footnoteReference w:id="826"/>
      </w:r>
    </w:p>
    <w:p w:rsidR="0071133C" w:rsidRPr="0071133C" w:rsidRDefault="0071133C" w:rsidP="0071133C">
      <w:pPr>
        <w:pStyle w:val="AERbulletlistfirststyle"/>
      </w:pPr>
      <w:r>
        <w:t>Dividend growth model estimates may be upwardly biased due to:</w:t>
      </w:r>
    </w:p>
    <w:p w:rsidR="0071133C" w:rsidRDefault="0071133C" w:rsidP="0071133C">
      <w:pPr>
        <w:pStyle w:val="AERbulletlistsecondstyle"/>
      </w:pPr>
      <w:r>
        <w:t>The well-understood upwards bias in a</w:t>
      </w:r>
      <w:r w:rsidRPr="00B4711B">
        <w:t>nalyst forecasts</w:t>
      </w:r>
      <w:r>
        <w:t>.</w:t>
      </w:r>
      <w:r w:rsidRPr="00B4711B">
        <w:rPr>
          <w:rStyle w:val="FootnoteReference"/>
        </w:rPr>
        <w:footnoteReference w:id="827"/>
      </w:r>
    </w:p>
    <w:p w:rsidR="0071133C" w:rsidRDefault="0071133C" w:rsidP="0071133C">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828"/>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829"/>
      </w:r>
    </w:p>
    <w:p w:rsidR="0071133C" w:rsidRDefault="0071133C" w:rsidP="0071133C">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30"/>
      </w:r>
      <w:r w:rsidRPr="0065391F">
        <w:rPr>
          <w:rStyle w:val="AERbody"/>
        </w:rPr>
        <w:t xml:space="preserve"> </w:t>
      </w:r>
    </w:p>
    <w:p w:rsidR="0071133C" w:rsidRPr="00B4711B" w:rsidRDefault="0071133C" w:rsidP="0071133C">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831"/>
      </w:r>
    </w:p>
    <w:p w:rsidR="0071133C" w:rsidRPr="002F6B48" w:rsidRDefault="0071133C" w:rsidP="0071133C">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71133C" w:rsidRDefault="0071133C" w:rsidP="0071133C">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832"/>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833"/>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834"/>
      </w:r>
      <w:r w:rsidRPr="00690E38">
        <w:t xml:space="preserve"> While we use the dividend growth model to inform the estimate of the market risk premium, we also take these concerns into account.</w:t>
      </w:r>
    </w:p>
    <w:p w:rsidR="0071133C" w:rsidRPr="00957F0D" w:rsidRDefault="0071133C" w:rsidP="0071133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835"/>
      </w:r>
    </w:p>
    <w:p w:rsidR="0071133C" w:rsidRPr="00957F0D" w:rsidRDefault="0071133C" w:rsidP="0071133C">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71133C" w:rsidRPr="00957F0D" w:rsidRDefault="0071133C" w:rsidP="0071133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836"/>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837"/>
      </w:r>
    </w:p>
    <w:p w:rsidR="0071133C" w:rsidRPr="00045ECA" w:rsidRDefault="0071133C" w:rsidP="0071133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838"/>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839"/>
      </w:r>
      <w:r w:rsidRPr="00045ECA">
        <w:t xml:space="preserve"> </w:t>
      </w:r>
    </w:p>
    <w:p w:rsidR="0071133C" w:rsidRDefault="0071133C" w:rsidP="0071133C">
      <w:pPr>
        <w:numPr>
          <w:ilvl w:val="0"/>
          <w:numId w:val="24"/>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840"/>
      </w:r>
      <w:r>
        <w:t xml:space="preserve"> Services providers have also not provided compelling evidence that dividend growth model estimates of market risk premium are not upwardly biased. </w:t>
      </w:r>
    </w:p>
    <w:p w:rsidR="0071133C" w:rsidRPr="004D7F0F" w:rsidRDefault="0071133C" w:rsidP="0071133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841"/>
      </w:r>
    </w:p>
    <w:p w:rsidR="0071133C" w:rsidRDefault="0071133C" w:rsidP="0071133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0230CB">
        <w:t>D.4</w:t>
      </w:r>
      <w:r>
        <w:fldChar w:fldCharType="end"/>
      </w:r>
      <w:r>
        <w:t>.</w:t>
      </w:r>
    </w:p>
    <w:p w:rsidR="0071133C" w:rsidRPr="00C61D42" w:rsidRDefault="0071133C" w:rsidP="0071133C">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84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0230CB">
        <w:t>B.4.1</w:t>
      </w:r>
      <w:r>
        <w:fldChar w:fldCharType="end"/>
      </w:r>
      <w:r>
        <w:t xml:space="preserve"> below.</w:t>
      </w:r>
    </w:p>
    <w:p w:rsidR="0071133C" w:rsidRPr="00B4711B" w:rsidRDefault="0071133C" w:rsidP="0071133C">
      <w:pPr>
        <w:pStyle w:val="Heading9"/>
      </w:pPr>
      <w:bookmarkStart w:id="139" w:name="_Ref449021062"/>
      <w:r w:rsidRPr="00B4711B">
        <w:t>SFG</w:t>
      </w:r>
      <w:r>
        <w:t xml:space="preserve">'s </w:t>
      </w:r>
      <w:r w:rsidR="0095169E">
        <w:t>construction</w:t>
      </w:r>
      <w:r>
        <w:t xml:space="preserve"> of the dividend growth model</w:t>
      </w:r>
      <w:bookmarkEnd w:id="139"/>
    </w:p>
    <w:p w:rsidR="0071133C" w:rsidRDefault="0071133C" w:rsidP="0071133C">
      <w:pPr>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84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844"/>
      </w:r>
      <w:r w:rsidRPr="00B4711B">
        <w:t xml:space="preserve"> However, we consider SFG has overstated the ability of its </w:t>
      </w:r>
      <w:r>
        <w:t>dividend growth model</w:t>
      </w:r>
      <w:r w:rsidRPr="00B4711B">
        <w:t xml:space="preserve"> to provide robust return on equity estimates at the industry level.</w:t>
      </w:r>
    </w:p>
    <w:p w:rsidR="0071133C" w:rsidRDefault="0071133C" w:rsidP="0071133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84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71133C" w:rsidRPr="00941168" w:rsidRDefault="0071133C" w:rsidP="0071133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84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847"/>
      </w:r>
      <w:r w:rsidRPr="00941168">
        <w:t xml:space="preserve"> </w:t>
      </w:r>
    </w:p>
    <w:p w:rsidR="0071133C" w:rsidRPr="00941168" w:rsidRDefault="0071133C" w:rsidP="0071133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71133C" w:rsidRDefault="0071133C" w:rsidP="0071133C">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71133C" w:rsidRPr="001562D4" w:rsidRDefault="0071133C" w:rsidP="0071133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48"/>
      </w:r>
    </w:p>
    <w:p w:rsidR="0071133C" w:rsidRPr="00B4711B" w:rsidRDefault="0071133C" w:rsidP="0071133C">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849"/>
      </w:r>
      <w:r w:rsidRPr="00B4711B">
        <w:t xml:space="preserve"> However, this perception of stability is subjective and we do not agree with it. </w:t>
      </w:r>
      <w:r w:rsidR="001010DE">
        <w:fldChar w:fldCharType="begin"/>
      </w:r>
      <w:r w:rsidR="001010DE">
        <w:instrText xml:space="preserve"> REF _Ref451895691 \h </w:instrText>
      </w:r>
      <w:r w:rsidR="001010DE">
        <w:fldChar w:fldCharType="separate"/>
      </w:r>
      <w:r w:rsidR="000230CB">
        <w:t xml:space="preserve">Figure </w:t>
      </w:r>
      <w:r w:rsidR="000230CB">
        <w:rPr>
          <w:noProof/>
        </w:rPr>
        <w:t>3</w:t>
      </w:r>
      <w:r w:rsidR="000230CB">
        <w:noBreakHyphen/>
      </w:r>
      <w:r w:rsidR="000230CB">
        <w:rPr>
          <w:noProof/>
        </w:rPr>
        <w:t>6</w:t>
      </w:r>
      <w:r w:rsidR="001010DE">
        <w:fldChar w:fldCharType="end"/>
      </w:r>
      <w:r>
        <w:t xml:space="preserve"> </w:t>
      </w:r>
      <w:r w:rsidRPr="00B4711B">
        <w:t>illustrates this point by showing three time series:</w:t>
      </w:r>
      <w:r w:rsidRPr="00B4711B">
        <w:rPr>
          <w:rStyle w:val="FootnoteReference"/>
        </w:rPr>
        <w:footnoteReference w:id="850"/>
      </w:r>
    </w:p>
    <w:p w:rsidR="0071133C" w:rsidRPr="0071133C" w:rsidRDefault="0071133C" w:rsidP="0071133C">
      <w:pPr>
        <w:pStyle w:val="AERbulletlistfirststyle"/>
      </w:pPr>
      <w:r w:rsidRPr="00B4711B">
        <w:t xml:space="preserve">the return on equity for the market determined by SFG's </w:t>
      </w:r>
      <w:r w:rsidRPr="0071133C">
        <w:t>model (blue line)</w:t>
      </w:r>
    </w:p>
    <w:p w:rsidR="0071133C" w:rsidRPr="0071133C" w:rsidRDefault="0071133C" w:rsidP="0071133C">
      <w:pPr>
        <w:pStyle w:val="AERbulletlistfirststyle"/>
      </w:pPr>
      <w:r w:rsidRPr="00B4711B">
        <w:t xml:space="preserve">the return on equity for network businesses determined by multiplying the </w:t>
      </w:r>
      <w:r w:rsidRPr="0071133C">
        <w:t>market risk premium from SFG's model by 0.94 then adding the prevailing risk free rate (green line)</w:t>
      </w:r>
    </w:p>
    <w:p w:rsidR="0071133C" w:rsidRPr="0071133C" w:rsidRDefault="0071133C" w:rsidP="0071133C">
      <w:pPr>
        <w:pStyle w:val="AERbulletlistfirststyle"/>
      </w:pPr>
      <w:r w:rsidRPr="00B4711B">
        <w:t xml:space="preserve">the return on equity for network businesses determined by directly applying SFG's </w:t>
      </w:r>
      <w:r w:rsidRPr="0071133C">
        <w:t>model (red line).</w:t>
      </w:r>
    </w:p>
    <w:p w:rsidR="001010DE" w:rsidRDefault="001010DE" w:rsidP="001010DE">
      <w:pPr>
        <w:pStyle w:val="Caption"/>
      </w:pPr>
      <w:bookmarkStart w:id="140" w:name="_Ref451895691"/>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noBreakHyphen/>
      </w:r>
      <w:r w:rsidR="00527450">
        <w:fldChar w:fldCharType="begin"/>
      </w:r>
      <w:r w:rsidR="00527450">
        <w:instrText xml:space="preserve"> SEQ Figure \* ARABIC \s 1 </w:instrText>
      </w:r>
      <w:r w:rsidR="00527450">
        <w:fldChar w:fldCharType="separate"/>
      </w:r>
      <w:r w:rsidR="000230CB">
        <w:rPr>
          <w:noProof/>
        </w:rPr>
        <w:t>6</w:t>
      </w:r>
      <w:r w:rsidR="00527450">
        <w:rPr>
          <w:noProof/>
        </w:rPr>
        <w:fldChar w:fldCharType="end"/>
      </w:r>
      <w:bookmarkEnd w:id="140"/>
      <w:r>
        <w:tab/>
      </w:r>
      <w:r w:rsidRPr="00B4711B">
        <w:t>Movements in SFG's dividend growth model</w:t>
      </w:r>
    </w:p>
    <w:p w:rsidR="0071133C" w:rsidRPr="00B4711B" w:rsidRDefault="0071133C" w:rsidP="0071133C">
      <w:pPr>
        <w:numPr>
          <w:ilvl w:val="0"/>
          <w:numId w:val="24"/>
        </w:numPr>
      </w:pPr>
      <w:r w:rsidRPr="0071133C">
        <w:rPr>
          <w:noProof/>
          <w:lang w:eastAsia="en-AU"/>
        </w:rPr>
        <w:drawing>
          <wp:inline distT="0" distB="0" distL="0" distR="0" wp14:anchorId="2F174406" wp14:editId="2A996A21">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71133C" w:rsidRPr="00B4711B" w:rsidRDefault="0071133C" w:rsidP="0071133C">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51"/>
      </w:r>
    </w:p>
    <w:p w:rsidR="0071133C" w:rsidRPr="00B4711B" w:rsidRDefault="0071133C" w:rsidP="0071133C">
      <w:pPr>
        <w:pStyle w:val="AERtablesource"/>
      </w:pPr>
      <w:r w:rsidRPr="00B4711B">
        <w:t>Note:</w:t>
      </w:r>
      <w:r w:rsidRPr="00B4711B">
        <w:tab/>
        <w:t>SFG calls the market value return on equity, the 'cost of equity'. This is the concept we refer to throughout this decision as the 'return on equity'.</w:t>
      </w:r>
    </w:p>
    <w:p w:rsidR="0071133C" w:rsidRPr="00B4711B" w:rsidRDefault="0071133C" w:rsidP="0071133C">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71133C" w:rsidRPr="00B4711B" w:rsidRDefault="001010DE" w:rsidP="0071133C">
      <w:pPr>
        <w:numPr>
          <w:ilvl w:val="0"/>
          <w:numId w:val="24"/>
        </w:numPr>
      </w:pPr>
      <w:r>
        <w:fldChar w:fldCharType="begin"/>
      </w:r>
      <w:r>
        <w:instrText xml:space="preserve"> REF _Ref451895691 \h </w:instrText>
      </w:r>
      <w:r>
        <w:fldChar w:fldCharType="separate"/>
      </w:r>
      <w:r w:rsidR="000230CB">
        <w:t xml:space="preserve">Figure </w:t>
      </w:r>
      <w:r w:rsidR="000230CB">
        <w:rPr>
          <w:noProof/>
        </w:rPr>
        <w:t>3</w:t>
      </w:r>
      <w:r w:rsidR="000230CB">
        <w:noBreakHyphen/>
      </w:r>
      <w:r w:rsidR="000230CB">
        <w:rPr>
          <w:noProof/>
        </w:rPr>
        <w:t>6</w:t>
      </w:r>
      <w:r>
        <w:fldChar w:fldCharType="end"/>
      </w:r>
      <w:r w:rsidR="0071133C">
        <w:t xml:space="preserve"> </w:t>
      </w:r>
      <w:r w:rsidR="0071133C" w:rsidRPr="00B4711B">
        <w:t xml:space="preserve">illustrates that direct estimates of the return on equity for network businesses using SFG's </w:t>
      </w:r>
      <w:r w:rsidR="0071133C">
        <w:t>dividend growth model</w:t>
      </w:r>
      <w:r w:rsidR="0071133C" w:rsidRPr="00B4711B">
        <w:t xml:space="preserve"> (red line) are volatile. Whereas, by construction, SFG's indirect estimates of the return on equity for network businesses using a hybrid CAPM</w:t>
      </w:r>
      <w:r w:rsidR="0071133C">
        <w:t xml:space="preserve"> </w:t>
      </w:r>
      <w:r w:rsidR="0071133C" w:rsidRPr="00B4711B">
        <w:t>/</w:t>
      </w:r>
      <w:r w:rsidR="0071133C">
        <w:t xml:space="preserve"> dividend growth model</w:t>
      </w:r>
      <w:r w:rsidR="0071133C"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71133C" w:rsidRDefault="0071133C" w:rsidP="00DB4FCE">
      <w:pPr>
        <w:pStyle w:val="Heading8"/>
        <w:keepNext/>
      </w:pPr>
      <w:bookmarkStart w:id="141" w:name="_Ref449018117"/>
      <w:bookmarkStart w:id="142" w:name="_Toc451943790"/>
      <w:r>
        <w:t>Wright CAPM and historical CAPM</w:t>
      </w:r>
      <w:bookmarkEnd w:id="141"/>
      <w:bookmarkEnd w:id="142"/>
    </w:p>
    <w:p w:rsidR="0071133C" w:rsidRDefault="0071133C" w:rsidP="00DB4FCE">
      <w:pPr>
        <w:keepNext/>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71133C" w:rsidRDefault="0071133C" w:rsidP="0071133C">
      <w:pPr>
        <w:numPr>
          <w:ilvl w:val="0"/>
          <w:numId w:val="24"/>
        </w:numPr>
      </w:pPr>
      <m:oMath>
        <m:r>
          <w:rPr>
            <w:rFonts w:ascii="Cambria Math" w:hAnsi="Cambria Math"/>
          </w:rPr>
          <m:t>ke=rf+βe×(rm-rf)</m:t>
        </m:r>
      </m:oMath>
    </w:p>
    <w:p w:rsidR="0071133C" w:rsidRPr="0082305A" w:rsidRDefault="0071133C" w:rsidP="0071133C">
      <w:pPr>
        <w:pStyle w:val="AERtablesource"/>
      </w:pPr>
      <w:r>
        <w:t>W</w:t>
      </w:r>
      <w:r w:rsidRPr="0082305A">
        <w:t>here</w:t>
      </w:r>
      <w:r>
        <w:t>:</w:t>
      </w:r>
      <w:r>
        <w:tab/>
      </w:r>
      <m:oMath>
        <m:r>
          <w:rPr>
            <w:rFonts w:ascii="Cambria Math" w:hAnsi="Cambria Math"/>
          </w:rPr>
          <m:t>ke</m:t>
        </m:r>
      </m:oMath>
      <w:r w:rsidRPr="0082305A">
        <w:t xml:space="preserve"> is the expected return on equity</w:t>
      </w:r>
    </w:p>
    <w:p w:rsidR="0071133C" w:rsidRPr="0082305A" w:rsidRDefault="0071133C" w:rsidP="0071133C">
      <w:pPr>
        <w:pStyle w:val="AERtablesource"/>
      </w:pPr>
      <w:r>
        <w:tab/>
      </w:r>
      <m:oMath>
        <m:r>
          <w:rPr>
            <w:rFonts w:ascii="Cambria Math" w:hAnsi="Cambria Math"/>
          </w:rPr>
          <m:t>rf</m:t>
        </m:r>
      </m:oMath>
      <w:r w:rsidRPr="0082305A">
        <w:t xml:space="preserve"> is the risk free rate</w:t>
      </w:r>
    </w:p>
    <w:p w:rsidR="0071133C" w:rsidRPr="0082305A" w:rsidRDefault="0071133C" w:rsidP="0071133C">
      <w:pPr>
        <w:pStyle w:val="AERtablesource"/>
      </w:pPr>
      <w:r>
        <w:tab/>
      </w:r>
      <m:oMath>
        <m:r>
          <w:rPr>
            <w:rFonts w:ascii="Cambria Math" w:hAnsi="Cambria Math"/>
          </w:rPr>
          <m:t>βe</m:t>
        </m:r>
      </m:oMath>
      <w:r w:rsidRPr="0082305A">
        <w:t xml:space="preserve"> is the equity beta</w:t>
      </w:r>
    </w:p>
    <w:p w:rsidR="0071133C" w:rsidRDefault="0071133C" w:rsidP="0071133C">
      <w:pPr>
        <w:pStyle w:val="AERtablesource"/>
      </w:pPr>
      <w:r>
        <w:tab/>
      </w:r>
      <m:oMath>
        <m:r>
          <w:rPr>
            <w:rFonts w:ascii="Cambria Math" w:hAnsi="Cambria Math"/>
          </w:rPr>
          <m:t>rm</m:t>
        </m:r>
      </m:oMath>
      <w:r w:rsidRPr="0082305A">
        <w:t xml:space="preserve"> is the expected return on the market</w:t>
      </w:r>
    </w:p>
    <w:p w:rsidR="0071133C" w:rsidRDefault="0071133C" w:rsidP="0071133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52"/>
      </w:r>
      <w:r>
        <w:t xml:space="preserve"> </w:t>
      </w:r>
    </w:p>
    <w:p w:rsidR="0071133C" w:rsidRDefault="0071133C" w:rsidP="0071133C">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53"/>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54"/>
      </w:r>
    </w:p>
    <w:p w:rsidR="0071133C" w:rsidRPr="00957F0D" w:rsidRDefault="0071133C" w:rsidP="0071133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71133C" w:rsidRPr="0071133C" w:rsidRDefault="0071133C" w:rsidP="0071133C">
      <w:pPr>
        <w:pStyle w:val="AERbulletlistfirststyle"/>
      </w:pPr>
      <w:r>
        <w:t>e</w:t>
      </w:r>
      <w:r w:rsidRPr="0071133C">
        <w:t>stimating the return on equity for the benchmark efficient entity</w:t>
      </w:r>
    </w:p>
    <w:p w:rsidR="0071133C" w:rsidRPr="0071133C" w:rsidRDefault="0071133C" w:rsidP="0071133C">
      <w:pPr>
        <w:pStyle w:val="AERbulletlistfirststyle"/>
      </w:pPr>
      <w:r>
        <w:t>p</w:t>
      </w:r>
      <w:r w:rsidRPr="0071133C">
        <w:t>erforming a cross check on whether other models (including the Sharpe-Lintner CAPM) are producing reasonable estimates of the return on equity.</w:t>
      </w:r>
    </w:p>
    <w:p w:rsidR="0071133C" w:rsidRPr="00957F0D" w:rsidRDefault="0071133C" w:rsidP="0071133C">
      <w:pPr>
        <w:numPr>
          <w:ilvl w:val="0"/>
          <w:numId w:val="24"/>
        </w:numPr>
      </w:pPr>
      <w:r>
        <w:t>Our</w:t>
      </w:r>
      <w:r w:rsidRPr="00957F0D">
        <w:t xml:space="preserve"> reasons for </w:t>
      </w:r>
      <w:r>
        <w:t>this position</w:t>
      </w:r>
      <w:r w:rsidRPr="00957F0D">
        <w:t xml:space="preserve"> are:</w:t>
      </w:r>
    </w:p>
    <w:p w:rsidR="0071133C" w:rsidRPr="0071133C" w:rsidRDefault="0071133C" w:rsidP="0071133C">
      <w:pPr>
        <w:pStyle w:val="AERbulletlistfirststyle"/>
      </w:pPr>
      <w:r w:rsidRPr="00957F0D">
        <w:t>The models are not theoretically justified. The S</w:t>
      </w:r>
      <w:r w:rsidRPr="0071133C">
        <w:t>harpe-Lintner CAPM is a forward-looking equilibrium asset pricing model and therefore requires forward looking input parameters.</w:t>
      </w:r>
      <w:r w:rsidRPr="0071133C">
        <w:rPr>
          <w:rStyle w:val="FootnoteReference"/>
        </w:rPr>
        <w:footnoteReference w:id="855"/>
      </w:r>
    </w:p>
    <w:p w:rsidR="0071133C" w:rsidRPr="0071133C" w:rsidRDefault="0071133C" w:rsidP="0071133C">
      <w:pPr>
        <w:pStyle w:val="AERbulletlistfirststyle"/>
      </w:pPr>
      <w:r w:rsidRPr="00957F0D">
        <w:t>The models do not take into acc</w:t>
      </w:r>
      <w:r w:rsidRPr="0071133C">
        <w:t>ount changing market conditions. Therefore, they are unlikely to (at a given point in time) estimate an unbiased forward-looking estimate of the required return on equity. Historical data may be used as a basis for estimates of the model’s parameters where they are good evidence of forward-looking parameters. However, we do not consider using historically based estimates that are clearly not representative of the forward looking rate will result in an unbiased estimate of the return on equity.</w:t>
      </w:r>
      <w:r w:rsidRPr="0071133C">
        <w:rPr>
          <w:rStyle w:val="FootnoteReference"/>
        </w:rPr>
        <w:footnoteReference w:id="856"/>
      </w:r>
    </w:p>
    <w:p w:rsidR="0071133C" w:rsidRPr="0071133C" w:rsidRDefault="0071133C" w:rsidP="0071133C">
      <w:pPr>
        <w:pStyle w:val="AERbulletlistfirststyle"/>
      </w:pPr>
      <w:r>
        <w:t>We consider that no</w:t>
      </w:r>
      <w:r w:rsidRPr="0071133C">
        <w:t xml:space="preserve"> compelling empirical evidence is before us to support the use of the models. We do not agree with the underlying premise of the Wright CAPM that there is a clear inverse relationship between movements in the risk free rate and market risk premium. Frontier submitted that empirical evidence from Wright &amp; Smithers indicates that the return on the market using U.S. data has been relatively stable over time.</w:t>
      </w:r>
      <w:r w:rsidRPr="0071133C">
        <w:rPr>
          <w:rStyle w:val="FootnoteReference"/>
        </w:rPr>
        <w:footnoteReference w:id="857"/>
      </w:r>
      <w:r w:rsidRPr="0071133C">
        <w:t xml:space="preserve"> However, applying Wright’s approach to Australian data, Lally found the estimated market risk premium series is more stable than the average real market return series.</w:t>
      </w:r>
      <w:r w:rsidRPr="0071133C">
        <w:rPr>
          <w:rStyle w:val="FootnoteReference"/>
        </w:rPr>
        <w:footnoteReference w:id="858"/>
      </w:r>
    </w:p>
    <w:p w:rsidR="0071133C" w:rsidRPr="0071133C" w:rsidRDefault="0071133C" w:rsidP="0071133C">
      <w:pPr>
        <w:pStyle w:val="AERbulletlistfirststyle"/>
      </w:pPr>
      <w:r>
        <w:t>M</w:t>
      </w:r>
      <w:r w:rsidRPr="0071133C">
        <w:t>arket practitioners, academics or regulators do not generally accept these models.</w:t>
      </w:r>
      <w:r w:rsidRPr="0071133C">
        <w:rPr>
          <w:rStyle w:val="FootnoteReference"/>
        </w:rPr>
        <w:footnoteReference w:id="859"/>
      </w:r>
      <w:r w:rsidRPr="0071133C">
        <w:t xml:space="preserve"> For example, an analysis of 78 suitable independent valuation reports over May 2013 to January 2016 indicates there are no reports that appear to use the Wright CAPM.</w:t>
      </w:r>
    </w:p>
    <w:p w:rsidR="0071133C" w:rsidRPr="00957F0D" w:rsidRDefault="0071133C" w:rsidP="0071133C">
      <w:r w:rsidRPr="00957F0D">
        <w:t xml:space="preserve">Handley considered the Wright </w:t>
      </w:r>
      <w:r>
        <w:t>CAPM</w:t>
      </w:r>
      <w:r w:rsidRPr="00957F0D">
        <w:t xml:space="preserve"> </w:t>
      </w:r>
      <w:r>
        <w:t>and</w:t>
      </w:r>
      <w:r w:rsidRPr="00957F0D">
        <w:t xml:space="preserve"> stated:</w:t>
      </w:r>
      <w:r>
        <w:rPr>
          <w:rStyle w:val="FootnoteReference"/>
        </w:rPr>
        <w:footnoteReference w:id="860"/>
      </w:r>
    </w:p>
    <w:p w:rsidR="0071133C" w:rsidRPr="00957F0D" w:rsidRDefault="0071133C" w:rsidP="0071133C">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61"/>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71133C" w:rsidRPr="00957F0D" w:rsidRDefault="0071133C" w:rsidP="0071133C">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62"/>
      </w:r>
    </w:p>
    <w:p w:rsidR="0071133C" w:rsidRPr="00957F0D" w:rsidRDefault="0071133C" w:rsidP="0071133C">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71133C" w:rsidRDefault="0071133C" w:rsidP="0071133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71133C" w:rsidRDefault="0071133C" w:rsidP="0071133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63"/>
      </w:r>
    </w:p>
    <w:p w:rsidR="0071133C" w:rsidRDefault="0071133C" w:rsidP="0071133C">
      <w:pPr>
        <w:numPr>
          <w:ilvl w:val="0"/>
          <w:numId w:val="24"/>
        </w:numPr>
      </w:pPr>
      <w:r>
        <w:t>Service providers submitted that the Wright CAPM is relevant to the estimation of the market risk premium, rather than the overall return on equity.</w:t>
      </w:r>
      <w:r>
        <w:rPr>
          <w:rStyle w:val="FootnoteReference"/>
        </w:rPr>
        <w:footnoteReference w:id="864"/>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71133C" w:rsidRDefault="0071133C" w:rsidP="0071133C">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65"/>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71133C" w:rsidRDefault="0071133C" w:rsidP="0071133C">
      <w:pPr>
        <w:numPr>
          <w:ilvl w:val="0"/>
          <w:numId w:val="24"/>
        </w:numPr>
      </w:pPr>
    </w:p>
    <w:p w:rsidR="00B37069" w:rsidRPr="00BA0AFD" w:rsidRDefault="00B37069" w:rsidP="00B37069">
      <w:pPr>
        <w:pStyle w:val="Heading7"/>
      </w:pPr>
      <w:bookmarkStart w:id="143" w:name="_Toc443923196"/>
      <w:bookmarkStart w:id="144" w:name="_Toc451943791"/>
      <w:bookmarkEnd w:id="108"/>
      <w:bookmarkEnd w:id="109"/>
      <w:bookmarkEnd w:id="110"/>
      <w:bookmarkEnd w:id="111"/>
      <w:bookmarkEnd w:id="112"/>
      <w:bookmarkEnd w:id="113"/>
      <w:bookmarkEnd w:id="114"/>
      <w:bookmarkEnd w:id="115"/>
      <w:bookmarkEnd w:id="116"/>
      <w:bookmarkEnd w:id="117"/>
      <w:bookmarkEnd w:id="118"/>
      <w:bookmarkEnd w:id="119"/>
      <w:r>
        <w:t>Historical stock returns</w:t>
      </w:r>
      <w:bookmarkEnd w:id="143"/>
      <w:bookmarkEnd w:id="144"/>
    </w:p>
    <w:p w:rsidR="00B37069" w:rsidRDefault="00B37069" w:rsidP="00B37069">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66"/>
      </w:r>
      <w:r w:rsidRPr="009F06D7">
        <w:t xml:space="preserve"> </w:t>
      </w:r>
      <w:r>
        <w:t xml:space="preserve">that </w:t>
      </w:r>
      <w:r w:rsidRPr="009F06D7">
        <w:t>stocks have earned in excess of the</w:t>
      </w:r>
      <w:r>
        <w:t xml:space="preserve"> returns on government bonds with a ten-year term-to-maturity.</w:t>
      </w:r>
    </w:p>
    <w:p w:rsidR="00B37069" w:rsidRPr="00DC72A3" w:rsidRDefault="00B37069" w:rsidP="00B37069">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67"/>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attachment 3 to our draft decision for AGN</w:t>
      </w:r>
      <w:r w:rsidRPr="00DC72A3">
        <w:rPr>
          <w:rStyle w:val="AERbody"/>
        </w:rPr>
        <w:t xml:space="preserve">. </w:t>
      </w:r>
    </w:p>
    <w:p w:rsidR="00B37069" w:rsidRDefault="00B37069" w:rsidP="00B37069">
      <w:r>
        <w:t>In the remainder of this section we examine:</w:t>
      </w:r>
    </w:p>
    <w:p w:rsidR="00B37069" w:rsidRDefault="00B37069" w:rsidP="00B37069">
      <w:pPr>
        <w:pStyle w:val="AERbulletlistfirststyle"/>
      </w:pPr>
      <w:r>
        <w:t>Prevailing estimates for both excess returns and total returns</w:t>
      </w:r>
    </w:p>
    <w:p w:rsidR="00B37069" w:rsidRDefault="00B37069" w:rsidP="00B37069">
      <w:pPr>
        <w:pStyle w:val="AERbulletlistfirststyle"/>
      </w:pPr>
      <w:r>
        <w:t>The relative merits of arithmetic and geometric averages of historical returns</w:t>
      </w:r>
    </w:p>
    <w:p w:rsidR="00B37069" w:rsidRDefault="00B37069" w:rsidP="00B37069">
      <w:pPr>
        <w:pStyle w:val="AERbulletlistfirststyle"/>
      </w:pPr>
      <w:r>
        <w:t xml:space="preserve">The relative merits of the ASX's adjustment and NERA's </w:t>
      </w:r>
      <w:r w:rsidR="0095169E">
        <w:t>adjustment</w:t>
      </w:r>
      <w:r>
        <w:t xml:space="preserve"> to historical stock returns data</w:t>
      </w:r>
    </w:p>
    <w:p w:rsidR="00B37069" w:rsidRPr="00DB0499" w:rsidRDefault="00B37069" w:rsidP="00EA4C63">
      <w:pPr>
        <w:pStyle w:val="Heading8"/>
        <w:numPr>
          <w:ilvl w:val="1"/>
          <w:numId w:val="49"/>
        </w:numPr>
      </w:pPr>
      <w:bookmarkStart w:id="145" w:name="_Toc443923197"/>
      <w:bookmarkStart w:id="146" w:name="_Ref444735329"/>
      <w:bookmarkStart w:id="147" w:name="_Toc451943792"/>
      <w:r>
        <w:t>Prevailing estimates: excess returns</w:t>
      </w:r>
      <w:bookmarkEnd w:id="145"/>
      <w:bookmarkEnd w:id="146"/>
      <w:bookmarkEnd w:id="147"/>
    </w:p>
    <w:p w:rsidR="00B37069" w:rsidRDefault="00B37069" w:rsidP="00B37069">
      <w:r>
        <w:fldChar w:fldCharType="begin"/>
      </w:r>
      <w:r>
        <w:instrText xml:space="preserve"> REF _Ref432619921 \h </w:instrText>
      </w:r>
      <w:r>
        <w:fldChar w:fldCharType="separate"/>
      </w:r>
      <w:r w:rsidR="000230CB">
        <w:t xml:space="preserve">Table </w:t>
      </w:r>
      <w:r w:rsidR="000230CB">
        <w:rPr>
          <w:noProof/>
        </w:rPr>
        <w:t>3</w:t>
      </w:r>
      <w:r w:rsidR="000230CB">
        <w:noBreakHyphen/>
      </w:r>
      <w:r w:rsidR="000230CB">
        <w:rPr>
          <w:noProof/>
        </w:rPr>
        <w:t>27</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68"/>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B37069" w:rsidRPr="007B58A9" w:rsidRDefault="00B37069" w:rsidP="005506D5">
      <w:pPr>
        <w:pStyle w:val="Caption"/>
        <w:rPr>
          <w:rStyle w:val="Strong"/>
        </w:rPr>
      </w:pPr>
      <w:bookmarkStart w:id="148" w:name="_Ref432619921"/>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27</w:t>
      </w:r>
      <w:r w:rsidR="00527450">
        <w:rPr>
          <w:noProof/>
        </w:rPr>
        <w:fldChar w:fldCharType="end"/>
      </w:r>
      <w:bookmarkEnd w:id="148"/>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B37069" w:rsidRPr="00F7507F" w:rsidTr="00E10A4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rPr>
                <w:rStyle w:val="Strong"/>
                <w:rFonts w:eastAsiaTheme="minorHAnsi" w:cstheme="minorBidi"/>
                <w:bCs w:val="0"/>
                <w:color w:val="076A92" w:themeColor="text1"/>
                <w:sz w:val="24"/>
                <w:szCs w:val="18"/>
                <w:lang w:eastAsia="en-US"/>
              </w:rPr>
            </w:pPr>
            <w:r w:rsidRPr="00DD37EB">
              <w:rPr>
                <w:rStyle w:val="Strong"/>
              </w:rPr>
              <w:t>Sampling period</w:t>
            </w:r>
          </w:p>
        </w:tc>
        <w:tc>
          <w:tcPr>
            <w:tcW w:w="1667" w:type="pct"/>
            <w:noWrap/>
          </w:tcPr>
          <w:p w:rsidR="00B37069" w:rsidRPr="00B37069" w:rsidRDefault="00B37069" w:rsidP="00DB4FCE">
            <w:pPr>
              <w:keepNext/>
              <w:cnfStyle w:val="100000000000" w:firstRow="1" w:lastRow="0" w:firstColumn="0" w:lastColumn="0" w:oddVBand="0" w:evenVBand="0" w:oddHBand="0" w:evenHBand="0" w:firstRowFirstColumn="0" w:firstRowLastColumn="0" w:lastRowFirstColumn="0" w:lastRowLastColumn="0"/>
              <w:rPr>
                <w:rStyle w:val="Strong"/>
                <w:rFonts w:eastAsiaTheme="minorHAnsi" w:cstheme="minorBidi"/>
                <w:bCs w:val="0"/>
                <w:color w:val="076A92" w:themeColor="text1"/>
                <w:sz w:val="24"/>
                <w:szCs w:val="18"/>
                <w:lang w:eastAsia="en-US"/>
              </w:rPr>
            </w:pPr>
            <w:r w:rsidRPr="00DD37EB">
              <w:rPr>
                <w:rStyle w:val="Strong"/>
              </w:rPr>
              <w:t xml:space="preserve">Arithmetic </w:t>
            </w:r>
            <w:r w:rsidRPr="00B37069">
              <w:rPr>
                <w:rStyle w:val="Strong"/>
              </w:rPr>
              <w:t>average</w:t>
            </w:r>
          </w:p>
        </w:tc>
        <w:tc>
          <w:tcPr>
            <w:tcW w:w="1667" w:type="pct"/>
            <w:noWrap/>
          </w:tcPr>
          <w:p w:rsidR="00B37069" w:rsidRPr="00B37069" w:rsidRDefault="00B37069" w:rsidP="00DB4FCE">
            <w:pPr>
              <w:keepNext/>
              <w:cnfStyle w:val="100000000000" w:firstRow="1" w:lastRow="0" w:firstColumn="0" w:lastColumn="0" w:oddVBand="0" w:evenVBand="0" w:oddHBand="0" w:evenHBand="0" w:firstRowFirstColumn="0" w:firstRowLastColumn="0" w:lastRowFirstColumn="0" w:lastRowLastColumn="0"/>
              <w:rPr>
                <w:rStyle w:val="Strong"/>
                <w:rFonts w:eastAsiaTheme="minorHAnsi" w:cstheme="minorBidi"/>
                <w:bCs w:val="0"/>
                <w:color w:val="076A92" w:themeColor="text1"/>
                <w:sz w:val="24"/>
                <w:szCs w:val="18"/>
                <w:lang w:eastAsia="en-US"/>
              </w:rPr>
            </w:pPr>
            <w:r w:rsidRPr="00DD37EB">
              <w:rPr>
                <w:rStyle w:val="Strong"/>
              </w:rPr>
              <w:t xml:space="preserve">Geometric </w:t>
            </w:r>
            <w:r w:rsidRPr="00B37069">
              <w:rPr>
                <w:rStyle w:val="Strong"/>
              </w:rPr>
              <w:t>average</w:t>
            </w:r>
          </w:p>
        </w:tc>
      </w:tr>
      <w:tr w:rsidR="00B37069" w:rsidRPr="00F7507F" w:rsidTr="00E10A41">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pPr>
            <w:r w:rsidRPr="00F7507F">
              <w:t>1883–</w:t>
            </w:r>
            <w:r w:rsidRPr="00B37069">
              <w:t>2015</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4.</w:t>
            </w:r>
            <w:r w:rsidRPr="00B37069">
              <w:t>8</w:t>
            </w:r>
          </w:p>
        </w:tc>
      </w:tr>
      <w:tr w:rsidR="00B37069" w:rsidRPr="00F7507F" w:rsidTr="00E10A4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pPr>
            <w:r w:rsidRPr="00F7507F">
              <w:t>1937–</w:t>
            </w:r>
            <w:r w:rsidRPr="00B37069">
              <w:t>2015</w:t>
            </w:r>
          </w:p>
        </w:tc>
        <w:tc>
          <w:tcPr>
            <w:tcW w:w="1667" w:type="pct"/>
            <w:noWrap/>
          </w:tcPr>
          <w:p w:rsidR="00B37069" w:rsidRPr="00B37069" w:rsidRDefault="00B37069" w:rsidP="00DB4FCE">
            <w:pPr>
              <w:keepNext/>
              <w:cnfStyle w:val="000000010000" w:firstRow="0" w:lastRow="0" w:firstColumn="0" w:lastColumn="0" w:oddVBand="0" w:evenVBand="0" w:oddHBand="0" w:evenHBand="1" w:firstRowFirstColumn="0" w:firstRowLastColumn="0" w:lastRowFirstColumn="0" w:lastRowLastColumn="0"/>
            </w:pPr>
            <w:r>
              <w:t>5.</w:t>
            </w:r>
            <w:r w:rsidRPr="00B37069">
              <w:t>7</w:t>
            </w:r>
          </w:p>
        </w:tc>
        <w:tc>
          <w:tcPr>
            <w:tcW w:w="1667" w:type="pct"/>
            <w:noWrap/>
          </w:tcPr>
          <w:p w:rsidR="00B37069" w:rsidRPr="00B37069" w:rsidRDefault="00B37069" w:rsidP="00DB4FCE">
            <w:pPr>
              <w:keepNext/>
              <w:cnfStyle w:val="000000010000" w:firstRow="0" w:lastRow="0" w:firstColumn="0" w:lastColumn="0" w:oddVBand="0" w:evenVBand="0" w:oddHBand="0" w:evenHBand="1" w:firstRowFirstColumn="0" w:firstRowLastColumn="0" w:lastRowFirstColumn="0" w:lastRowLastColumn="0"/>
            </w:pPr>
            <w:r>
              <w:t>3.</w:t>
            </w:r>
            <w:r w:rsidRPr="00B37069">
              <w:t>9</w:t>
            </w:r>
          </w:p>
        </w:tc>
      </w:tr>
      <w:tr w:rsidR="00B37069" w:rsidRPr="00F7507F" w:rsidTr="00E10A41">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pPr>
            <w:r>
              <w:t>1958–</w:t>
            </w:r>
            <w:r w:rsidRPr="00B37069">
              <w:t>2015</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6</w:t>
            </w:r>
            <w:r w:rsidRPr="00B37069">
              <w:t>.2</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3.8</w:t>
            </w:r>
          </w:p>
        </w:tc>
      </w:tr>
      <w:tr w:rsidR="00B37069" w:rsidRPr="00F7507F" w:rsidTr="00E10A4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pPr>
            <w:r w:rsidRPr="00F7507F">
              <w:t>1980–</w:t>
            </w:r>
            <w:r w:rsidRPr="00B37069">
              <w:t>2015</w:t>
            </w:r>
          </w:p>
        </w:tc>
        <w:tc>
          <w:tcPr>
            <w:tcW w:w="1667" w:type="pct"/>
            <w:noWrap/>
          </w:tcPr>
          <w:p w:rsidR="00B37069" w:rsidRPr="00B37069" w:rsidRDefault="00B37069" w:rsidP="00DB4FCE">
            <w:pPr>
              <w:keepNext/>
              <w:cnfStyle w:val="000000010000" w:firstRow="0" w:lastRow="0" w:firstColumn="0" w:lastColumn="0" w:oddVBand="0" w:evenVBand="0" w:oddHBand="0" w:evenHBand="1" w:firstRowFirstColumn="0" w:firstRowLastColumn="0" w:lastRowFirstColumn="0" w:lastRowLastColumn="0"/>
            </w:pPr>
            <w:r>
              <w:t>5.</w:t>
            </w:r>
            <w:r w:rsidRPr="00B37069">
              <w:t>9</w:t>
            </w:r>
          </w:p>
        </w:tc>
        <w:tc>
          <w:tcPr>
            <w:tcW w:w="1667" w:type="pct"/>
            <w:noWrap/>
          </w:tcPr>
          <w:p w:rsidR="00B37069" w:rsidRPr="00B37069" w:rsidRDefault="00B37069" w:rsidP="00DB4FCE">
            <w:pPr>
              <w:keepNext/>
              <w:cnfStyle w:val="000000010000" w:firstRow="0" w:lastRow="0" w:firstColumn="0" w:lastColumn="0" w:oddVBand="0" w:evenVBand="0" w:oddHBand="0" w:evenHBand="1" w:firstRowFirstColumn="0" w:firstRowLastColumn="0" w:lastRowFirstColumn="0" w:lastRowLastColumn="0"/>
            </w:pPr>
            <w:r>
              <w:t>3.5</w:t>
            </w:r>
          </w:p>
        </w:tc>
      </w:tr>
      <w:tr w:rsidR="00B37069" w:rsidRPr="00F7507F" w:rsidTr="00E10A41">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37069" w:rsidRPr="00B37069" w:rsidRDefault="00B37069" w:rsidP="00DB4FCE">
            <w:pPr>
              <w:keepNext/>
            </w:pPr>
            <w:r w:rsidRPr="00F7507F">
              <w:t>1988–</w:t>
            </w:r>
            <w:r w:rsidRPr="00B37069">
              <w:t>2015</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5.</w:t>
            </w:r>
            <w:r w:rsidRPr="00B37069">
              <w:t>2</w:t>
            </w:r>
          </w:p>
        </w:tc>
        <w:tc>
          <w:tcPr>
            <w:tcW w:w="1667" w:type="pct"/>
            <w:noWrap/>
          </w:tcPr>
          <w:p w:rsidR="00B37069" w:rsidRPr="00B37069" w:rsidRDefault="00B37069" w:rsidP="00DB4FCE">
            <w:pPr>
              <w:keepNext/>
              <w:cnfStyle w:val="000000000000" w:firstRow="0" w:lastRow="0" w:firstColumn="0" w:lastColumn="0" w:oddVBand="0" w:evenVBand="0" w:oddHBand="0" w:evenHBand="0" w:firstRowFirstColumn="0" w:firstRowLastColumn="0" w:lastRowFirstColumn="0" w:lastRowLastColumn="0"/>
            </w:pPr>
            <w:r>
              <w:t>3.</w:t>
            </w:r>
            <w:r w:rsidRPr="00B37069">
              <w:t>6</w:t>
            </w:r>
          </w:p>
        </w:tc>
      </w:tr>
    </w:tbl>
    <w:p w:rsidR="00B37069" w:rsidRPr="00BA0AFD" w:rsidRDefault="00B37069" w:rsidP="00DB4FCE">
      <w:pPr>
        <w:pStyle w:val="AERtablesource"/>
        <w:keepNext/>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B37069" w:rsidRPr="00DE1A32" w:rsidRDefault="00B37069" w:rsidP="00DB4FCE">
      <w:pPr>
        <w:pStyle w:val="AERtablesource"/>
        <w:keepNext/>
      </w:pPr>
      <w:r>
        <w:t>Notes</w:t>
      </w:r>
      <w:r w:rsidRPr="00DE1A32">
        <w:t xml:space="preserve">: </w:t>
      </w:r>
      <w:r w:rsidRPr="00DE1A32">
        <w:tab/>
      </w:r>
      <w:r>
        <w:t>Based on a theta of 0.6.</w:t>
      </w:r>
    </w:p>
    <w:p w:rsidR="00B37069" w:rsidRPr="006705B3" w:rsidRDefault="00B37069" w:rsidP="00B37069">
      <w:pPr>
        <w:pStyle w:val="Heading8"/>
      </w:pPr>
      <w:bookmarkStart w:id="149" w:name="_Toc443923198"/>
      <w:bookmarkStart w:id="150" w:name="_Ref444735331"/>
      <w:bookmarkStart w:id="151" w:name="_Ref445926700"/>
      <w:bookmarkStart w:id="152" w:name="_Ref449053064"/>
      <w:bookmarkStart w:id="153" w:name="_Toc451943793"/>
      <w:r>
        <w:t>P</w:t>
      </w:r>
      <w:r w:rsidRPr="006705B3">
        <w:t xml:space="preserve">revailing estimates: </w:t>
      </w:r>
      <w:r>
        <w:t>total</w:t>
      </w:r>
      <w:r w:rsidRPr="006705B3">
        <w:t xml:space="preserve"> returns</w:t>
      </w:r>
      <w:bookmarkEnd w:id="149"/>
      <w:bookmarkEnd w:id="150"/>
      <w:bookmarkEnd w:id="151"/>
      <w:bookmarkEnd w:id="152"/>
      <w:bookmarkEnd w:id="153"/>
    </w:p>
    <w:p w:rsidR="00B37069" w:rsidRDefault="00B37069" w:rsidP="00B37069">
      <w:r>
        <w:fldChar w:fldCharType="begin"/>
      </w:r>
      <w:r>
        <w:instrText xml:space="preserve"> REF _Ref417570520 \h </w:instrText>
      </w:r>
      <w:r>
        <w:fldChar w:fldCharType="separate"/>
      </w:r>
      <w:r w:rsidR="000230CB">
        <w:t xml:space="preserve">Table </w:t>
      </w:r>
      <w:r w:rsidR="000230CB">
        <w:rPr>
          <w:noProof/>
        </w:rPr>
        <w:t>3</w:t>
      </w:r>
      <w:r w:rsidR="000230CB">
        <w:noBreakHyphen/>
      </w:r>
      <w:r w:rsidR="000230CB">
        <w:rPr>
          <w:noProof/>
        </w:rPr>
        <w:t>28</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69"/>
      </w:r>
    </w:p>
    <w:p w:rsidR="00B37069" w:rsidRPr="00276FAF" w:rsidRDefault="00B37069" w:rsidP="00B37069">
      <w:pPr>
        <w:pStyle w:val="Caption"/>
        <w:rPr>
          <w:rStyle w:val="Strong"/>
        </w:rPr>
      </w:pPr>
      <w:bookmarkStart w:id="154" w:name="_Ref417570520"/>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28</w:t>
      </w:r>
      <w:r w:rsidR="00527450">
        <w:rPr>
          <w:noProof/>
        </w:rPr>
        <w:fldChar w:fldCharType="end"/>
      </w:r>
      <w:bookmarkEnd w:id="154"/>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B37069" w:rsidRPr="00B9584E" w:rsidTr="00E10A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rsidRPr="00B9584E">
              <w:t>Sampling period</w:t>
            </w:r>
          </w:p>
        </w:tc>
        <w:tc>
          <w:tcPr>
            <w:tcW w:w="3423" w:type="dxa"/>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B37069" w:rsidRPr="00B9584E" w:rsidTr="00E10A41">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1883</w:t>
            </w:r>
            <w:r w:rsidRPr="00B37069">
              <w:t>–2015</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8.</w:t>
            </w:r>
            <w:r w:rsidRPr="00B37069">
              <w:t>6</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11.</w:t>
            </w:r>
            <w:r w:rsidRPr="00B37069">
              <w:t>3</w:t>
            </w:r>
          </w:p>
        </w:tc>
      </w:tr>
      <w:tr w:rsidR="00B37069" w:rsidRPr="00B9584E"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1937–201</w:t>
            </w:r>
            <w:r w:rsidRPr="00B37069">
              <w:t>5</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7.</w:t>
            </w:r>
            <w:r w:rsidRPr="00B37069">
              <w:t>3</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10.</w:t>
            </w:r>
            <w:r w:rsidRPr="00B37069">
              <w:t>0</w:t>
            </w:r>
          </w:p>
        </w:tc>
      </w:tr>
      <w:tr w:rsidR="00B37069" w:rsidRPr="00B9584E" w:rsidTr="00E10A41">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1958–201</w:t>
            </w:r>
            <w:r w:rsidRPr="00B37069">
              <w:t>5</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11.</w:t>
            </w:r>
            <w:r w:rsidRPr="00B37069">
              <w:t>6</w:t>
            </w:r>
          </w:p>
        </w:tc>
      </w:tr>
      <w:tr w:rsidR="00B37069" w:rsidRPr="00B9584E"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1980–201</w:t>
            </w:r>
            <w:r w:rsidRPr="00B37069">
              <w:t>5</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1</w:t>
            </w:r>
            <w:r w:rsidRPr="00B37069">
              <w:t>2.7</w:t>
            </w:r>
          </w:p>
        </w:tc>
      </w:tr>
      <w:tr w:rsidR="00B37069" w:rsidRPr="00B9584E" w:rsidTr="00E10A41">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1988–201</w:t>
            </w:r>
            <w:r w:rsidRPr="00B37069">
              <w:t>5</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9.</w:t>
            </w:r>
            <w:r w:rsidRPr="00B37069">
              <w:t>3</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12.</w:t>
            </w:r>
            <w:r w:rsidRPr="00B37069">
              <w:t>0</w:t>
            </w:r>
          </w:p>
        </w:tc>
      </w:tr>
    </w:tbl>
    <w:p w:rsidR="00B37069" w:rsidRPr="00BA0AFD" w:rsidRDefault="00B37069" w:rsidP="00B37069">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B37069" w:rsidRPr="00BA0AFD" w:rsidRDefault="00B37069" w:rsidP="00B37069">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B37069" w:rsidRPr="00BA0AFD" w:rsidRDefault="00B37069" w:rsidP="00B37069">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B37069" w:rsidRDefault="00B37069" w:rsidP="00B37069">
      <w:r>
        <w:t>We estimate a return on equity under the Wright CAPM</w:t>
      </w:r>
      <w:r>
        <w:rPr>
          <w:rStyle w:val="FootnoteReference"/>
        </w:rPr>
        <w:footnoteReference w:id="870"/>
      </w:r>
      <w:r>
        <w:t xml:space="preserve"> by combining the historical nominal market return with our prevailing risk free rate estimate</w:t>
      </w:r>
      <w:r>
        <w:rPr>
          <w:rStyle w:val="FootnoteReference"/>
        </w:rPr>
        <w:footnoteReference w:id="871"/>
      </w:r>
      <w:r>
        <w:t xml:space="preserve"> and equity beta estimates.</w:t>
      </w:r>
      <w:r>
        <w:rPr>
          <w:rStyle w:val="FootnoteReference"/>
        </w:rPr>
        <w:footnoteReference w:id="872"/>
      </w:r>
      <w:r>
        <w:t xml:space="preserve"> As shown in </w:t>
      </w:r>
      <w:r>
        <w:fldChar w:fldCharType="begin"/>
      </w:r>
      <w:r>
        <w:instrText xml:space="preserve"> REF _Ref443916669 \h </w:instrText>
      </w:r>
      <w:r>
        <w:fldChar w:fldCharType="separate"/>
      </w:r>
      <w:r w:rsidR="000230CB">
        <w:t xml:space="preserve">Table </w:t>
      </w:r>
      <w:r w:rsidR="000230CB">
        <w:rPr>
          <w:noProof/>
        </w:rPr>
        <w:t>3</w:t>
      </w:r>
      <w:r w:rsidR="000230CB">
        <w:noBreakHyphen/>
      </w:r>
      <w:r w:rsidR="000230CB">
        <w:rPr>
          <w:noProof/>
        </w:rPr>
        <w:t>29</w:t>
      </w:r>
      <w:r>
        <w:fldChar w:fldCharType="end"/>
      </w:r>
      <w:r>
        <w:t>, our estimated range for equity beta and market return results in Wright CAPM return on e</w:t>
      </w:r>
      <w:r w:rsidR="00D80969">
        <w:t>quity estimates ranging from 5.5 to 9.7</w:t>
      </w:r>
      <w:r>
        <w:t>.</w:t>
      </w:r>
    </w:p>
    <w:p w:rsidR="00B37069" w:rsidRPr="00276FAF" w:rsidRDefault="00B37069" w:rsidP="00B37069">
      <w:pPr>
        <w:pStyle w:val="Caption"/>
        <w:rPr>
          <w:rStyle w:val="Strong"/>
        </w:rPr>
      </w:pPr>
      <w:bookmarkStart w:id="155" w:name="_Ref443916669"/>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29</w:t>
      </w:r>
      <w:r w:rsidR="00527450">
        <w:rPr>
          <w:noProof/>
        </w:rPr>
        <w:fldChar w:fldCharType="end"/>
      </w:r>
      <w:bookmarkEnd w:id="155"/>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B37069" w:rsidRPr="00B9584E" w:rsidTr="00E10A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AER equity beta estimate</w:t>
            </w:r>
          </w:p>
        </w:tc>
        <w:tc>
          <w:tcPr>
            <w:tcW w:w="3423" w:type="dxa"/>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B37069" w:rsidRPr="00B9584E" w:rsidTr="00E10A41">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0.4</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5.</w:t>
            </w:r>
            <w:r w:rsidRPr="00B37069">
              <w:t>5</w:t>
            </w:r>
          </w:p>
        </w:tc>
        <w:tc>
          <w:tcPr>
            <w:tcW w:w="3423" w:type="dxa"/>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6.</w:t>
            </w:r>
            <w:r w:rsidRPr="00B37069">
              <w:t>6</w:t>
            </w:r>
          </w:p>
        </w:tc>
      </w:tr>
      <w:tr w:rsidR="00B37069" w:rsidRPr="00B9584E"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37069" w:rsidRPr="00B37069" w:rsidRDefault="00B37069" w:rsidP="00BC70E6">
            <w:r>
              <w:t>0.7</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7.8</w:t>
            </w:r>
          </w:p>
        </w:tc>
        <w:tc>
          <w:tcPr>
            <w:tcW w:w="3423" w:type="dxa"/>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9.7</w:t>
            </w:r>
          </w:p>
        </w:tc>
      </w:tr>
    </w:tbl>
    <w:p w:rsidR="00B37069" w:rsidRPr="00BA0AFD" w:rsidRDefault="00B37069" w:rsidP="00B37069">
      <w:pPr>
        <w:pStyle w:val="AERtablesource"/>
      </w:pPr>
      <w:r w:rsidRPr="00823B7B">
        <w:t>Source:</w:t>
      </w:r>
      <w:r w:rsidRPr="00823B7B">
        <w:tab/>
      </w:r>
      <w:r>
        <w:t>AER analysis</w:t>
      </w:r>
      <w:r w:rsidRPr="00BA0AFD">
        <w:t>.</w:t>
      </w:r>
    </w:p>
    <w:p w:rsidR="00B37069" w:rsidRPr="00BA0AFD" w:rsidRDefault="00B37069" w:rsidP="00B37069">
      <w:pPr>
        <w:pStyle w:val="AERtablesource"/>
      </w:pPr>
      <w:r>
        <w:t>Notes</w:t>
      </w:r>
      <w:r w:rsidRPr="00823B7B">
        <w:t>:</w:t>
      </w:r>
      <w:r w:rsidRPr="00823B7B">
        <w:tab/>
      </w:r>
      <w:r>
        <w:t>Based on a risk free rate estimate of 2.57 per cent.</w:t>
      </w:r>
    </w:p>
    <w:p w:rsidR="00B37069" w:rsidRDefault="00B37069" w:rsidP="00B37069">
      <w:pPr>
        <w:pStyle w:val="Heading8"/>
      </w:pPr>
      <w:bookmarkStart w:id="156" w:name="_Toc443923200"/>
      <w:bookmarkStart w:id="157" w:name="_Ref448320174"/>
      <w:bookmarkStart w:id="158" w:name="_Toc451943794"/>
      <w:r>
        <w:t>Arithmetic and geometric averages</w:t>
      </w:r>
      <w:bookmarkEnd w:id="156"/>
      <w:bookmarkEnd w:id="157"/>
      <w:bookmarkEnd w:id="158"/>
    </w:p>
    <w:p w:rsidR="00B37069" w:rsidRDefault="00B37069" w:rsidP="00B37069">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73"/>
      </w:r>
    </w:p>
    <w:p w:rsidR="00B37069" w:rsidRDefault="00B37069" w:rsidP="00B37069">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74"/>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75"/>
      </w:r>
      <w:r>
        <w:t xml:space="preserve"> Overall, our decision is informed by the following considerations:</w:t>
      </w:r>
    </w:p>
    <w:p w:rsidR="00B37069" w:rsidRPr="00B37069" w:rsidRDefault="00B37069" w:rsidP="00B37069">
      <w:pPr>
        <w:pStyle w:val="AERbulletlistfirststyle"/>
      </w:pPr>
      <w:r w:rsidRPr="00E816D0">
        <w:t>We consider the arithmetic average of 10</w:t>
      </w:r>
      <w:r w:rsidRPr="00B37069">
        <w:t>-yearly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37069">
        <w:rPr>
          <w:rStyle w:val="FootnoteReference"/>
        </w:rPr>
        <w:footnoteReference w:id="876"/>
      </w:r>
    </w:p>
    <w:p w:rsidR="00B37069" w:rsidRPr="00B37069" w:rsidRDefault="00B37069" w:rsidP="00B37069">
      <w:pPr>
        <w:pStyle w:val="AERbulletlistfirststyle"/>
      </w:pPr>
      <w:r>
        <w:t>We have previously considered</w:t>
      </w:r>
      <w:r w:rsidRPr="00B37069">
        <w:t xml:space="preserve"> arithmetic and geometric averages relevant when estimating a 10 year forward looking market risk premium using historical annual excess returns.</w:t>
      </w:r>
      <w:r w:rsidRPr="00B37069">
        <w:rPr>
          <w:rStyle w:val="FootnoteReference"/>
        </w:rPr>
        <w:footnoteReference w:id="877"/>
      </w:r>
      <w:r w:rsidRPr="00B37069">
        <w:t xml:space="preserve"> The Tribunal found no error with this approach.</w:t>
      </w:r>
      <w:r w:rsidRPr="00B37069">
        <w:rPr>
          <w:rStyle w:val="FootnoteReference"/>
        </w:rPr>
        <w:footnoteReference w:id="878"/>
      </w:r>
    </w:p>
    <w:p w:rsidR="00B37069" w:rsidRPr="00B37069" w:rsidRDefault="00B37069" w:rsidP="00B37069">
      <w:pPr>
        <w:pStyle w:val="AERbulletlistfirststyle"/>
      </w:pPr>
      <w:r>
        <w:t xml:space="preserve">In their recent review for the Office of Gas and Electricity Markets (Ofgem), Wright and Smithers advocated using geometric average returns, adjusted </w:t>
      </w:r>
      <w:r w:rsidRPr="00B37069">
        <w:t>for return volatility on the arithmetic average. Wright and Smithers based their reasoning on the distortions introduced by direct arithmetic averaging.</w:t>
      </w:r>
      <w:r w:rsidRPr="00B37069">
        <w:rPr>
          <w:rStyle w:val="FootnoteReference"/>
        </w:rPr>
        <w:footnoteReference w:id="879"/>
      </w:r>
      <w:r w:rsidRPr="00B37069">
        <w:t xml:space="preserve"> While we do not adopt this approach, this indicates that experts and other regulators consider geometric averages valuable.</w:t>
      </w:r>
    </w:p>
    <w:p w:rsidR="00B37069" w:rsidRPr="00B37069" w:rsidRDefault="00B37069" w:rsidP="00B37069">
      <w:pPr>
        <w:pStyle w:val="AERbulletlistfirststyle"/>
      </w:pPr>
      <w:r w:rsidRPr="00002A2E">
        <w:t>McKenzie</w:t>
      </w:r>
      <w:r w:rsidRPr="00B37069">
        <w:t>, Partington, and Satchell recommended the consideration of both arithmetic and geometric averages, tempered by an understanding of their inherent biases.</w:t>
      </w:r>
      <w:r w:rsidRPr="00B37069">
        <w:rPr>
          <w:rStyle w:val="FootnoteReference"/>
        </w:rPr>
        <w:footnoteReference w:id="880"/>
      </w:r>
    </w:p>
    <w:p w:rsidR="00B37069" w:rsidRDefault="00B37069" w:rsidP="00B37069">
      <w:r>
        <w:t>In a series of reports, NERA recommended we give no weight to geometric average historical excess returns.</w:t>
      </w:r>
      <w:r>
        <w:rPr>
          <w:rStyle w:val="FootnoteReference"/>
        </w:rPr>
        <w:footnoteReference w:id="881"/>
      </w:r>
      <w:r>
        <w:t xml:space="preserve"> In June 2015, NERA submitted a further report on this issue.</w:t>
      </w:r>
      <w:r>
        <w:rPr>
          <w:rStyle w:val="FootnoteReference"/>
        </w:rPr>
        <w:footnoteReference w:id="882"/>
      </w:r>
      <w:r>
        <w:t xml:space="preserve"> In January 2016, HoustonKemp submitted a similar report to NERA that also recommended that no weight be given to geometric average historical excess returns.</w:t>
      </w:r>
      <w:r>
        <w:rPr>
          <w:rStyle w:val="FootnoteReference"/>
        </w:rPr>
        <w:footnoteReference w:id="883"/>
      </w:r>
      <w:r>
        <w:t xml:space="preserve"> </w:t>
      </w:r>
    </w:p>
    <w:p w:rsidR="00B37069" w:rsidRDefault="00B37069" w:rsidP="00B37069">
      <w:r>
        <w:t xml:space="preserve">We consider NERA and </w:t>
      </w:r>
      <w:r w:rsidRPr="00447587">
        <w:t>HoustonKemp</w:t>
      </w:r>
      <w:r>
        <w:t>'s submissions take a narrow view of the issue. As Partington and Satchell stated in their October 2015 report:</w:t>
      </w:r>
      <w:r>
        <w:rPr>
          <w:rStyle w:val="FootnoteReference"/>
        </w:rPr>
        <w:footnoteReference w:id="884"/>
      </w:r>
    </w:p>
    <w:p w:rsidR="00B37069" w:rsidRDefault="00B37069" w:rsidP="00B37069">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37069" w:rsidRDefault="00B37069" w:rsidP="00B37069">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85"/>
      </w:r>
    </w:p>
    <w:p w:rsidR="00B37069" w:rsidRDefault="00B37069" w:rsidP="00B37069">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B37069" w:rsidRDefault="00B37069" w:rsidP="00B37069">
      <w:r>
        <w:t>In their 2012 report, McKenzie and Partington provided numerous references to academic studies that support this view.</w:t>
      </w:r>
      <w:r>
        <w:rPr>
          <w:rStyle w:val="FootnoteReference"/>
        </w:rPr>
        <w:footnoteReference w:id="886"/>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887"/>
      </w:r>
      <w:r>
        <w:t xml:space="preserve"> We agree with this view. </w:t>
      </w:r>
    </w:p>
    <w:p w:rsidR="00B37069" w:rsidRDefault="00B37069" w:rsidP="00B37069">
      <w:r>
        <w:t>Moreover, in their October 2015 report, Partington and Satchell demonstrate that, even in the restricted case that NERA presents, the geometric average can be a superior estimator.</w:t>
      </w:r>
      <w:r>
        <w:rPr>
          <w:rStyle w:val="FootnoteReference"/>
        </w:rPr>
        <w:footnoteReference w:id="888"/>
      </w:r>
      <w:r>
        <w:t xml:space="preserve"> </w:t>
      </w:r>
    </w:p>
    <w:p w:rsidR="00B37069" w:rsidRDefault="00B37069" w:rsidP="00B37069">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89"/>
      </w:r>
      <w:r w:rsidRPr="00447587">
        <w:t xml:space="preserve"> </w:t>
      </w:r>
    </w:p>
    <w:p w:rsidR="00B37069" w:rsidRDefault="00B37069" w:rsidP="00B37069">
      <w:r>
        <w:t xml:space="preserve">We consider that HouseKemp's 2016 report has incorrectly considered Partington and Satchell's results on </w:t>
      </w:r>
      <w:r w:rsidR="0095169E">
        <w:t>geometric</w:t>
      </w:r>
      <w:r>
        <w:t xml:space="preserve"> and </w:t>
      </w:r>
      <w:r w:rsidR="00EA4C63">
        <w:t>arithmetic</w:t>
      </w:r>
      <w:r>
        <w:t xml:space="preserve"> mean returns.  This is well summarised by Partington and Satchell:</w:t>
      </w:r>
      <w:r>
        <w:rPr>
          <w:rStyle w:val="FootnoteReference"/>
        </w:rPr>
        <w:footnoteReference w:id="890"/>
      </w:r>
    </w:p>
    <w:p w:rsidR="00B37069" w:rsidRPr="000D44B5" w:rsidRDefault="00B37069" w:rsidP="00B37069">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B37069" w:rsidRDefault="00B37069" w:rsidP="00B37069">
      <w:r>
        <w:t>NERA has questioned the relevance of the Akgiray (1989) and the Jacquier, Kane and Marcus (2003) articles referenced by Partington and Satchell.</w:t>
      </w:r>
      <w:r>
        <w:rPr>
          <w:rStyle w:val="FootnoteReference"/>
        </w:rPr>
        <w:footnoteReference w:id="891"/>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37069" w:rsidRDefault="00B37069" w:rsidP="00B37069">
      <w:r>
        <w:t>SFG and Frontier Economics have also recommended</w:t>
      </w:r>
      <w:r w:rsidRPr="0014735D">
        <w:t xml:space="preserve"> </w:t>
      </w:r>
      <w:r>
        <w:t>we give no weight to geometric average historical excess returns.</w:t>
      </w:r>
      <w:r>
        <w:rPr>
          <w:rStyle w:val="FootnoteReference"/>
        </w:rPr>
        <w:footnoteReference w:id="892"/>
      </w:r>
      <w:r>
        <w:t xml:space="preserve"> This is a reiteration of its views from previous reports, and is based primarily on SFG's submission that arithmetic averages are more representative of future expectations.</w:t>
      </w:r>
      <w:r>
        <w:rPr>
          <w:rStyle w:val="FootnoteReference"/>
        </w:rPr>
        <w:footnoteReference w:id="893"/>
      </w:r>
      <w:r>
        <w:t xml:space="preserve"> We have responded to SFG's views in previous decisions</w:t>
      </w:r>
      <w:r w:rsidRPr="003F6527">
        <w:t xml:space="preserve"> </w:t>
      </w:r>
      <w:r>
        <w:t>and this material remains relevant.</w:t>
      </w:r>
      <w:r>
        <w:rPr>
          <w:rStyle w:val="FootnoteReference"/>
        </w:rPr>
        <w:footnoteReference w:id="894"/>
      </w:r>
    </w:p>
    <w:p w:rsidR="00B37069" w:rsidRDefault="00B37069" w:rsidP="00B37069">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895"/>
      </w:r>
      <w:r>
        <w:t xml:space="preserve"> We agree with Partington and Satchell's conclusion (a reiteration of McKenzie and Partington's 2012 conclusion) that:</w:t>
      </w:r>
      <w:r>
        <w:rPr>
          <w:rStyle w:val="FootnoteReference"/>
        </w:rPr>
        <w:footnoteReference w:id="896"/>
      </w:r>
    </w:p>
    <w:p w:rsidR="00B37069" w:rsidRDefault="00B37069" w:rsidP="00B37069">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37069" w:rsidRDefault="00B37069" w:rsidP="00B37069">
      <w:pPr>
        <w:pStyle w:val="Heading8"/>
      </w:pPr>
      <w:bookmarkStart w:id="159" w:name="_Toc443923201"/>
      <w:bookmarkStart w:id="160" w:name="_Toc451943795"/>
      <w:r>
        <w:t>ASX adjustment to historical data</w:t>
      </w:r>
      <w:bookmarkEnd w:id="159"/>
      <w:bookmarkEnd w:id="160"/>
    </w:p>
    <w:p w:rsidR="00B37069" w:rsidRDefault="00B37069" w:rsidP="00B37069">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897"/>
      </w:r>
      <w:r w:rsidRPr="00C2709F">
        <w:t xml:space="preserve"> </w:t>
      </w:r>
      <w:r>
        <w:t>The data used by Brailsford et al. was provided to them by the ASX.</w:t>
      </w:r>
      <w:r w:rsidRPr="00D60892">
        <w:rPr>
          <w:rStyle w:val="FootnoteReference"/>
        </w:rPr>
        <w:t xml:space="preserve"> </w:t>
      </w:r>
      <w:r>
        <w:rPr>
          <w:rStyle w:val="FootnoteReference"/>
        </w:rPr>
        <w:footnoteReference w:id="898"/>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899"/>
      </w:r>
      <w:r>
        <w:t xml:space="preserve"> </w:t>
      </w:r>
    </w:p>
    <w:p w:rsidR="00B37069" w:rsidRPr="0000506E" w:rsidRDefault="00B37069" w:rsidP="00B37069">
      <w:pPr>
        <w:numPr>
          <w:ilvl w:val="0"/>
          <w:numId w:val="24"/>
        </w:numPr>
      </w:pPr>
      <w:r>
        <w:t>This issue has been raised numerous times since our</w:t>
      </w:r>
      <w:r w:rsidRPr="0000506E">
        <w:t xml:space="preserve"> Guideline development process,</w:t>
      </w:r>
      <w:r w:rsidRPr="0000506E">
        <w:rPr>
          <w:rStyle w:val="FootnoteReference"/>
        </w:rPr>
        <w:footnoteReference w:id="900"/>
      </w:r>
      <w:r w:rsidRPr="0000506E">
        <w:t xml:space="preserve"> </w:t>
      </w:r>
      <w:r>
        <w:t xml:space="preserve">and this history </w:t>
      </w:r>
      <w:r w:rsidRPr="0000506E">
        <w:t xml:space="preserve">is set out </w:t>
      </w:r>
      <w:r>
        <w:t>in our draft decision.</w:t>
      </w:r>
      <w:r>
        <w:rPr>
          <w:rStyle w:val="FootnoteReference"/>
        </w:rPr>
        <w:footnoteReference w:id="901"/>
      </w:r>
      <w:r>
        <w:t xml:space="preserve"> </w:t>
      </w:r>
    </w:p>
    <w:p w:rsidR="00B37069" w:rsidRPr="00C2709F" w:rsidRDefault="00B37069" w:rsidP="00B37069">
      <w:pPr>
        <w:numPr>
          <w:ilvl w:val="0"/>
          <w:numId w:val="24"/>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902"/>
      </w:r>
      <w:r w:rsidRPr="00C2709F">
        <w:t xml:space="preserve"> </w:t>
      </w:r>
      <w:r w:rsidRPr="00C2709F">
        <w:fldChar w:fldCharType="begin"/>
      </w:r>
      <w:r w:rsidRPr="00C2709F">
        <w:instrText xml:space="preserve"> REF _Ref432620022 \h </w:instrText>
      </w:r>
      <w:r w:rsidRPr="00C2709F">
        <w:fldChar w:fldCharType="separate"/>
      </w:r>
      <w:r w:rsidR="000230CB" w:rsidRPr="00C2709F">
        <w:t xml:space="preserve">Table </w:t>
      </w:r>
      <w:r w:rsidR="000230CB">
        <w:rPr>
          <w:noProof/>
        </w:rPr>
        <w:t>3</w:t>
      </w:r>
      <w:r w:rsidR="000230CB">
        <w:noBreakHyphen/>
      </w:r>
      <w:r w:rsidR="000230CB">
        <w:rPr>
          <w:noProof/>
        </w:rPr>
        <w:t>30</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B37069" w:rsidRPr="00C2709F" w:rsidRDefault="00B37069" w:rsidP="00B37069">
      <w:pPr>
        <w:pStyle w:val="Caption"/>
        <w:rPr>
          <w:rStyle w:val="Strong"/>
        </w:rPr>
      </w:pPr>
      <w:bookmarkStart w:id="161" w:name="_Ref432620022"/>
      <w:r w:rsidRPr="00C2709F">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30</w:t>
      </w:r>
      <w:r w:rsidR="00527450">
        <w:rPr>
          <w:noProof/>
        </w:rPr>
        <w:fldChar w:fldCharType="end"/>
      </w:r>
      <w:bookmarkEnd w:id="161"/>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B37069" w:rsidRPr="003663F4" w:rsidTr="00E10A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pPr>
              <w:rPr>
                <w:rStyle w:val="Strong"/>
              </w:rPr>
            </w:pPr>
            <w:r w:rsidRPr="00C2709F">
              <w:rPr>
                <w:rStyle w:val="Strong"/>
              </w:rPr>
              <w:t>Sampling period</w:t>
            </w:r>
          </w:p>
        </w:tc>
        <w:tc>
          <w:tcPr>
            <w:tcW w:w="2202" w:type="pct"/>
            <w:noWrap/>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B37069">
              <w:rPr>
                <w:rStyle w:val="Strong"/>
              </w:rPr>
              <w:t>with ASX adjustment</w:t>
            </w:r>
          </w:p>
        </w:tc>
        <w:tc>
          <w:tcPr>
            <w:tcW w:w="2084" w:type="pct"/>
            <w:noWrap/>
          </w:tcPr>
          <w:p w:rsidR="00B37069" w:rsidRPr="00B37069" w:rsidRDefault="00B37069" w:rsidP="00BC70E6">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B37069">
              <w:rPr>
                <w:rStyle w:val="Strong"/>
              </w:rPr>
              <w:t>with NERA adjustment</w:t>
            </w:r>
          </w:p>
        </w:tc>
      </w:tr>
      <w:tr w:rsidR="00B37069" w:rsidRPr="003663F4" w:rsidTr="00E10A41">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r w:rsidRPr="00C2709F">
              <w:t>1883–</w:t>
            </w:r>
            <w:r w:rsidRPr="00B37069">
              <w:t>2015</w:t>
            </w:r>
          </w:p>
        </w:tc>
        <w:tc>
          <w:tcPr>
            <w:tcW w:w="2202"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6.5</w:t>
            </w:r>
          </w:p>
        </w:tc>
      </w:tr>
      <w:tr w:rsidR="00B37069" w:rsidRPr="003663F4" w:rsidTr="00E10A4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r w:rsidRPr="00C2709F">
              <w:t>1937–</w:t>
            </w:r>
            <w:r w:rsidRPr="00B37069">
              <w:t>2015</w:t>
            </w:r>
          </w:p>
        </w:tc>
        <w:tc>
          <w:tcPr>
            <w:tcW w:w="2202" w:type="pct"/>
            <w:noWrap/>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5.</w:t>
            </w:r>
            <w:r w:rsidRPr="00B37069">
              <w:t>7</w:t>
            </w:r>
          </w:p>
        </w:tc>
      </w:tr>
      <w:tr w:rsidR="00B37069" w:rsidRPr="003663F4" w:rsidTr="00E10A41">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r w:rsidRPr="00C2709F">
              <w:t>1958–</w:t>
            </w:r>
            <w:r w:rsidRPr="00B37069">
              <w:t>2015</w:t>
            </w:r>
          </w:p>
        </w:tc>
        <w:tc>
          <w:tcPr>
            <w:tcW w:w="2202"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6.2</w:t>
            </w:r>
          </w:p>
        </w:tc>
      </w:tr>
      <w:tr w:rsidR="00B37069" w:rsidRPr="003663F4" w:rsidTr="00E10A41">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r w:rsidRPr="00C2709F">
              <w:t>1980–</w:t>
            </w:r>
            <w:r w:rsidRPr="00B37069">
              <w:t>2015</w:t>
            </w:r>
          </w:p>
        </w:tc>
        <w:tc>
          <w:tcPr>
            <w:tcW w:w="2202" w:type="pct"/>
            <w:noWrap/>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B37069" w:rsidRPr="00B37069" w:rsidRDefault="00B37069" w:rsidP="00BC70E6">
            <w:pPr>
              <w:cnfStyle w:val="000000010000" w:firstRow="0" w:lastRow="0" w:firstColumn="0" w:lastColumn="0" w:oddVBand="0" w:evenVBand="0" w:oddHBand="0" w:evenHBand="1" w:firstRowFirstColumn="0" w:firstRowLastColumn="0" w:lastRowFirstColumn="0" w:lastRowLastColumn="0"/>
            </w:pPr>
            <w:r>
              <w:t>5.9</w:t>
            </w:r>
          </w:p>
        </w:tc>
      </w:tr>
      <w:tr w:rsidR="00B37069" w:rsidRPr="003663F4" w:rsidTr="00E10A41">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B37069" w:rsidRPr="00B37069" w:rsidRDefault="00B37069" w:rsidP="00BC70E6">
            <w:r w:rsidRPr="00C2709F">
              <w:t>1988–</w:t>
            </w:r>
            <w:r w:rsidRPr="00B37069">
              <w:t>2015</w:t>
            </w:r>
          </w:p>
        </w:tc>
        <w:tc>
          <w:tcPr>
            <w:tcW w:w="2202"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B37069" w:rsidRPr="00B37069" w:rsidRDefault="00B37069" w:rsidP="00BC70E6">
            <w:pPr>
              <w:cnfStyle w:val="000000000000" w:firstRow="0" w:lastRow="0" w:firstColumn="0" w:lastColumn="0" w:oddVBand="0" w:evenVBand="0" w:oddHBand="0" w:evenHBand="0" w:firstRowFirstColumn="0" w:firstRowLastColumn="0" w:lastRowFirstColumn="0" w:lastRowLastColumn="0"/>
            </w:pPr>
            <w:r>
              <w:t>5.2</w:t>
            </w:r>
          </w:p>
        </w:tc>
      </w:tr>
    </w:tbl>
    <w:p w:rsidR="00B37069" w:rsidRPr="00C2709F" w:rsidRDefault="00B37069" w:rsidP="00B37069">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B37069" w:rsidRPr="001562D4" w:rsidRDefault="00B37069" w:rsidP="00B37069">
      <w:pPr>
        <w:pStyle w:val="AERtablesource"/>
      </w:pPr>
      <w:r>
        <w:t>Notes</w:t>
      </w:r>
      <w:r w:rsidRPr="00C2709F">
        <w:t xml:space="preserve">: </w:t>
      </w:r>
      <w:r w:rsidRPr="00C2709F">
        <w:tab/>
      </w:r>
      <w:r>
        <w:t>Based on arithmetic averages of historical stock returns, and a theta value of 0.6.</w:t>
      </w:r>
    </w:p>
    <w:p w:rsidR="00B37069" w:rsidRPr="00C2709F" w:rsidRDefault="00B37069" w:rsidP="00B37069">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903"/>
      </w:r>
    </w:p>
    <w:p w:rsidR="00B37069" w:rsidRPr="00C2709F" w:rsidRDefault="00B37069" w:rsidP="00B37069">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B37069" w:rsidRPr="00C2709F" w:rsidRDefault="00B37069" w:rsidP="00B37069">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904"/>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905"/>
      </w:r>
      <w:r w:rsidRPr="00C2709F">
        <w:t xml:space="preserve"> </w:t>
      </w:r>
      <w:r>
        <w:t>Brailsford et al. concluded that the ASX's adjustment was reasonable after considering</w:t>
      </w:r>
      <w:r w:rsidRPr="00C2709F">
        <w:t>:</w:t>
      </w:r>
      <w:r>
        <w:t xml:space="preserve"> </w:t>
      </w:r>
    </w:p>
    <w:p w:rsidR="00B37069" w:rsidRPr="00C2709F" w:rsidRDefault="00B37069" w:rsidP="00B37069">
      <w:pPr>
        <w:pStyle w:val="AERbulletlistfirststyle"/>
      </w:pPr>
      <w:r w:rsidRPr="00C2709F">
        <w:t>the views of the stock exchange itself (a credible source), as its staff determined and applied the adjustment factor to the dividend yield series</w:t>
      </w:r>
    </w:p>
    <w:p w:rsidR="00B37069" w:rsidRPr="00C2709F" w:rsidRDefault="00B37069" w:rsidP="00B37069">
      <w:pPr>
        <w:pStyle w:val="AERbulletlistfirststyle"/>
      </w:pPr>
      <w:r w:rsidRPr="00C2709F">
        <w:t>US studies, which have attempted to formulate dividend yield series over roughly comparable time periods</w:t>
      </w:r>
    </w:p>
    <w:p w:rsidR="00B37069" w:rsidRPr="00C2709F" w:rsidRDefault="00B37069" w:rsidP="00B37069">
      <w:pPr>
        <w:pStyle w:val="AERbulletlistfirststyle"/>
      </w:pPr>
      <w:r w:rsidRPr="00C2709F">
        <w:t>estimates of unweighted and weighted dividend yields for the UK stock market over the period 1872 to 1913</w:t>
      </w:r>
    </w:p>
    <w:p w:rsidR="00B37069" w:rsidRPr="00B37069" w:rsidRDefault="00B37069" w:rsidP="00B37069">
      <w:pPr>
        <w:pStyle w:val="AERbulletlistfirststyle"/>
      </w:pPr>
      <w:r w:rsidRPr="00C2709F">
        <w:t>a more direct test by estimating the weighted dividend yield across all stocks listed on the S</w:t>
      </w:r>
      <w:r w:rsidRPr="00B37069">
        <w:t>ydney Stock Exchange for February 1966 (the first month of decimal currency)</w:t>
      </w:r>
    </w:p>
    <w:p w:rsidR="00B37069" w:rsidRPr="00856B86" w:rsidRDefault="00B37069" w:rsidP="00B37069">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906"/>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B37069" w:rsidRPr="00B37069" w:rsidRDefault="00B37069" w:rsidP="00B37069">
      <w:pPr>
        <w:pStyle w:val="AERbulletlistfirststyle"/>
      </w:pPr>
      <w:r w:rsidRPr="00856B86">
        <w:t>In his October 2014 report, Handley stated:</w:t>
      </w:r>
      <w:r w:rsidRPr="00B37069">
        <w:rPr>
          <w:rStyle w:val="FootnoteReference"/>
        </w:rPr>
        <w:footnoteReference w:id="907"/>
      </w:r>
    </w:p>
    <w:p w:rsidR="00B37069" w:rsidRPr="00856B86" w:rsidRDefault="00B37069" w:rsidP="00B37069">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B37069" w:rsidRPr="00B37069" w:rsidRDefault="00B37069" w:rsidP="00B37069">
      <w:pPr>
        <w:pStyle w:val="AERbulletlistfirststyle"/>
      </w:pPr>
      <w:r w:rsidRPr="00856B86">
        <w:t>In his May 2015 report, Handley stated:</w:t>
      </w:r>
      <w:r w:rsidRPr="00B37069">
        <w:rPr>
          <w:rStyle w:val="FootnoteReference"/>
        </w:rPr>
        <w:footnoteReference w:id="908"/>
      </w:r>
    </w:p>
    <w:p w:rsidR="00B37069" w:rsidRPr="00856B86" w:rsidRDefault="00B37069" w:rsidP="00B37069">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B37069" w:rsidRDefault="00B37069" w:rsidP="00B37069">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B37069" w:rsidRPr="00C2709F" w:rsidRDefault="00B37069" w:rsidP="00B37069">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909"/>
      </w:r>
      <w:r w:rsidRPr="00C2709F">
        <w:t xml:space="preserve"> specifically:</w:t>
      </w:r>
      <w:r w:rsidRPr="00C2709F">
        <w:rPr>
          <w:rStyle w:val="FootnoteReference"/>
        </w:rPr>
        <w:footnoteReference w:id="910"/>
      </w:r>
    </w:p>
    <w:p w:rsidR="00B37069" w:rsidRPr="00C2709F" w:rsidRDefault="00B37069" w:rsidP="00B37069">
      <w:pPr>
        <w:pStyle w:val="AERbulletlistfirststyle"/>
      </w:pPr>
      <w:r w:rsidRPr="00C2709F">
        <w:t xml:space="preserve">employing hindsight in sample selection commonly imparts an upward (survivorship) bias </w:t>
      </w:r>
    </w:p>
    <w:p w:rsidR="00B37069" w:rsidRPr="00C2709F" w:rsidRDefault="00B37069" w:rsidP="00B37069">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B37069" w:rsidRPr="00C2709F" w:rsidRDefault="00B37069" w:rsidP="00B37069">
      <w:pPr>
        <w:pStyle w:val="AERbulletlistfirststyle"/>
      </w:pPr>
      <w:r w:rsidRPr="00C2709F">
        <w:t>the Commercial and Industrial price index from 1875 to 1936 suffers from narrow coverage—there are only five stocks in the index in 1875, 12 in 1905 and 47 in 1935</w:t>
      </w:r>
    </w:p>
    <w:p w:rsidR="00B37069" w:rsidRPr="00C2709F" w:rsidRDefault="00B37069" w:rsidP="00B37069">
      <w:pPr>
        <w:pStyle w:val="AERbulletlistfirststyle"/>
      </w:pPr>
      <w:r w:rsidRPr="00C2709F">
        <w:t>Australian government stock price controls were in operation from November 1941 to February 1947 and, therefore, prices over this period were not fully market determined</w:t>
      </w:r>
    </w:p>
    <w:p w:rsidR="00B37069" w:rsidRPr="00C2709F" w:rsidRDefault="00B37069" w:rsidP="00B37069">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B37069" w:rsidRPr="00C2709F" w:rsidRDefault="00B37069" w:rsidP="00B37069">
      <w:r w:rsidRPr="00C2709F">
        <w:t>Brailsford et al. subsequently considered that:</w:t>
      </w:r>
      <w:r w:rsidRPr="00C2709F">
        <w:rPr>
          <w:rStyle w:val="FootnoteReference"/>
        </w:rPr>
        <w:footnoteReference w:id="911"/>
      </w:r>
    </w:p>
    <w:p w:rsidR="00B37069" w:rsidRPr="00C2709F" w:rsidRDefault="00B37069" w:rsidP="00B37069">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B37069" w:rsidRDefault="00B37069" w:rsidP="00B37069">
      <w:pPr>
        <w:numPr>
          <w:ilvl w:val="0"/>
          <w:numId w:val="24"/>
        </w:numPr>
      </w:pPr>
      <w:r>
        <w:t xml:space="preserve">Given this probability of overstatement considered by Brailsford et al., it is not clear that a smaller downward adjustment to the original data would reduce bias. </w:t>
      </w:r>
    </w:p>
    <w:p w:rsidR="00903BDA" w:rsidRPr="00BA0AFD" w:rsidRDefault="00903BDA" w:rsidP="00903BDA">
      <w:pPr>
        <w:pStyle w:val="Heading7"/>
      </w:pPr>
      <w:bookmarkStart w:id="162" w:name="_Toc443923203"/>
      <w:bookmarkStart w:id="163" w:name="_Toc451943796"/>
      <w:r>
        <w:t>AER's dividend growth model</w:t>
      </w:r>
      <w:bookmarkEnd w:id="162"/>
      <w:bookmarkEnd w:id="163"/>
    </w:p>
    <w:p w:rsidR="00903BDA" w:rsidRPr="00B4711B" w:rsidRDefault="00903BDA" w:rsidP="00903BDA">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12"/>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13"/>
      </w:r>
      <w:r>
        <w:t xml:space="preserve"> However, we consider that limited reliance should be placed on estimates from dividend growth models. </w:t>
      </w:r>
    </w:p>
    <w:p w:rsidR="00903BDA" w:rsidRPr="00B4711B" w:rsidRDefault="00903BDA" w:rsidP="00903BDA">
      <w:pPr>
        <w:numPr>
          <w:ilvl w:val="0"/>
          <w:numId w:val="24"/>
        </w:numPr>
      </w:pPr>
      <w:r w:rsidRPr="00B4711B">
        <w:t>In this appendix we set out:</w:t>
      </w:r>
    </w:p>
    <w:p w:rsidR="00903BDA" w:rsidRPr="00903BDA" w:rsidRDefault="00903BDA" w:rsidP="00903BDA">
      <w:pPr>
        <w:pStyle w:val="AERbulletlistfirststyle"/>
      </w:pPr>
      <w:r w:rsidRPr="00B4711B">
        <w:t xml:space="preserve">Prevailing estimates of the </w:t>
      </w:r>
      <w:r w:rsidRPr="00903BDA">
        <w:t>market risk premium using our preferred construction of the dividend growth model.</w:t>
      </w:r>
    </w:p>
    <w:p w:rsidR="00903BDA" w:rsidRPr="00903BDA" w:rsidRDefault="00903BDA" w:rsidP="00903BDA">
      <w:pPr>
        <w:pStyle w:val="AERbulletlistfirststyle"/>
      </w:pPr>
      <w:r w:rsidRPr="00B4711B">
        <w:t>Sensitivity analysis surrounding our prevailing estimates.</w:t>
      </w:r>
    </w:p>
    <w:p w:rsidR="00903BDA" w:rsidRPr="00903BDA" w:rsidRDefault="00903BDA" w:rsidP="00903BDA">
      <w:pPr>
        <w:pStyle w:val="AERbulletlistfirststyle"/>
      </w:pPr>
      <w:r w:rsidRPr="00B4711B">
        <w:t xml:space="preserve">Our preferred construction of the </w:t>
      </w:r>
      <w:r w:rsidRPr="00903BDA">
        <w:t>dividend growth model.</w:t>
      </w:r>
    </w:p>
    <w:p w:rsidR="00903BDA" w:rsidRPr="00903BDA" w:rsidRDefault="00903BDA" w:rsidP="00903BDA">
      <w:pPr>
        <w:pStyle w:val="AERbulletlistfirststyle"/>
      </w:pPr>
      <w:r>
        <w:t xml:space="preserve">Limitations </w:t>
      </w:r>
      <w:r w:rsidRPr="00903BDA">
        <w:t xml:space="preserve">with the use of dividend growth models due to potential upward bias. </w:t>
      </w:r>
    </w:p>
    <w:p w:rsidR="00903BDA" w:rsidRPr="00DB0499" w:rsidRDefault="00903BDA" w:rsidP="00734DBF">
      <w:pPr>
        <w:pStyle w:val="Heading8"/>
        <w:numPr>
          <w:ilvl w:val="1"/>
          <w:numId w:val="31"/>
        </w:numPr>
      </w:pPr>
      <w:r w:rsidRPr="00B4711B">
        <w:t xml:space="preserve"> </w:t>
      </w:r>
      <w:bookmarkStart w:id="164" w:name="_Toc443923204"/>
      <w:bookmarkStart w:id="165" w:name="_Toc451943797"/>
      <w:r w:rsidRPr="00B4711B">
        <w:t>Prevailing estimates</w:t>
      </w:r>
      <w:bookmarkEnd w:id="164"/>
      <w:bookmarkEnd w:id="165"/>
      <w:r w:rsidRPr="00B4711B">
        <w:t xml:space="preserve"> </w:t>
      </w:r>
    </w:p>
    <w:p w:rsidR="00903BDA" w:rsidRPr="00B4711B" w:rsidRDefault="00903BDA" w:rsidP="00903BDA">
      <w:r w:rsidRPr="00B4711B">
        <w:t xml:space="preserve">Results in </w:t>
      </w:r>
      <w:r>
        <w:fldChar w:fldCharType="begin"/>
      </w:r>
      <w:r>
        <w:instrText xml:space="preserve"> REF _Ref445384078 \h </w:instrText>
      </w:r>
      <w:r>
        <w:fldChar w:fldCharType="separate"/>
      </w:r>
      <w:r w:rsidR="000230CB" w:rsidRPr="00C2709F">
        <w:t xml:space="preserve">Table </w:t>
      </w:r>
      <w:r w:rsidR="000230CB">
        <w:rPr>
          <w:noProof/>
        </w:rPr>
        <w:t>3</w:t>
      </w:r>
      <w:r w:rsidR="000230CB">
        <w:noBreakHyphen/>
      </w:r>
      <w:r w:rsidR="000230CB">
        <w:rPr>
          <w:noProof/>
        </w:rPr>
        <w:t>31</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March</w:t>
      </w:r>
      <w:r w:rsidRPr="00B4711B">
        <w:t xml:space="preserve"> 201</w:t>
      </w:r>
      <w:r>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2F21C3">
        <w:rPr>
          <w:rStyle w:val="AERbody"/>
        </w:rPr>
        <w:t>48</w:t>
      </w:r>
      <w:r w:rsidRPr="00B4711B">
        <w:rPr>
          <w:rStyle w:val="AERbody"/>
        </w:rPr>
        <w:t xml:space="preserve"> to </w:t>
      </w:r>
      <w:r>
        <w:rPr>
          <w:rStyle w:val="AERbody"/>
        </w:rPr>
        <w:t>8.</w:t>
      </w:r>
      <w:r w:rsidR="002F21C3">
        <w:rPr>
          <w:rStyle w:val="AERbody"/>
        </w:rPr>
        <w:t>74</w:t>
      </w:r>
      <w:r w:rsidRPr="00B4711B">
        <w:rPr>
          <w:rStyle w:val="AERbody"/>
        </w:rPr>
        <w:t xml:space="preserve"> per </w:t>
      </w:r>
      <w:r w:rsidRPr="00B4711B">
        <w:t>cent.</w:t>
      </w:r>
      <w:r w:rsidRPr="00890846">
        <w:t xml:space="preserve"> </w:t>
      </w:r>
    </w:p>
    <w:p w:rsidR="00903BDA" w:rsidRDefault="00903BDA" w:rsidP="00903BDA">
      <w:pPr>
        <w:pStyle w:val="Caption"/>
      </w:pPr>
      <w:bookmarkStart w:id="166" w:name="_Ref445384078"/>
      <w:bookmarkStart w:id="167" w:name="_Ref443651296"/>
      <w:r w:rsidRPr="00C2709F">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31</w:t>
      </w:r>
      <w:r w:rsidR="00527450">
        <w:rPr>
          <w:noProof/>
        </w:rPr>
        <w:fldChar w:fldCharType="end"/>
      </w:r>
      <w:bookmarkEnd w:id="166"/>
      <w:r w:rsidRPr="00C2709F">
        <w:t xml:space="preserve"> </w:t>
      </w:r>
      <w:r w:rsidRPr="00C2709F">
        <w:tab/>
      </w:r>
      <w:r>
        <w:t>Market risk premium estimates under dividend growth models</w:t>
      </w:r>
      <w:r w:rsidRPr="00C2709F">
        <w:t xml:space="preserve"> (per cent)</w:t>
      </w:r>
      <w:r w:rsidRPr="00C2709F" w:rsidDel="00184676">
        <w:t xml:space="preserve"> </w:t>
      </w:r>
      <w:bookmarkEnd w:id="167"/>
    </w:p>
    <w:tbl>
      <w:tblPr>
        <w:tblStyle w:val="AERtable-text0"/>
        <w:tblW w:w="0" w:type="auto"/>
        <w:tblLook w:val="04A0" w:firstRow="1" w:lastRow="0" w:firstColumn="1" w:lastColumn="0" w:noHBand="0" w:noVBand="1"/>
      </w:tblPr>
      <w:tblGrid>
        <w:gridCol w:w="2897"/>
        <w:gridCol w:w="2898"/>
        <w:gridCol w:w="2898"/>
      </w:tblGrid>
      <w:tr w:rsidR="00BC70E6" w:rsidTr="00BC70E6">
        <w:trPr>
          <w:cnfStyle w:val="100000000000" w:firstRow="1" w:lastRow="0" w:firstColumn="0" w:lastColumn="0" w:oddVBand="0" w:evenVBand="0" w:oddHBand="0" w:evenHBand="0" w:firstRowFirstColumn="0" w:firstRowLastColumn="0" w:lastRowFirstColumn="0" w:lastRowLastColumn="0"/>
        </w:trPr>
        <w:tc>
          <w:tcPr>
            <w:tcW w:w="2897" w:type="dxa"/>
          </w:tcPr>
          <w:p w:rsidR="00BC70E6" w:rsidRPr="00BC70E6" w:rsidRDefault="00BC70E6" w:rsidP="00BC70E6">
            <w:r w:rsidRPr="00B4711B">
              <w:t xml:space="preserve">Growth rate </w:t>
            </w:r>
          </w:p>
        </w:tc>
        <w:tc>
          <w:tcPr>
            <w:tcW w:w="2898" w:type="dxa"/>
          </w:tcPr>
          <w:p w:rsidR="00BC70E6" w:rsidRPr="00BC70E6" w:rsidRDefault="00BC70E6" w:rsidP="00BC70E6">
            <w:r w:rsidRPr="00B4711B">
              <w:t>Two stage model</w:t>
            </w:r>
          </w:p>
        </w:tc>
        <w:tc>
          <w:tcPr>
            <w:tcW w:w="2898" w:type="dxa"/>
          </w:tcPr>
          <w:p w:rsidR="00BC70E6" w:rsidRPr="00BC70E6" w:rsidRDefault="00BC70E6" w:rsidP="00BC70E6">
            <w:r w:rsidRPr="00B4711B">
              <w:t>Three stage model</w:t>
            </w:r>
          </w:p>
        </w:tc>
      </w:tr>
      <w:tr w:rsidR="00BC70E6" w:rsidTr="00BC70E6">
        <w:tc>
          <w:tcPr>
            <w:tcW w:w="2897" w:type="dxa"/>
          </w:tcPr>
          <w:p w:rsidR="00BC70E6" w:rsidRPr="00BC70E6" w:rsidRDefault="00BC70E6" w:rsidP="00BC70E6">
            <w:r>
              <w:t>3</w:t>
            </w:r>
            <w:r w:rsidRPr="00BC70E6">
              <w:t>.8</w:t>
            </w:r>
          </w:p>
        </w:tc>
        <w:tc>
          <w:tcPr>
            <w:tcW w:w="2898" w:type="dxa"/>
          </w:tcPr>
          <w:p w:rsidR="00BC70E6" w:rsidRDefault="00BC70E6" w:rsidP="00BC70E6">
            <w:r>
              <w:t>7.48</w:t>
            </w:r>
          </w:p>
        </w:tc>
        <w:tc>
          <w:tcPr>
            <w:tcW w:w="2898" w:type="dxa"/>
          </w:tcPr>
          <w:p w:rsidR="00BC70E6" w:rsidRDefault="00BC70E6" w:rsidP="00BC70E6">
            <w:r>
              <w:t>7.74</w:t>
            </w:r>
          </w:p>
        </w:tc>
      </w:tr>
      <w:tr w:rsidR="00BC70E6" w:rsidTr="00BC70E6">
        <w:trPr>
          <w:cnfStyle w:val="000000010000" w:firstRow="0" w:lastRow="0" w:firstColumn="0" w:lastColumn="0" w:oddVBand="0" w:evenVBand="0" w:oddHBand="0" w:evenHBand="1" w:firstRowFirstColumn="0" w:firstRowLastColumn="0" w:lastRowFirstColumn="0" w:lastRowLastColumn="0"/>
        </w:trPr>
        <w:tc>
          <w:tcPr>
            <w:tcW w:w="2897" w:type="dxa"/>
          </w:tcPr>
          <w:p w:rsidR="00BC70E6" w:rsidRPr="00BC70E6" w:rsidRDefault="00BC70E6" w:rsidP="00BC70E6">
            <w:r w:rsidRPr="00B4711B">
              <w:t>4.6</w:t>
            </w:r>
          </w:p>
        </w:tc>
        <w:tc>
          <w:tcPr>
            <w:tcW w:w="2898" w:type="dxa"/>
          </w:tcPr>
          <w:p w:rsidR="00BC70E6" w:rsidRDefault="00BC70E6" w:rsidP="00BC70E6">
            <w:r>
              <w:t>8.24</w:t>
            </w:r>
          </w:p>
        </w:tc>
        <w:tc>
          <w:tcPr>
            <w:tcW w:w="2898" w:type="dxa"/>
          </w:tcPr>
          <w:p w:rsidR="00BC70E6" w:rsidRDefault="00BC70E6" w:rsidP="00BC70E6">
            <w:r>
              <w:t>8.36</w:t>
            </w:r>
          </w:p>
        </w:tc>
      </w:tr>
      <w:tr w:rsidR="00BC70E6" w:rsidTr="00BC70E6">
        <w:tc>
          <w:tcPr>
            <w:tcW w:w="2897" w:type="dxa"/>
          </w:tcPr>
          <w:p w:rsidR="00BC70E6" w:rsidRPr="00BC70E6" w:rsidRDefault="00BC70E6" w:rsidP="00BC70E6">
            <w:r w:rsidRPr="00B4711B">
              <w:t>5.1</w:t>
            </w:r>
          </w:p>
        </w:tc>
        <w:tc>
          <w:tcPr>
            <w:tcW w:w="2898" w:type="dxa"/>
          </w:tcPr>
          <w:p w:rsidR="00BC70E6" w:rsidRDefault="00BC70E6" w:rsidP="00BC70E6">
            <w:r>
              <w:t>8.70</w:t>
            </w:r>
          </w:p>
        </w:tc>
        <w:tc>
          <w:tcPr>
            <w:tcW w:w="2898" w:type="dxa"/>
          </w:tcPr>
          <w:p w:rsidR="00BC70E6" w:rsidRDefault="00BC70E6" w:rsidP="00BC70E6">
            <w:r>
              <w:t>8.74</w:t>
            </w:r>
          </w:p>
        </w:tc>
      </w:tr>
    </w:tbl>
    <w:p w:rsidR="00903BDA" w:rsidRPr="00B4711B" w:rsidRDefault="00903BDA" w:rsidP="00903BDA">
      <w:pPr>
        <w:pStyle w:val="AERtablesource"/>
      </w:pPr>
      <w:r w:rsidRPr="00B4711B">
        <w:t xml:space="preserve">Source: </w:t>
      </w:r>
      <w:r w:rsidRPr="00B4711B">
        <w:tab/>
        <w:t>Bloomberg, AER analysis.</w:t>
      </w:r>
      <w:r w:rsidRPr="00B4711B">
        <w:tab/>
      </w:r>
    </w:p>
    <w:p w:rsidR="00903BDA" w:rsidRPr="00B4711B" w:rsidRDefault="00903BDA" w:rsidP="00903BDA">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draft decision for AGN</w:t>
      </w:r>
      <w:r w:rsidRPr="00B4711B">
        <w:t>. Market risk premium estimates are based on an assumed theta of 0.6, and a 2 month average (</w:t>
      </w:r>
      <w:r>
        <w:t>Feb-Mar</w:t>
      </w:r>
      <w:r w:rsidRPr="00B4711B">
        <w:t xml:space="preserve"> 2016) of analysts' dividend forecasts. </w:t>
      </w:r>
    </w:p>
    <w:p w:rsidR="00903BDA" w:rsidRPr="00B4711B" w:rsidRDefault="00903BDA" w:rsidP="00DB4FCE">
      <w:pPr>
        <w:pStyle w:val="Heading8"/>
        <w:keepNext/>
      </w:pPr>
      <w:bookmarkStart w:id="168" w:name="_Ref443651537"/>
      <w:bookmarkStart w:id="169" w:name="_Toc443923205"/>
      <w:bookmarkStart w:id="170" w:name="_Toc451943798"/>
      <w:r w:rsidRPr="00B4711B">
        <w:t>Sensitivity analysis</w:t>
      </w:r>
      <w:bookmarkEnd w:id="168"/>
      <w:bookmarkEnd w:id="169"/>
      <w:bookmarkEnd w:id="170"/>
    </w:p>
    <w:p w:rsidR="00903BDA" w:rsidRPr="00B4711B" w:rsidRDefault="00903BDA" w:rsidP="00DB4FCE">
      <w:pPr>
        <w:keepNext/>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03BDA" w:rsidRPr="00903BDA" w:rsidRDefault="00903BDA" w:rsidP="00903BDA">
      <w:pPr>
        <w:pStyle w:val="AERbulletlistfirststyle"/>
      </w:pPr>
      <w:r>
        <w:t>L</w:t>
      </w:r>
      <w:r w:rsidRPr="00903BDA">
        <w:t xml:space="preserve">ong term dividend growth rate. </w:t>
      </w:r>
    </w:p>
    <w:p w:rsidR="00903BDA" w:rsidRPr="00903BDA" w:rsidRDefault="00903BDA" w:rsidP="00903BDA">
      <w:pPr>
        <w:pStyle w:val="AERbulletlistfirststyle"/>
      </w:pPr>
      <w:r>
        <w:t>P</w:t>
      </w:r>
      <w:r w:rsidRPr="00903BDA">
        <w:t>eriod estimates are averaged over.</w:t>
      </w:r>
    </w:p>
    <w:p w:rsidR="00903BDA" w:rsidRPr="00903BDA" w:rsidRDefault="00903BDA" w:rsidP="00903BDA">
      <w:pPr>
        <w:pStyle w:val="AERbulletlistfirststyle"/>
      </w:pPr>
      <w:r>
        <w:t>U</w:t>
      </w:r>
      <w:r w:rsidRPr="00903BDA">
        <w:t>se of analyst forecasts, which are likely to be biased.</w:t>
      </w:r>
    </w:p>
    <w:p w:rsidR="00903BDA" w:rsidRPr="00B4711B" w:rsidRDefault="00903BDA" w:rsidP="00903BDA">
      <w:r>
        <w:t>These issues are further discussed in</w:t>
      </w:r>
      <w:r w:rsidRPr="00B4711B">
        <w:t xml:space="preserve"> section</w:t>
      </w:r>
      <w:r>
        <w:t xml:space="preserve"> </w:t>
      </w:r>
      <w:r>
        <w:fldChar w:fldCharType="begin"/>
      </w:r>
      <w:r>
        <w:instrText xml:space="preserve"> REF _Ref446260197 \r \h </w:instrText>
      </w:r>
      <w:r>
        <w:fldChar w:fldCharType="separate"/>
      </w:r>
      <w:r w:rsidR="000230CB">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0230CB" w:rsidRPr="00C2709F">
        <w:t xml:space="preserve">Table </w:t>
      </w:r>
      <w:r w:rsidR="000230CB">
        <w:rPr>
          <w:noProof/>
        </w:rPr>
        <w:t>3</w:t>
      </w:r>
      <w:r w:rsidR="000230CB">
        <w:noBreakHyphen/>
      </w:r>
      <w:r w:rsidR="000230CB">
        <w:rPr>
          <w:noProof/>
        </w:rPr>
        <w:t>32</w:t>
      </w:r>
      <w:r>
        <w:fldChar w:fldCharType="end"/>
      </w:r>
      <w:r w:rsidRPr="00B4711B">
        <w:t xml:space="preserve">. </w:t>
      </w:r>
    </w:p>
    <w:p w:rsidR="00903BDA" w:rsidRPr="00DB0499" w:rsidRDefault="00903BDA" w:rsidP="00903BDA">
      <w:pPr>
        <w:pStyle w:val="Caption"/>
      </w:pPr>
      <w:bookmarkStart w:id="171" w:name="_Ref445384013"/>
      <w:bookmarkStart w:id="172" w:name="_Ref443651335"/>
      <w:r w:rsidRPr="00C2709F">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32</w:t>
      </w:r>
      <w:r w:rsidR="00527450">
        <w:rPr>
          <w:noProof/>
        </w:rPr>
        <w:fldChar w:fldCharType="end"/>
      </w:r>
      <w:bookmarkEnd w:id="171"/>
      <w:r w:rsidRPr="00C2709F">
        <w:t xml:space="preserve"> </w:t>
      </w:r>
      <w:r w:rsidRPr="00C2709F">
        <w:tab/>
      </w:r>
      <w:r>
        <w:t>Sensitivities in the dividend growth model</w:t>
      </w:r>
      <w:r w:rsidRPr="00C2709F">
        <w:t xml:space="preserve"> (per cent)</w:t>
      </w:r>
      <w:r w:rsidRPr="00C2709F" w:rsidDel="00184676">
        <w:t xml:space="preserve"> </w:t>
      </w:r>
      <w:bookmarkEnd w:id="172"/>
    </w:p>
    <w:tbl>
      <w:tblPr>
        <w:tblStyle w:val="AERtable-numbers"/>
        <w:tblW w:w="5000" w:type="pct"/>
        <w:tblLook w:val="04A0" w:firstRow="1" w:lastRow="0" w:firstColumn="1" w:lastColumn="0" w:noHBand="0" w:noVBand="1"/>
      </w:tblPr>
      <w:tblGrid>
        <w:gridCol w:w="4236"/>
        <w:gridCol w:w="1866"/>
        <w:gridCol w:w="2591"/>
      </w:tblGrid>
      <w:tr w:rsidR="00903BDA" w:rsidTr="00E10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903BDA" w:rsidRPr="00903BDA" w:rsidRDefault="00903BDA" w:rsidP="00BC70E6">
            <w:r w:rsidRPr="00B4711B">
              <w:t>Sensitivity</w:t>
            </w:r>
          </w:p>
        </w:tc>
        <w:tc>
          <w:tcPr>
            <w:tcW w:w="1073" w:type="pct"/>
            <w:tcBorders>
              <w:top w:val="nil"/>
              <w:left w:val="nil"/>
              <w:bottom w:val="nil"/>
              <w:right w:val="nil"/>
            </w:tcBorders>
            <w:hideMark/>
          </w:tcPr>
          <w:p w:rsidR="00903BDA" w:rsidRPr="00903BDA" w:rsidRDefault="00903BDA" w:rsidP="00BC70E6">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903BDA" w:rsidRPr="00903BDA" w:rsidRDefault="00903BDA" w:rsidP="00BC70E6">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903BDA" w:rsidTr="00E10A41">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903BDA" w:rsidRPr="00903BDA" w:rsidRDefault="00903BDA" w:rsidP="00BC70E6">
            <w:r w:rsidRPr="00B4711B">
              <w:t>Baseline</w:t>
            </w:r>
          </w:p>
          <w:p w:rsidR="00903BDA" w:rsidRPr="00903BDA" w:rsidRDefault="00903BDA" w:rsidP="00BC70E6">
            <w:r w:rsidRPr="00B4711B">
              <w:tab/>
              <w:t xml:space="preserve">4.6% long-term growth rate </w:t>
            </w:r>
          </w:p>
          <w:p w:rsidR="00903BDA" w:rsidRPr="00903BDA" w:rsidRDefault="00903BDA" w:rsidP="00BC70E6">
            <w:r w:rsidRPr="00B4711B">
              <w:tab/>
              <w:t xml:space="preserve">2 month average to end </w:t>
            </w:r>
            <w:r>
              <w:t>March</w:t>
            </w:r>
            <w:r w:rsidRPr="00903BDA">
              <w:t xml:space="preserve"> 2016</w:t>
            </w:r>
          </w:p>
          <w:p w:rsidR="00903BDA" w:rsidRPr="00903BDA" w:rsidRDefault="00903BDA" w:rsidP="00BC70E6">
            <w:r w:rsidRPr="00B4711B">
              <w:tab/>
              <w:t>unadjusted analysts' forecasts</w:t>
            </w:r>
          </w:p>
        </w:tc>
        <w:tc>
          <w:tcPr>
            <w:tcW w:w="1073"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8.</w:t>
            </w:r>
            <w:r w:rsidR="002F21C3">
              <w:t>2</w:t>
            </w:r>
            <w:r>
              <w:t>4</w:t>
            </w:r>
          </w:p>
        </w:tc>
        <w:tc>
          <w:tcPr>
            <w:tcW w:w="1490"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8.</w:t>
            </w:r>
            <w:r w:rsidR="002F21C3">
              <w:t>36</w:t>
            </w:r>
          </w:p>
        </w:tc>
      </w:tr>
      <w:tr w:rsidR="00903BDA"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903BDA" w:rsidRPr="00903BDA" w:rsidRDefault="00903BDA" w:rsidP="00BC70E6">
            <w:r w:rsidRPr="00B4711B">
              <w:t>5.1% long-term growth rate</w:t>
            </w:r>
          </w:p>
        </w:tc>
        <w:tc>
          <w:tcPr>
            <w:tcW w:w="1073" w:type="pct"/>
            <w:tcBorders>
              <w:top w:val="nil"/>
              <w:left w:val="nil"/>
              <w:bottom w:val="nil"/>
              <w:right w:val="nil"/>
            </w:tcBorders>
          </w:tcPr>
          <w:p w:rsidR="00903BDA" w:rsidRPr="00903BDA" w:rsidRDefault="00903BDA" w:rsidP="00BC70E6">
            <w:pPr>
              <w:cnfStyle w:val="000000010000" w:firstRow="0" w:lastRow="0" w:firstColumn="0" w:lastColumn="0" w:oddVBand="0" w:evenVBand="0" w:oddHBand="0" w:evenHBand="1" w:firstRowFirstColumn="0" w:firstRowLastColumn="0" w:lastRowFirstColumn="0" w:lastRowLastColumn="0"/>
            </w:pPr>
            <w:r>
              <w:t>8.</w:t>
            </w:r>
            <w:r w:rsidR="002F21C3">
              <w:t>70</w:t>
            </w:r>
          </w:p>
        </w:tc>
        <w:tc>
          <w:tcPr>
            <w:tcW w:w="1490" w:type="pct"/>
            <w:tcBorders>
              <w:top w:val="nil"/>
              <w:left w:val="nil"/>
              <w:bottom w:val="nil"/>
              <w:right w:val="nil"/>
            </w:tcBorders>
          </w:tcPr>
          <w:p w:rsidR="00903BDA" w:rsidRPr="00903BDA" w:rsidRDefault="00903BDA" w:rsidP="00BC70E6">
            <w:pPr>
              <w:cnfStyle w:val="000000010000" w:firstRow="0" w:lastRow="0" w:firstColumn="0" w:lastColumn="0" w:oddVBand="0" w:evenVBand="0" w:oddHBand="0" w:evenHBand="1" w:firstRowFirstColumn="0" w:firstRowLastColumn="0" w:lastRowFirstColumn="0" w:lastRowLastColumn="0"/>
            </w:pPr>
            <w:r>
              <w:t>8.</w:t>
            </w:r>
            <w:r w:rsidR="002F21C3">
              <w:t>74</w:t>
            </w:r>
          </w:p>
        </w:tc>
      </w:tr>
      <w:tr w:rsidR="00903BDA" w:rsidTr="00E10A41">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903BDA" w:rsidRPr="00903BDA" w:rsidRDefault="00903BDA" w:rsidP="00BC70E6">
            <w:r w:rsidRPr="00B4711B">
              <w:t>3.78% long-term growth rate</w:t>
            </w:r>
          </w:p>
        </w:tc>
        <w:tc>
          <w:tcPr>
            <w:tcW w:w="1073"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7.</w:t>
            </w:r>
            <w:r w:rsidR="002F21C3">
              <w:t>4</w:t>
            </w:r>
            <w:r>
              <w:t>8</w:t>
            </w:r>
          </w:p>
        </w:tc>
        <w:tc>
          <w:tcPr>
            <w:tcW w:w="1490"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7.</w:t>
            </w:r>
            <w:r w:rsidR="002F21C3">
              <w:t>74</w:t>
            </w:r>
          </w:p>
        </w:tc>
      </w:tr>
      <w:tr w:rsidR="00903BDA"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903BDA" w:rsidRPr="00903BDA" w:rsidRDefault="00903BDA" w:rsidP="00BC70E6">
            <w:r w:rsidRPr="00B4711B">
              <w:t xml:space="preserve">6 months to end </w:t>
            </w:r>
            <w:r>
              <w:t>March</w:t>
            </w:r>
            <w:r w:rsidRPr="00903BDA">
              <w:t xml:space="preserve"> 2016</w:t>
            </w:r>
          </w:p>
        </w:tc>
        <w:tc>
          <w:tcPr>
            <w:tcW w:w="1073" w:type="pct"/>
          </w:tcPr>
          <w:p w:rsidR="00903BDA" w:rsidRPr="00903BDA" w:rsidRDefault="00903BDA" w:rsidP="00BC70E6">
            <w:pPr>
              <w:cnfStyle w:val="000000010000" w:firstRow="0" w:lastRow="0" w:firstColumn="0" w:lastColumn="0" w:oddVBand="0" w:evenVBand="0" w:oddHBand="0" w:evenHBand="1" w:firstRowFirstColumn="0" w:firstRowLastColumn="0" w:lastRowFirstColumn="0" w:lastRowLastColumn="0"/>
            </w:pPr>
            <w:r>
              <w:t>8.</w:t>
            </w:r>
            <w:r w:rsidR="002F21C3">
              <w:t>36</w:t>
            </w:r>
          </w:p>
        </w:tc>
        <w:tc>
          <w:tcPr>
            <w:tcW w:w="1490" w:type="pct"/>
          </w:tcPr>
          <w:p w:rsidR="00903BDA" w:rsidRPr="00903BDA" w:rsidRDefault="00903BDA" w:rsidP="00BC70E6">
            <w:pPr>
              <w:cnfStyle w:val="000000010000" w:firstRow="0" w:lastRow="0" w:firstColumn="0" w:lastColumn="0" w:oddVBand="0" w:evenVBand="0" w:oddHBand="0" w:evenHBand="1" w:firstRowFirstColumn="0" w:firstRowLastColumn="0" w:lastRowFirstColumn="0" w:lastRowLastColumn="0"/>
            </w:pPr>
            <w:r>
              <w:t>8.4</w:t>
            </w:r>
            <w:r w:rsidR="002F21C3">
              <w:t>5</w:t>
            </w:r>
          </w:p>
        </w:tc>
      </w:tr>
      <w:tr w:rsidR="00903BDA" w:rsidTr="00E10A41">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903BDA" w:rsidRPr="00903BDA" w:rsidRDefault="00903BDA" w:rsidP="00BC70E6">
            <w:r w:rsidRPr="00B4711B">
              <w:t xml:space="preserve">12 months to end </w:t>
            </w:r>
            <w:r>
              <w:t>March</w:t>
            </w:r>
            <w:r w:rsidRPr="00903BDA">
              <w:t xml:space="preserve"> 2016</w:t>
            </w:r>
          </w:p>
        </w:tc>
        <w:tc>
          <w:tcPr>
            <w:tcW w:w="1073"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8.1</w:t>
            </w:r>
            <w:r w:rsidR="002F21C3">
              <w:t>7</w:t>
            </w:r>
          </w:p>
        </w:tc>
        <w:tc>
          <w:tcPr>
            <w:tcW w:w="1490"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8.2</w:t>
            </w:r>
            <w:r w:rsidR="002F21C3">
              <w:t>4</w:t>
            </w:r>
          </w:p>
        </w:tc>
      </w:tr>
      <w:tr w:rsidR="00903BDA"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903BDA" w:rsidRPr="00903BDA" w:rsidRDefault="00903BDA" w:rsidP="00BC70E6">
            <w:r w:rsidRPr="00B4711B">
              <w:t>Analysts' forecast  + 10%</w:t>
            </w:r>
          </w:p>
        </w:tc>
        <w:tc>
          <w:tcPr>
            <w:tcW w:w="1073" w:type="pct"/>
          </w:tcPr>
          <w:p w:rsidR="00903BDA" w:rsidRPr="00903BDA" w:rsidRDefault="002F21C3" w:rsidP="00BC70E6">
            <w:pPr>
              <w:cnfStyle w:val="000000010000" w:firstRow="0" w:lastRow="0" w:firstColumn="0" w:lastColumn="0" w:oddVBand="0" w:evenVBand="0" w:oddHBand="0" w:evenHBand="1" w:firstRowFirstColumn="0" w:firstRowLastColumn="0" w:lastRowFirstColumn="0" w:lastRowLastColumn="0"/>
            </w:pPr>
            <w:r>
              <w:t>8.87</w:t>
            </w:r>
          </w:p>
        </w:tc>
        <w:tc>
          <w:tcPr>
            <w:tcW w:w="1490" w:type="pct"/>
          </w:tcPr>
          <w:p w:rsidR="00903BDA" w:rsidRPr="00903BDA" w:rsidRDefault="00903BDA" w:rsidP="00BC70E6">
            <w:pPr>
              <w:cnfStyle w:val="000000010000" w:firstRow="0" w:lastRow="0" w:firstColumn="0" w:lastColumn="0" w:oddVBand="0" w:evenVBand="0" w:oddHBand="0" w:evenHBand="1" w:firstRowFirstColumn="0" w:firstRowLastColumn="0" w:lastRowFirstColumn="0" w:lastRowLastColumn="0"/>
            </w:pPr>
            <w:r>
              <w:t>9.</w:t>
            </w:r>
            <w:r w:rsidR="002F21C3">
              <w:t>00</w:t>
            </w:r>
          </w:p>
        </w:tc>
      </w:tr>
      <w:tr w:rsidR="00903BDA" w:rsidTr="00E10A41">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903BDA" w:rsidRPr="00903BDA" w:rsidRDefault="00903BDA" w:rsidP="00BC70E6">
            <w:r w:rsidRPr="00B4711B">
              <w:t>Analysts' forecast  - 10%</w:t>
            </w:r>
          </w:p>
        </w:tc>
        <w:tc>
          <w:tcPr>
            <w:tcW w:w="1073"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7.</w:t>
            </w:r>
            <w:r w:rsidR="002F21C3">
              <w:t>61</w:t>
            </w:r>
          </w:p>
        </w:tc>
        <w:tc>
          <w:tcPr>
            <w:tcW w:w="1490" w:type="pct"/>
            <w:tcBorders>
              <w:top w:val="nil"/>
              <w:left w:val="nil"/>
              <w:bottom w:val="single" w:sz="4" w:space="0" w:color="365F91"/>
              <w:right w:val="nil"/>
            </w:tcBorders>
          </w:tcPr>
          <w:p w:rsidR="00903BDA" w:rsidRPr="00903BDA" w:rsidRDefault="00903BDA" w:rsidP="00BC70E6">
            <w:pPr>
              <w:cnfStyle w:val="000000000000" w:firstRow="0" w:lastRow="0" w:firstColumn="0" w:lastColumn="0" w:oddVBand="0" w:evenVBand="0" w:oddHBand="0" w:evenHBand="0" w:firstRowFirstColumn="0" w:firstRowLastColumn="0" w:lastRowFirstColumn="0" w:lastRowLastColumn="0"/>
            </w:pPr>
            <w:r>
              <w:t>7.</w:t>
            </w:r>
            <w:r w:rsidR="002F21C3">
              <w:t>72</w:t>
            </w:r>
          </w:p>
        </w:tc>
      </w:tr>
      <w:tr w:rsidR="00903BDA" w:rsidTr="00E10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903BDA" w:rsidRPr="00903BDA" w:rsidRDefault="00903BDA" w:rsidP="00BC70E6">
            <w:r w:rsidRPr="00B4711B">
              <w:t xml:space="preserve">Combined - </w:t>
            </w:r>
            <w:r w:rsidRPr="00903BDA">
              <w:t>low</w:t>
            </w:r>
          </w:p>
        </w:tc>
        <w:tc>
          <w:tcPr>
            <w:tcW w:w="1073" w:type="pct"/>
          </w:tcPr>
          <w:p w:rsidR="00903BDA" w:rsidRPr="00903BDA" w:rsidRDefault="00910AFB" w:rsidP="00BC70E6">
            <w:pPr>
              <w:cnfStyle w:val="000000010000" w:firstRow="0" w:lastRow="0" w:firstColumn="0" w:lastColumn="0" w:oddVBand="0" w:evenVBand="0" w:oddHBand="0" w:evenHBand="1" w:firstRowFirstColumn="0" w:firstRowLastColumn="0" w:lastRowFirstColumn="0" w:lastRowLastColumn="0"/>
            </w:pPr>
            <w:r>
              <w:t>6.77</w:t>
            </w:r>
          </w:p>
        </w:tc>
        <w:tc>
          <w:tcPr>
            <w:tcW w:w="1490" w:type="pct"/>
          </w:tcPr>
          <w:p w:rsidR="00903BDA" w:rsidRPr="00903BDA" w:rsidRDefault="00910AFB" w:rsidP="00BC70E6">
            <w:pPr>
              <w:cnfStyle w:val="000000010000" w:firstRow="0" w:lastRow="0" w:firstColumn="0" w:lastColumn="0" w:oddVBand="0" w:evenVBand="0" w:oddHBand="0" w:evenHBand="1" w:firstRowFirstColumn="0" w:firstRowLastColumn="0" w:lastRowFirstColumn="0" w:lastRowLastColumn="0"/>
            </w:pPr>
            <w:r>
              <w:t>6.95</w:t>
            </w:r>
          </w:p>
        </w:tc>
      </w:tr>
      <w:tr w:rsidR="00903BDA" w:rsidTr="00E10A41">
        <w:tc>
          <w:tcPr>
            <w:cnfStyle w:val="001000000000" w:firstRow="0" w:lastRow="0" w:firstColumn="1" w:lastColumn="0" w:oddVBand="0" w:evenVBand="0" w:oddHBand="0" w:evenHBand="0" w:firstRowFirstColumn="0" w:firstRowLastColumn="0" w:lastRowFirstColumn="0" w:lastRowLastColumn="0"/>
            <w:tcW w:w="2436" w:type="pct"/>
            <w:hideMark/>
          </w:tcPr>
          <w:p w:rsidR="00903BDA" w:rsidRPr="00903BDA" w:rsidRDefault="00903BDA" w:rsidP="00BC70E6">
            <w:r w:rsidRPr="00B4711B">
              <w:t>Combined - high</w:t>
            </w:r>
          </w:p>
        </w:tc>
        <w:tc>
          <w:tcPr>
            <w:tcW w:w="1073" w:type="pct"/>
          </w:tcPr>
          <w:p w:rsidR="00903BDA" w:rsidRPr="00903BDA" w:rsidRDefault="00910AFB" w:rsidP="00BC70E6">
            <w:pPr>
              <w:cnfStyle w:val="000000000000" w:firstRow="0" w:lastRow="0" w:firstColumn="0" w:lastColumn="0" w:oddVBand="0" w:evenVBand="0" w:oddHBand="0" w:evenHBand="0" w:firstRowFirstColumn="0" w:firstRowLastColumn="0" w:lastRowFirstColumn="0" w:lastRowLastColumn="0"/>
            </w:pPr>
            <w:r>
              <w:t>9.49</w:t>
            </w:r>
          </w:p>
        </w:tc>
        <w:tc>
          <w:tcPr>
            <w:tcW w:w="1490" w:type="pct"/>
          </w:tcPr>
          <w:p w:rsidR="00903BDA" w:rsidRPr="00903BDA" w:rsidRDefault="00910AFB" w:rsidP="00BC70E6">
            <w:pPr>
              <w:cnfStyle w:val="000000000000" w:firstRow="0" w:lastRow="0" w:firstColumn="0" w:lastColumn="0" w:oddVBand="0" w:evenVBand="0" w:oddHBand="0" w:evenHBand="0" w:firstRowFirstColumn="0" w:firstRowLastColumn="0" w:lastRowFirstColumn="0" w:lastRowLastColumn="0"/>
            </w:pPr>
            <w:r>
              <w:t>9.49</w:t>
            </w:r>
          </w:p>
        </w:tc>
      </w:tr>
    </w:tbl>
    <w:p w:rsidR="00903BDA" w:rsidRPr="00B4711B" w:rsidRDefault="00903BDA" w:rsidP="00903BDA">
      <w:pPr>
        <w:pStyle w:val="AERtablesource"/>
      </w:pPr>
      <w:r w:rsidRPr="00B4711B">
        <w:t xml:space="preserve">Source: </w:t>
      </w:r>
      <w:r w:rsidRPr="00B4711B">
        <w:tab/>
        <w:t>Bloomberg, AER analysis.</w:t>
      </w:r>
    </w:p>
    <w:p w:rsidR="00903BDA" w:rsidRPr="00B4711B" w:rsidRDefault="00903BDA" w:rsidP="00903BDA">
      <w:pPr>
        <w:pStyle w:val="AERtablesource"/>
      </w:pPr>
      <w:r w:rsidRPr="00B4711B">
        <w:t>Notes:</w:t>
      </w:r>
      <w:r w:rsidRPr="00B4711B">
        <w:tab/>
        <w:t>All market risk premium estimates are based on an assumed theta of 0.6.</w:t>
      </w:r>
    </w:p>
    <w:p w:rsidR="00903BDA" w:rsidRPr="00B4711B" w:rsidRDefault="00903BDA" w:rsidP="00903BDA">
      <w:pPr>
        <w:pStyle w:val="AERtablesource"/>
      </w:pPr>
      <w:r w:rsidRPr="00B4711B">
        <w:tab/>
        <w:t>Combined - low is based on 3.78% growth, 12 month averaging, analysts' forecasts - 10%.</w:t>
      </w:r>
    </w:p>
    <w:p w:rsidR="00903BDA" w:rsidRPr="00B4711B" w:rsidRDefault="00903BDA" w:rsidP="00903BDA">
      <w:pPr>
        <w:pStyle w:val="AERtablesource"/>
      </w:pPr>
      <w:r w:rsidRPr="00B4711B">
        <w:tab/>
        <w:t xml:space="preserve">Combined - high is based on 5.1% growth, </w:t>
      </w:r>
      <w:r w:rsidR="00910AFB">
        <w:t>6</w:t>
      </w:r>
      <w:r w:rsidRPr="00B4711B">
        <w:t xml:space="preserve"> month averaging, analysts' forecasts + 10%.</w:t>
      </w:r>
    </w:p>
    <w:p w:rsidR="00903BDA" w:rsidRPr="0046661C" w:rsidRDefault="00903BDA" w:rsidP="00903BDA">
      <w:pPr>
        <w:pStyle w:val="TOC1"/>
      </w:pPr>
      <w:bookmarkStart w:id="173" w:name="_Toc443923209"/>
      <w:r>
        <w:t>Long-term</w:t>
      </w:r>
      <w:r w:rsidRPr="0046661C">
        <w:t xml:space="preserve"> dividend</w:t>
      </w:r>
      <w:r>
        <w:t xml:space="preserve"> growth rate</w:t>
      </w:r>
      <w:r w:rsidRPr="0046661C">
        <w:t xml:space="preserve">  </w:t>
      </w:r>
    </w:p>
    <w:p w:rsidR="00903BDA" w:rsidRDefault="00903BDA" w:rsidP="00903BDA">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14"/>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15"/>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16"/>
      </w:r>
    </w:p>
    <w:p w:rsidR="00903BDA" w:rsidRPr="00B4711B" w:rsidRDefault="00903BDA" w:rsidP="00903BDA">
      <w:r w:rsidRPr="00B4711B">
        <w:t xml:space="preserve">We have not changed our approach set out in the Guideline. We do not adopt a lower long term dividend growth rate. </w:t>
      </w:r>
    </w:p>
    <w:p w:rsidR="00903BDA" w:rsidRPr="0046661C" w:rsidRDefault="00903BDA" w:rsidP="00903BDA">
      <w:pPr>
        <w:pStyle w:val="TOC1"/>
        <w:numPr>
          <w:ilvl w:val="0"/>
          <w:numId w:val="24"/>
        </w:numPr>
      </w:pPr>
      <w:r>
        <w:t>Averaging period</w:t>
      </w:r>
    </w:p>
    <w:p w:rsidR="00903BDA" w:rsidRPr="00B4711B" w:rsidRDefault="00903BDA" w:rsidP="00903BDA">
      <w:pPr>
        <w:numPr>
          <w:ilvl w:val="0"/>
          <w:numId w:val="24"/>
        </w:numPr>
      </w:pPr>
      <w:r w:rsidRPr="00B4711B">
        <w:t xml:space="preserve">We have based our </w:t>
      </w:r>
      <w:r>
        <w:t>dividend growth model</w:t>
      </w:r>
      <w:r w:rsidRPr="00B4711B">
        <w:t xml:space="preserve"> estimate on data over </w:t>
      </w:r>
      <w:r>
        <w:t xml:space="preserve">the </w:t>
      </w:r>
      <w:r w:rsidRPr="00B4711B">
        <w:t>February</w:t>
      </w:r>
      <w:r>
        <w:t xml:space="preserve"> and March</w:t>
      </w:r>
      <w:r w:rsidRPr="00B4711B">
        <w:t xml:space="preserve"> 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03BDA" w:rsidRPr="00B4711B" w:rsidRDefault="00903BDA" w:rsidP="00903BDA">
      <w:pPr>
        <w:numPr>
          <w:ilvl w:val="0"/>
          <w:numId w:val="24"/>
        </w:numPr>
      </w:pPr>
      <w:r w:rsidRPr="00B4711B">
        <w:t>As seen in</w:t>
      </w:r>
      <w:r>
        <w:t xml:space="preserve"> </w:t>
      </w:r>
      <w:r>
        <w:fldChar w:fldCharType="begin"/>
      </w:r>
      <w:r>
        <w:instrText xml:space="preserve"> REF _Ref445384013 \h </w:instrText>
      </w:r>
      <w:r>
        <w:fldChar w:fldCharType="separate"/>
      </w:r>
      <w:r w:rsidR="000230CB" w:rsidRPr="00C2709F">
        <w:t xml:space="preserve">Table </w:t>
      </w:r>
      <w:r w:rsidR="000230CB">
        <w:rPr>
          <w:noProof/>
        </w:rPr>
        <w:t>3</w:t>
      </w:r>
      <w:r w:rsidR="000230CB">
        <w:noBreakHyphen/>
      </w:r>
      <w:r w:rsidR="000230CB">
        <w:rPr>
          <w:noProof/>
        </w:rPr>
        <w:t>32</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17"/>
      </w:r>
      <w:r w:rsidRPr="00B4711B">
        <w:t xml:space="preserve"> Having regard to McKenzie and Partington's advice, we also consider a 12 month averaging period.</w:t>
      </w:r>
      <w:r>
        <w:rPr>
          <w:rStyle w:val="FootnoteReference"/>
        </w:rPr>
        <w:footnoteReference w:id="918"/>
      </w:r>
    </w:p>
    <w:p w:rsidR="00903BDA" w:rsidRPr="0046661C" w:rsidRDefault="00903BDA" w:rsidP="00903BDA">
      <w:pPr>
        <w:pStyle w:val="TOC1"/>
        <w:numPr>
          <w:ilvl w:val="0"/>
          <w:numId w:val="24"/>
        </w:numPr>
      </w:pPr>
      <w:r>
        <w:t>Biases in analyst forecasts</w:t>
      </w:r>
    </w:p>
    <w:p w:rsidR="00903BDA" w:rsidRPr="00B4711B" w:rsidRDefault="00903BDA" w:rsidP="00903BDA">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19"/>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903BDA" w:rsidRPr="00B4711B" w:rsidRDefault="00903BDA" w:rsidP="00903BDA">
      <w:pPr>
        <w:pStyle w:val="Heading8"/>
      </w:pPr>
      <w:bookmarkStart w:id="174" w:name="_Ref448787515"/>
      <w:bookmarkStart w:id="175" w:name="_Toc451943799"/>
      <w:r w:rsidRPr="00B4711B">
        <w:t>Preferred construction of the dividend growth model</w:t>
      </w:r>
      <w:bookmarkEnd w:id="173"/>
      <w:bookmarkEnd w:id="174"/>
      <w:bookmarkEnd w:id="175"/>
    </w:p>
    <w:p w:rsidR="00903BDA" w:rsidRPr="00B4711B" w:rsidRDefault="00903BDA" w:rsidP="00903BDA">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20"/>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03BDA" w:rsidRPr="00B4711B" w:rsidRDefault="007F1E09" w:rsidP="00903BDA">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03BDA" w:rsidRPr="00B4711B" w:rsidRDefault="00903BDA" w:rsidP="00903BDA">
      <w:pPr>
        <w:pStyle w:val="AERtablesource"/>
      </w:pPr>
      <w:r w:rsidRPr="00B4711B">
        <w:t>Where:</w:t>
      </w:r>
      <w:r w:rsidRPr="00B4711B">
        <w:tab/>
        <w:t>Pc is the current price of equity, for which we use the S&amp;P/ASX 200 index as the proxy</w:t>
      </w:r>
    </w:p>
    <w:p w:rsidR="00903BDA" w:rsidRPr="00B4711B" w:rsidRDefault="00903BDA" w:rsidP="00903BDA">
      <w:pPr>
        <w:pStyle w:val="AERtablesource"/>
      </w:pPr>
      <w:r w:rsidRPr="00B4711B">
        <w:tab/>
        <w:t>E(Dc) is expected dividends per share for the current financial year</w:t>
      </w:r>
      <w:r w:rsidRPr="00B4711B">
        <w:rPr>
          <w:rStyle w:val="FootnoteReference"/>
        </w:rPr>
        <w:footnoteReference w:id="921"/>
      </w:r>
    </w:p>
    <w:p w:rsidR="00903BDA" w:rsidRPr="00B4711B" w:rsidRDefault="00903BDA" w:rsidP="00903BDA">
      <w:pPr>
        <w:pStyle w:val="AERtablesource"/>
      </w:pPr>
      <w:r w:rsidRPr="00B4711B">
        <w:tab/>
        <w:t>E(Dt) is expected dividends per share for the financial year t years after the current financial year</w:t>
      </w:r>
    </w:p>
    <w:p w:rsidR="00903BDA" w:rsidRPr="00B4711B" w:rsidRDefault="00903BDA" w:rsidP="00903BDA">
      <w:pPr>
        <w:pStyle w:val="AERtablesource"/>
      </w:pPr>
      <w:r w:rsidRPr="00B4711B">
        <w:tab/>
        <w:t>m is the fraction of the current financial year remaining, expressed as a decimal point</w:t>
      </w:r>
    </w:p>
    <w:p w:rsidR="00903BDA" w:rsidRPr="00B4711B" w:rsidRDefault="00903BDA" w:rsidP="00903BDA">
      <w:pPr>
        <w:pStyle w:val="AERtablesource"/>
      </w:pPr>
      <w:r w:rsidRPr="00B4711B">
        <w:tab/>
        <w:t>N is the time period after which dividend growth reverts to its long-term rate (for the two stage model, N = 2, for the three stage model N = 9)</w:t>
      </w:r>
    </w:p>
    <w:p w:rsidR="00903BDA" w:rsidRPr="00B4711B" w:rsidRDefault="00903BDA" w:rsidP="00903BDA">
      <w:pPr>
        <w:pStyle w:val="AERtablesource"/>
      </w:pPr>
      <w:r w:rsidRPr="00B4711B">
        <w:tab/>
        <w:t xml:space="preserve">g is the expected long term growth rate in nominal dividends per share. For this parameter, we use a range of 4.0 to 5.1 per cent, with a point estimate of 4.6 per cent. </w:t>
      </w:r>
    </w:p>
    <w:p w:rsidR="00903BDA" w:rsidRPr="00B4711B" w:rsidRDefault="00903BDA" w:rsidP="00903BDA">
      <w:pPr>
        <w:numPr>
          <w:ilvl w:val="0"/>
          <w:numId w:val="24"/>
        </w:numPr>
      </w:pPr>
      <w:r w:rsidRPr="00B4711B">
        <w:t xml:space="preserve">We adopt two versions of a simple standard </w:t>
      </w:r>
      <w:r>
        <w:t>dividend growth model</w:t>
      </w:r>
      <w:r w:rsidRPr="00B4711B">
        <w:t>:</w:t>
      </w:r>
    </w:p>
    <w:p w:rsidR="00903BDA" w:rsidRPr="00903BDA" w:rsidRDefault="00903BDA" w:rsidP="00903BDA">
      <w:pPr>
        <w:pStyle w:val="AERbulletlistfirststyle"/>
      </w:pPr>
      <w:r w:rsidRPr="00B4711B">
        <w:t xml:space="preserve">A two stage </w:t>
      </w:r>
      <w:r w:rsidRPr="00903BDA">
        <w:t>model, which assumes that dividends grow at the long term growth rate following the dividend forecast period.</w:t>
      </w:r>
    </w:p>
    <w:p w:rsidR="00903BDA" w:rsidRPr="00903BDA" w:rsidRDefault="00903BDA" w:rsidP="00903BDA">
      <w:pPr>
        <w:pStyle w:val="AERbulletlistfirststyle"/>
      </w:pPr>
      <w:r w:rsidRPr="00B4711B">
        <w:t xml:space="preserve">A three stage </w:t>
      </w:r>
      <w:r w:rsidRPr="00903BDA">
        <w:t>model, which assumes that dividend growth transitions linearly over eight years from the short term growth rate implied in the dividend forecast period to the long term growth rate.</w:t>
      </w:r>
    </w:p>
    <w:p w:rsidR="00903BDA" w:rsidRPr="00B4711B" w:rsidRDefault="00903BDA" w:rsidP="00903BDA">
      <w:r w:rsidRPr="00B4711B">
        <w:t xml:space="preserve">Our </w:t>
      </w:r>
      <w:r>
        <w:t>dividend growth models</w:t>
      </w:r>
      <w:r w:rsidRPr="00B4711B">
        <w:t xml:space="preserve"> also display the following characteristics:</w:t>
      </w:r>
    </w:p>
    <w:p w:rsidR="00903BDA" w:rsidRPr="00903BDA" w:rsidRDefault="00903BDA" w:rsidP="00903BDA">
      <w:pPr>
        <w:pStyle w:val="AERbulletlistfirststyle"/>
      </w:pPr>
      <w:r w:rsidRPr="00B4711B">
        <w:t xml:space="preserve">They use </w:t>
      </w:r>
      <w:r w:rsidRPr="00903BDA">
        <w:t>daily data of analysts’ consensus dividend forecasts for the ASX 200 index from the Bloomberg Professional Services (Bloomberg). Analyst' dividend forecasts are for the current and following two financial years. We take monthly averages the daily data.</w:t>
      </w:r>
    </w:p>
    <w:p w:rsidR="00903BDA" w:rsidRPr="00903BDA" w:rsidRDefault="00903BDA" w:rsidP="00903BDA">
      <w:pPr>
        <w:pStyle w:val="AERbulletlistfirststyle"/>
      </w:pPr>
      <w:r w:rsidRPr="00B4711B">
        <w:t xml:space="preserve">They </w:t>
      </w:r>
      <w:r w:rsidRPr="00903BDA">
        <w:t>use market prices for the ASX 200</w:t>
      </w:r>
      <w:r w:rsidRPr="00903BDA">
        <w:rPr>
          <w:rStyle w:val="FootnoteReference"/>
        </w:rPr>
        <w:footnoteReference w:id="922"/>
      </w:r>
      <w:r w:rsidRPr="00903BDA">
        <w:t>.</w:t>
      </w:r>
    </w:p>
    <w:p w:rsidR="00903BDA" w:rsidRPr="00903BDA" w:rsidRDefault="00903BDA" w:rsidP="00903BDA">
      <w:pPr>
        <w:pStyle w:val="AERbulletlistfirststyle"/>
      </w:pPr>
      <w:r w:rsidRPr="00B4711B">
        <w:t xml:space="preserve">They estimate a long term growth rate in dividends per share. We determine this by adjusting the long term growth rate in </w:t>
      </w:r>
      <w:r w:rsidRPr="00903BDA">
        <w:t>real gross domestic product (GDP) for the net creation of shares and expected inflation.</w:t>
      </w:r>
      <w:r w:rsidRPr="00903BDA">
        <w:rPr>
          <w:rStyle w:val="FootnoteReference"/>
        </w:rPr>
        <w:footnoteReference w:id="923"/>
      </w:r>
    </w:p>
    <w:p w:rsidR="00903BDA" w:rsidRPr="00B4711B" w:rsidRDefault="00903BDA" w:rsidP="00903BDA">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24"/>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925"/>
      </w:r>
      <w:r w:rsidRPr="00B4711B">
        <w:t xml:space="preserve"> which have not persuaded us to depart.</w:t>
      </w:r>
      <w:r w:rsidRPr="00B4711B">
        <w:rPr>
          <w:rStyle w:val="FootnoteReference"/>
        </w:rPr>
        <w:footnoteReference w:id="926"/>
      </w:r>
      <w:r w:rsidRPr="00B4711B">
        <w:t xml:space="preserve"> Further, experts have critically reviewed</w:t>
      </w:r>
      <w:r w:rsidRPr="00B4711B">
        <w:rPr>
          <w:rStyle w:val="FootnoteReference"/>
        </w:rPr>
        <w:footnoteReference w:id="927"/>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928"/>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AGN's draft decision.</w:t>
      </w:r>
    </w:p>
    <w:p w:rsidR="00903BDA" w:rsidRDefault="00903BDA" w:rsidP="00903BDA">
      <w:r>
        <w:t>We note that AGN uses the AER's construction of the dividend growth model</w:t>
      </w:r>
      <w:r>
        <w:rPr>
          <w:rStyle w:val="FootnoteReference"/>
        </w:rPr>
        <w:footnoteReference w:id="929"/>
      </w:r>
      <w:r>
        <w:t xml:space="preserve"> in its multi-model approach to estimating its proposed market risk premium.</w:t>
      </w:r>
      <w:r>
        <w:rPr>
          <w:rStyle w:val="FootnoteReference"/>
        </w:rPr>
        <w:footnoteReference w:id="930"/>
      </w:r>
      <w:r>
        <w:t xml:space="preserve"> Service providers have in the past proposed the use of SFG's dividend growth model. </w:t>
      </w:r>
    </w:p>
    <w:p w:rsidR="00903BDA" w:rsidRPr="00B4711B" w:rsidRDefault="00903BDA" w:rsidP="00903BDA">
      <w:pPr>
        <w:pStyle w:val="Heading8"/>
      </w:pPr>
      <w:bookmarkStart w:id="176" w:name="_Ref446260197"/>
      <w:bookmarkStart w:id="177" w:name="_Toc451943800"/>
      <w:r>
        <w:t>Sources of potential upward bias</w:t>
      </w:r>
      <w:bookmarkEnd w:id="176"/>
      <w:bookmarkEnd w:id="177"/>
    </w:p>
    <w:p w:rsidR="00903BDA" w:rsidRPr="00B4711B" w:rsidRDefault="00903BDA" w:rsidP="00903BDA">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931"/>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03BDA" w:rsidRPr="0046661C" w:rsidRDefault="00903BDA" w:rsidP="00903BDA">
      <w:pPr>
        <w:pStyle w:val="TOC1"/>
      </w:pPr>
      <w:bookmarkStart w:id="178" w:name="_Toc443923219"/>
      <w:r w:rsidRPr="0046661C">
        <w:t>Slow-changing dividends</w:t>
      </w:r>
      <w:bookmarkEnd w:id="178"/>
      <w:r w:rsidRPr="0046661C">
        <w:t xml:space="preserve">  </w:t>
      </w:r>
    </w:p>
    <w:p w:rsidR="00903BDA" w:rsidRPr="0065391F" w:rsidRDefault="00903BDA" w:rsidP="00903BDA">
      <w:r w:rsidRPr="00B4711B">
        <w:t>Dividends are a smoothed version of both free cash flow to equity and profits.</w:t>
      </w:r>
      <w:r w:rsidRPr="00B4711B">
        <w:rPr>
          <w:rStyle w:val="FootnoteReference"/>
        </w:rPr>
        <w:footnoteReference w:id="932"/>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933"/>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934"/>
      </w:r>
      <w:r w:rsidRPr="0065391F">
        <w:t xml:space="preserve"> </w:t>
      </w:r>
    </w:p>
    <w:p w:rsidR="00903BDA" w:rsidRDefault="00903BDA" w:rsidP="00903BDA">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03BDA" w:rsidRDefault="00903BDA" w:rsidP="00903BDA">
      <w:r>
        <w:t>Frontier submitted that this theoretical possibility is not material in current circumstances. Frontier submitted that:</w:t>
      </w:r>
      <w:r>
        <w:rPr>
          <w:rStyle w:val="FootnoteReference"/>
        </w:rPr>
        <w:footnoteReference w:id="935"/>
      </w:r>
    </w:p>
    <w:p w:rsidR="00903BDA" w:rsidRDefault="00903BDA" w:rsidP="00903BDA">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903BDA" w:rsidRDefault="00903BDA" w:rsidP="00903BDA">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936"/>
      </w:r>
      <w:r>
        <w:rPr>
          <w:rStyle w:val="AERbody"/>
        </w:rPr>
        <w:t xml:space="preserve"> </w:t>
      </w:r>
    </w:p>
    <w:p w:rsidR="00903BDA" w:rsidRPr="0046661C" w:rsidRDefault="00903BDA" w:rsidP="00903BDA">
      <w:pPr>
        <w:pStyle w:val="TOC1"/>
        <w:numPr>
          <w:ilvl w:val="0"/>
          <w:numId w:val="24"/>
        </w:numPr>
      </w:pPr>
      <w:r>
        <w:t>Biases in analyst forecasts</w:t>
      </w:r>
    </w:p>
    <w:p w:rsidR="00903BDA" w:rsidRDefault="00903BDA" w:rsidP="00903BDA">
      <w:pPr>
        <w:numPr>
          <w:ilvl w:val="0"/>
          <w:numId w:val="24"/>
        </w:numPr>
      </w:pPr>
      <w:r w:rsidRPr="00B4711B">
        <w:t>Analyst forecasts are well understood to be upward</w:t>
      </w:r>
      <w:r>
        <w:t>ly</w:t>
      </w:r>
      <w:r w:rsidRPr="00B4711B">
        <w:t xml:space="preserve"> biased.</w:t>
      </w:r>
      <w:r w:rsidRPr="00B4711B">
        <w:rPr>
          <w:rStyle w:val="FootnoteReference"/>
        </w:rPr>
        <w:footnoteReference w:id="937"/>
      </w:r>
      <w:r w:rsidRPr="00B4711B">
        <w:t xml:space="preserve"> McKenzie and Partington also consider that analysts’ forecasts are slow to adjust to changing information.</w:t>
      </w:r>
      <w:r w:rsidRPr="00B4711B">
        <w:rPr>
          <w:rStyle w:val="FootnoteReference"/>
        </w:rPr>
        <w:footnoteReference w:id="938"/>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03BDA" w:rsidRDefault="00903BDA" w:rsidP="00903BDA">
      <w:pPr>
        <w:numPr>
          <w:ilvl w:val="0"/>
          <w:numId w:val="24"/>
        </w:numPr>
      </w:pPr>
      <w:r>
        <w:t>We note that Frontier has not provided any evidence that bias has not increased. Frontier submitted that:</w:t>
      </w:r>
      <w:r>
        <w:rPr>
          <w:rStyle w:val="FootnoteReference"/>
        </w:rPr>
        <w:footnoteReference w:id="939"/>
      </w:r>
      <w:r>
        <w:t xml:space="preserve"> </w:t>
      </w:r>
    </w:p>
    <w:p w:rsidR="00903BDA" w:rsidRPr="00C06A8A" w:rsidRDefault="00903BDA" w:rsidP="00903BDA">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903BDA" w:rsidRDefault="00903BDA" w:rsidP="00903BDA">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903BDA" w:rsidRPr="00B4711B" w:rsidRDefault="00903BDA" w:rsidP="00903BDA">
      <w:r>
        <w:t>Further, we do not hold a view either way about whether bias has increased or not. However, Frontier refers to a report by JP Morgan that notes that current price-to-earnings ratios</w:t>
      </w:r>
      <w:r>
        <w:rPr>
          <w:rStyle w:val="FootnoteReference"/>
        </w:rPr>
        <w:footnoteReference w:id="940"/>
      </w:r>
      <w:r>
        <w:t xml:space="preserve"> could be evidence that the prevailing </w:t>
      </w:r>
      <w:r w:rsidRPr="00C365B3">
        <w:t>market is now more sceptical of analysts’ forecasts than they have been in the past</w:t>
      </w:r>
      <w:r>
        <w:t>.</w:t>
      </w:r>
      <w:r>
        <w:rPr>
          <w:rStyle w:val="FootnoteReference"/>
        </w:rPr>
        <w:footnoteReference w:id="941"/>
      </w:r>
      <w:r w:rsidRPr="00D03E8B">
        <w:t xml:space="preserve"> </w:t>
      </w:r>
      <w:r>
        <w:t xml:space="preserve">That is, </w:t>
      </w:r>
      <w:r w:rsidRPr="00C365B3">
        <w:t>bias (or at least the market’s perception of bias) may have increased</w:t>
      </w:r>
      <w:r>
        <w:t xml:space="preserve">. </w:t>
      </w:r>
    </w:p>
    <w:p w:rsidR="00903BDA" w:rsidRPr="0046661C" w:rsidRDefault="00903BDA" w:rsidP="00903BDA">
      <w:pPr>
        <w:pStyle w:val="TOC1"/>
        <w:numPr>
          <w:ilvl w:val="0"/>
          <w:numId w:val="24"/>
        </w:numPr>
      </w:pPr>
      <w:r>
        <w:t>Dividends as a proxy for free cash flow to equity</w:t>
      </w:r>
    </w:p>
    <w:p w:rsidR="00903BDA" w:rsidRPr="0065391F" w:rsidRDefault="00903BDA" w:rsidP="00903BDA">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942"/>
      </w:r>
    </w:p>
    <w:p w:rsidR="00903BDA" w:rsidRPr="0046661C" w:rsidRDefault="00903BDA" w:rsidP="00903BDA">
      <w:pPr>
        <w:pStyle w:val="TOC1"/>
      </w:pPr>
      <w:r>
        <w:t>Low risk free rate and term structure for equity</w:t>
      </w:r>
    </w:p>
    <w:p w:rsidR="00903BDA" w:rsidRPr="0065391F" w:rsidRDefault="00903BDA" w:rsidP="00903BDA">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43"/>
      </w:r>
      <w:r w:rsidRPr="0065391F">
        <w:rPr>
          <w:rStyle w:val="AERbody"/>
        </w:rPr>
        <w:t xml:space="preserve"> We consider it useful to be aware of this potential bias. This is consistent with McKenzie and Partington’s advice:</w:t>
      </w:r>
      <w:r w:rsidRPr="00F37CD8">
        <w:rPr>
          <w:rStyle w:val="FootnoteReference"/>
        </w:rPr>
        <w:footnoteReference w:id="944"/>
      </w:r>
    </w:p>
    <w:p w:rsidR="00903BDA" w:rsidRPr="00B4711B" w:rsidRDefault="00903BDA" w:rsidP="00903BDA">
      <w:pPr>
        <w:pStyle w:val="AERquote"/>
      </w:pPr>
      <w:r w:rsidRPr="00B4711B">
        <w:t>we do recommend that it be borne in mind that the existence of a term structure could materially change cost of equity estimates from the DGM.</w:t>
      </w:r>
    </w:p>
    <w:p w:rsidR="00515964" w:rsidRDefault="00515964" w:rsidP="00515964">
      <w:pPr>
        <w:pStyle w:val="Heading7"/>
      </w:pPr>
      <w:bookmarkStart w:id="179" w:name="_Ref451691997"/>
      <w:bookmarkStart w:id="180" w:name="_Ref451692404"/>
      <w:bookmarkStart w:id="181" w:name="_Toc451943801"/>
      <w:r>
        <w:t>Return on equity conditioning variables</w:t>
      </w:r>
      <w:bookmarkEnd w:id="179"/>
      <w:bookmarkEnd w:id="180"/>
      <w:bookmarkEnd w:id="181"/>
    </w:p>
    <w:p w:rsidR="00515964" w:rsidRPr="00D7763D" w:rsidRDefault="00515964" w:rsidP="00515964">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945"/>
      </w:r>
      <w:r w:rsidRPr="00D7763D">
        <w:t xml:space="preserve"> However, this information is relevant and may be useful for indicating changes in </w:t>
      </w:r>
      <w:r>
        <w:t>prevailing</w:t>
      </w:r>
      <w:r w:rsidRPr="00D7763D">
        <w:t xml:space="preserve"> market conditions. </w:t>
      </w:r>
    </w:p>
    <w:p w:rsidR="00515964" w:rsidRPr="00C4668D" w:rsidRDefault="00515964" w:rsidP="00515964">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515964" w:rsidRPr="00D7763D" w:rsidRDefault="00515964" w:rsidP="0051596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946"/>
      </w:r>
      <w:r w:rsidRPr="00D7763D">
        <w:t xml:space="preserve"> However, when implied volatility estimates fell in 2013, service providers did not propose we consider this evidence.</w:t>
      </w:r>
      <w:r w:rsidRPr="00D7763D">
        <w:rPr>
          <w:rStyle w:val="FootnoteReference"/>
        </w:rPr>
        <w:footnoteReference w:id="947"/>
      </w:r>
      <w:r w:rsidRPr="00D7763D">
        <w:t xml:space="preserve"> </w:t>
      </w:r>
    </w:p>
    <w:p w:rsidR="00515964" w:rsidRDefault="00515964" w:rsidP="00515964">
      <w:r w:rsidRPr="00D7763D">
        <w:t xml:space="preserve">For the reasons set out below, we consider that, overall, the conditioning variables </w:t>
      </w:r>
      <w:r>
        <w:t xml:space="preserve">appear to have </w:t>
      </w:r>
      <w:r w:rsidR="00EA48B1">
        <w:t xml:space="preserve">experienced </w:t>
      </w:r>
      <w:r>
        <w:t xml:space="preserve">moderate short term movement. Consideration of the implied volatility approach, dividend yields and </w:t>
      </w:r>
      <w:r w:rsidR="00EA48B1">
        <w:t>corporate</w:t>
      </w:r>
      <w:r>
        <w:t xml:space="preserve"> bond spreads show slight increases.</w:t>
      </w:r>
      <w:r>
        <w:rPr>
          <w:rStyle w:val="FootnoteReference"/>
        </w:rPr>
        <w:footnoteReference w:id="948"/>
      </w:r>
      <w:r>
        <w:t xml:space="preserve"> T</w:t>
      </w:r>
      <w:r w:rsidRPr="00866A7A">
        <w:t>he</w:t>
      </w:r>
      <w:r>
        <w:t xml:space="preserve"> state government bond spread</w:t>
      </w:r>
      <w:r w:rsidR="00EA48B1">
        <w:t>s</w:t>
      </w:r>
      <w:r>
        <w:t xml:space="preserve"> and the comparison between equity and debt premiums provide no clear indication that there have been any changes to conditioning variables.</w:t>
      </w:r>
      <w:r>
        <w:rPr>
          <w:rStyle w:val="FootnoteReference"/>
        </w:rPr>
        <w:footnoteReference w:id="949"/>
      </w:r>
      <w:r>
        <w:t xml:space="preserve"> Taken together, we see no significant trend to </w:t>
      </w:r>
      <w:r w:rsidRPr="00D51EE9">
        <w:t>support any further change</w:t>
      </w:r>
      <w:r>
        <w:t>s</w:t>
      </w:r>
      <w:r w:rsidR="00EA48B1">
        <w:t xml:space="preserve"> </w:t>
      </w:r>
      <w:r w:rsidR="00EA4C63">
        <w:t>to</w:t>
      </w:r>
      <w:r w:rsidR="00EA48B1">
        <w:t xml:space="preserve"> our approach</w:t>
      </w:r>
      <w:r>
        <w:t xml:space="preserve">. </w:t>
      </w:r>
    </w:p>
    <w:p w:rsidR="00515964" w:rsidRPr="00D7763D" w:rsidRDefault="00515964" w:rsidP="00515964">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rsidR="00EA4C63">
        <w:t>implied volatility and dividend yields</w:t>
      </w:r>
      <w:r w:rsidRPr="00D7763D">
        <w:t xml:space="preserve"> increased above their long term averages towards the end of </w:t>
      </w:r>
      <w:r w:rsidR="00EA48B1">
        <w:t>2015</w:t>
      </w:r>
      <w:r w:rsidRPr="00D7763D">
        <w:t xml:space="preserve">. However, we consider there is </w:t>
      </w:r>
      <w:r>
        <w:t>in</w:t>
      </w:r>
      <w:r w:rsidRPr="00D7763D">
        <w:t xml:space="preserve">sufficient evidence of a sustained trend away from their long term averages. </w:t>
      </w:r>
    </w:p>
    <w:p w:rsidR="00515964" w:rsidRPr="00D7763D" w:rsidRDefault="00515964" w:rsidP="00515964">
      <w:r w:rsidRPr="00D7763D">
        <w:t>It is important to n</w:t>
      </w:r>
      <w:r w:rsidR="00EA48B1">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515964" w:rsidRPr="00515964" w:rsidRDefault="00515964" w:rsidP="00734DBF">
      <w:pPr>
        <w:pStyle w:val="Heading8"/>
        <w:numPr>
          <w:ilvl w:val="1"/>
          <w:numId w:val="32"/>
        </w:numPr>
      </w:pPr>
      <w:bookmarkStart w:id="182" w:name="_Toc443923225"/>
      <w:bookmarkStart w:id="183" w:name="_Toc451943802"/>
      <w:r>
        <w:t>Implied volatility</w:t>
      </w:r>
      <w:bookmarkEnd w:id="182"/>
      <w:bookmarkEnd w:id="183"/>
    </w:p>
    <w:p w:rsidR="00515964" w:rsidRPr="00866A7A" w:rsidRDefault="00515964" w:rsidP="00515964">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950"/>
      </w:r>
      <w:r w:rsidRPr="00866A7A">
        <w:t xml:space="preserve"> </w:t>
      </w:r>
      <w:r>
        <w:fldChar w:fldCharType="begin"/>
      </w:r>
      <w:r>
        <w:instrText xml:space="preserve"> REF _Ref433023909 \h </w:instrText>
      </w:r>
      <w:r>
        <w:fldChar w:fldCharType="separate"/>
      </w:r>
      <w:r w:rsidR="000230CB" w:rsidRPr="00866A7A">
        <w:t xml:space="preserve">Figure </w:t>
      </w:r>
      <w:r w:rsidR="000230CB">
        <w:rPr>
          <w:noProof/>
        </w:rPr>
        <w:t>3</w:t>
      </w:r>
      <w:r w:rsidR="000230CB">
        <w:noBreakHyphen/>
      </w:r>
      <w:r w:rsidR="000230CB">
        <w:rPr>
          <w:noProof/>
        </w:rPr>
        <w:t>7</w:t>
      </w:r>
      <w:r>
        <w:fldChar w:fldCharType="end"/>
      </w:r>
      <w:r>
        <w:t xml:space="preserve"> shows volume of risk in the market portfolio estimated using the implied volatility index.</w:t>
      </w:r>
    </w:p>
    <w:p w:rsidR="00515964" w:rsidRDefault="00515964" w:rsidP="00515964">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515964" w:rsidRPr="00866A7A" w:rsidRDefault="00515964" w:rsidP="00515964">
      <w:r>
        <w:fldChar w:fldCharType="begin"/>
      </w:r>
      <w:r>
        <w:instrText xml:space="preserve"> REF _Ref433023909 \h </w:instrText>
      </w:r>
      <w:r>
        <w:fldChar w:fldCharType="separate"/>
      </w:r>
      <w:r w:rsidR="000230CB" w:rsidRPr="00866A7A">
        <w:t xml:space="preserve">Figure </w:t>
      </w:r>
      <w:r w:rsidR="000230CB">
        <w:rPr>
          <w:noProof/>
        </w:rPr>
        <w:t>3</w:t>
      </w:r>
      <w:r w:rsidR="000230CB">
        <w:noBreakHyphen/>
      </w:r>
      <w:r w:rsidR="000230CB">
        <w:rPr>
          <w:noProof/>
        </w:rPr>
        <w:t>7</w:t>
      </w:r>
      <w:r>
        <w:fldChar w:fldCharType="end"/>
      </w:r>
      <w:r>
        <w:t xml:space="preserve"> </w:t>
      </w:r>
      <w:r w:rsidRPr="00866A7A">
        <w:t>shows the value of this measure of implied volatility relative to its long run average level since the start of the data series in 1997</w:t>
      </w:r>
      <w:r>
        <w:t xml:space="preserve"> to 24 March 2016</w:t>
      </w:r>
      <w:r w:rsidRPr="00866A7A">
        <w:rPr>
          <w:rStyle w:val="AERbody"/>
        </w:rPr>
        <w:t>.</w:t>
      </w:r>
      <w:r>
        <w:rPr>
          <w:rStyle w:val="AERbody"/>
        </w:rPr>
        <w:t xml:space="preserve"> </w:t>
      </w:r>
      <w:r w:rsidRPr="00866A7A">
        <w:t xml:space="preserve">On </w:t>
      </w:r>
      <w:r>
        <w:t>24 March 2016</w:t>
      </w:r>
      <w:r w:rsidRPr="00866A7A">
        <w:t xml:space="preserve">, the ASX200 implied volatility index was </w:t>
      </w:r>
      <w:r>
        <w:t>15.4</w:t>
      </w:r>
      <w:r w:rsidRPr="00866A7A">
        <w:t xml:space="preserve"> per cent. Using the same averaging period as the risk free rate, the </w:t>
      </w:r>
      <w:r>
        <w:t>volatility index</w:t>
      </w:r>
      <w:r w:rsidRPr="00866A7A">
        <w:t xml:space="preserve"> was</w:t>
      </w:r>
      <w:r>
        <w:t xml:space="preserve"> 17.6</w:t>
      </w:r>
      <w:r w:rsidRPr="00866A7A">
        <w:t xml:space="preserve"> per cent.</w:t>
      </w:r>
      <w:r w:rsidRPr="00866A7A">
        <w:rPr>
          <w:rStyle w:val="FootnoteReference"/>
        </w:rPr>
        <w:footnoteReference w:id="951"/>
      </w:r>
      <w:r w:rsidRPr="00866A7A">
        <w:t xml:space="preserve"> Over the year ending </w:t>
      </w:r>
      <w:r>
        <w:t>24 March 2016</w:t>
      </w:r>
      <w:r w:rsidRPr="00866A7A">
        <w:t xml:space="preserve">, the </w:t>
      </w:r>
      <w:r>
        <w:t>volatility index</w:t>
      </w:r>
      <w:r w:rsidRPr="00866A7A">
        <w:t xml:space="preserve"> was </w:t>
      </w:r>
      <w:r>
        <w:t>19</w:t>
      </w:r>
      <w:r w:rsidRPr="00866A7A">
        <w:t>.</w:t>
      </w:r>
      <w:r>
        <w:t>3</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0230CB" w:rsidRPr="00866A7A">
        <w:t xml:space="preserve">Figure </w:t>
      </w:r>
      <w:r w:rsidR="000230CB">
        <w:rPr>
          <w:noProof/>
        </w:rPr>
        <w:t>3</w:t>
      </w:r>
      <w:r w:rsidR="000230CB">
        <w:noBreakHyphen/>
      </w:r>
      <w:r w:rsidR="000230CB">
        <w:rPr>
          <w:noProof/>
        </w:rPr>
        <w:t>7</w:t>
      </w:r>
      <w:r>
        <w:fldChar w:fldCharType="end"/>
      </w:r>
      <w:r>
        <w:t xml:space="preserve"> shows implied volatility </w:t>
      </w:r>
      <w:r w:rsidR="00A14C69">
        <w:t>is around its long run average</w:t>
      </w:r>
      <w:r>
        <w:t>.</w:t>
      </w:r>
      <w:r w:rsidDel="00C41D65">
        <w:rPr>
          <w:rStyle w:val="AERbody"/>
        </w:rPr>
        <w:t xml:space="preserve"> </w:t>
      </w:r>
    </w:p>
    <w:p w:rsidR="00515964" w:rsidRPr="00866A7A" w:rsidRDefault="00515964" w:rsidP="00515964">
      <w:pPr>
        <w:pStyle w:val="Caption"/>
      </w:pPr>
      <w:bookmarkStart w:id="184" w:name="_Ref433023909"/>
      <w:r w:rsidRPr="00866A7A">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7</w:t>
      </w:r>
      <w:r w:rsidR="00527450">
        <w:rPr>
          <w:noProof/>
        </w:rPr>
        <w:fldChar w:fldCharType="end"/>
      </w:r>
      <w:bookmarkEnd w:id="184"/>
      <w:r w:rsidRPr="00866A7A">
        <w:tab/>
        <w:t>Implied volatility (VIX) over time</w:t>
      </w:r>
    </w:p>
    <w:p w:rsidR="00515964" w:rsidRPr="00866A7A" w:rsidRDefault="0068661A" w:rsidP="0068661A">
      <w:pPr>
        <w:numPr>
          <w:ilvl w:val="0"/>
          <w:numId w:val="24"/>
        </w:numPr>
      </w:pPr>
      <w:r w:rsidRPr="0068661A">
        <w:rPr>
          <w:noProof/>
          <w:lang w:eastAsia="en-AU"/>
        </w:rPr>
        <w:drawing>
          <wp:inline distT="0" distB="0" distL="0" distR="0" wp14:anchorId="401E6C18" wp14:editId="6A25BAB2">
            <wp:extent cx="5369560" cy="30727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560" cy="3072765"/>
                    </a:xfrm>
                    <a:prstGeom prst="rect">
                      <a:avLst/>
                    </a:prstGeom>
                    <a:noFill/>
                    <a:ln>
                      <a:noFill/>
                    </a:ln>
                  </pic:spPr>
                </pic:pic>
              </a:graphicData>
            </a:graphic>
          </wp:inline>
        </w:drawing>
      </w:r>
    </w:p>
    <w:p w:rsidR="00515964" w:rsidRDefault="00515964" w:rsidP="00515964">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515964" w:rsidRDefault="00515964" w:rsidP="00515964">
      <w:pPr>
        <w:pStyle w:val="Heading8"/>
      </w:pPr>
      <w:bookmarkStart w:id="185" w:name="_Toc443923226"/>
      <w:bookmarkStart w:id="186" w:name="_Toc451943803"/>
      <w:r>
        <w:t>Dividend yields</w:t>
      </w:r>
      <w:bookmarkEnd w:id="185"/>
      <w:bookmarkEnd w:id="186"/>
    </w:p>
    <w:p w:rsidR="00515964" w:rsidRPr="00866A7A" w:rsidRDefault="00515964" w:rsidP="00515964">
      <w:pPr>
        <w:numPr>
          <w:ilvl w:val="0"/>
          <w:numId w:val="24"/>
        </w:numPr>
      </w:pPr>
      <w:bookmarkStart w:id="187" w:name="_Ref400009547"/>
      <w:bookmarkStart w:id="188" w:name="_Ref417224600"/>
      <w:r w:rsidRPr="00866A7A">
        <w:t xml:space="preserve">We use dividend yields as a directional indicator of the </w:t>
      </w:r>
      <w:r>
        <w:t>market risk premium</w:t>
      </w:r>
      <w:r w:rsidRPr="00866A7A">
        <w:t>.</w:t>
      </w:r>
      <w:r w:rsidRPr="00866A7A">
        <w:rPr>
          <w:rStyle w:val="FootnoteReference"/>
        </w:rPr>
        <w:footnoteReference w:id="952"/>
      </w:r>
      <w:r w:rsidRPr="00866A7A">
        <w:t xml:space="preserve"> We consider this information by comparing current dividend yields with the average dividend yield through time.</w:t>
      </w:r>
      <w:r w:rsidRPr="00866A7A">
        <w:rPr>
          <w:rStyle w:val="FootnoteReference"/>
        </w:rPr>
        <w:footnoteReference w:id="953"/>
      </w:r>
      <w:r w:rsidRPr="00866A7A">
        <w:t xml:space="preserve"> </w:t>
      </w:r>
      <w:r>
        <w:fldChar w:fldCharType="begin"/>
      </w:r>
      <w:r>
        <w:instrText xml:space="preserve"> REF _Ref433023708 \h </w:instrText>
      </w:r>
      <w:r>
        <w:fldChar w:fldCharType="separate"/>
      </w:r>
      <w:r w:rsidR="000230CB" w:rsidRPr="00866A7A">
        <w:t xml:space="preserve">Figure </w:t>
      </w:r>
      <w:r w:rsidR="000230CB">
        <w:rPr>
          <w:noProof/>
        </w:rPr>
        <w:t>3</w:t>
      </w:r>
      <w:r w:rsidR="000230CB">
        <w:noBreakHyphen/>
      </w:r>
      <w:r w:rsidR="000230CB">
        <w:rPr>
          <w:noProof/>
        </w:rPr>
        <w:t>8</w:t>
      </w:r>
      <w:r>
        <w:fldChar w:fldCharType="end"/>
      </w:r>
      <w:r>
        <w:t xml:space="preserve"> </w:t>
      </w:r>
      <w:r w:rsidRPr="00866A7A">
        <w:t>shows dividend yields against their historical average</w:t>
      </w:r>
      <w:r>
        <w:t xml:space="preserve"> up to 24 March 2016.</w:t>
      </w:r>
    </w:p>
    <w:p w:rsidR="00515964" w:rsidRPr="00866A7A" w:rsidRDefault="00515964" w:rsidP="00515964">
      <w:r>
        <w:fldChar w:fldCharType="begin"/>
      </w:r>
      <w:r>
        <w:instrText xml:space="preserve"> REF _Ref433023708 \h </w:instrText>
      </w:r>
      <w:r>
        <w:fldChar w:fldCharType="separate"/>
      </w:r>
      <w:r w:rsidR="000230CB" w:rsidRPr="00866A7A">
        <w:t xml:space="preserve">Figure </w:t>
      </w:r>
      <w:r w:rsidR="000230CB">
        <w:rPr>
          <w:noProof/>
        </w:rPr>
        <w:t>3</w:t>
      </w:r>
      <w:r w:rsidR="000230CB">
        <w:noBreakHyphen/>
      </w:r>
      <w:r w:rsidR="000230CB">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515964" w:rsidRPr="00866A7A" w:rsidRDefault="00515964" w:rsidP="00515964">
      <w:pPr>
        <w:pStyle w:val="Caption"/>
      </w:pPr>
      <w:bookmarkStart w:id="189" w:name="_Ref433023708"/>
      <w:bookmarkEnd w:id="187"/>
      <w:bookmarkEnd w:id="188"/>
      <w:r w:rsidRPr="00866A7A">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8</w:t>
      </w:r>
      <w:r w:rsidR="00527450">
        <w:rPr>
          <w:noProof/>
        </w:rPr>
        <w:fldChar w:fldCharType="end"/>
      </w:r>
      <w:bookmarkEnd w:id="189"/>
      <w:r w:rsidRPr="00866A7A">
        <w:tab/>
        <w:t>Dividend yields</w:t>
      </w:r>
    </w:p>
    <w:p w:rsidR="00515964" w:rsidRPr="00866A7A" w:rsidRDefault="0068661A" w:rsidP="0068661A">
      <w:pPr>
        <w:numPr>
          <w:ilvl w:val="0"/>
          <w:numId w:val="24"/>
        </w:numPr>
      </w:pPr>
      <w:r w:rsidRPr="0068661A">
        <w:rPr>
          <w:noProof/>
          <w:lang w:eastAsia="en-AU"/>
        </w:rPr>
        <w:drawing>
          <wp:inline distT="0" distB="0" distL="0" distR="0" wp14:anchorId="4728C094" wp14:editId="0170C117">
            <wp:extent cx="5380355" cy="3221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355" cy="3221355"/>
                    </a:xfrm>
                    <a:prstGeom prst="rect">
                      <a:avLst/>
                    </a:prstGeom>
                    <a:noFill/>
                    <a:ln>
                      <a:noFill/>
                    </a:ln>
                  </pic:spPr>
                </pic:pic>
              </a:graphicData>
            </a:graphic>
          </wp:inline>
        </w:drawing>
      </w:r>
    </w:p>
    <w:p w:rsidR="00515964" w:rsidRDefault="00515964" w:rsidP="00515964">
      <w:pPr>
        <w:pStyle w:val="AERtablesource"/>
      </w:pPr>
      <w:r w:rsidRPr="00866A7A">
        <w:t>Source:</w:t>
      </w:r>
      <w:r w:rsidRPr="00866A7A">
        <w:tab/>
        <w:t>Bloomberg</w:t>
      </w:r>
      <w:r>
        <w:t xml:space="preserve"> AS51 Index</w:t>
      </w:r>
      <w:r w:rsidRPr="00866A7A">
        <w:t>, AER analysis.</w:t>
      </w:r>
    </w:p>
    <w:p w:rsidR="00515964" w:rsidRDefault="00515964" w:rsidP="00515964">
      <w:pPr>
        <w:pStyle w:val="Heading8"/>
      </w:pPr>
      <w:bookmarkStart w:id="190" w:name="_Toc443923227"/>
      <w:bookmarkStart w:id="191" w:name="_Ref449052987"/>
      <w:bookmarkStart w:id="192" w:name="_Toc451943804"/>
      <w:r>
        <w:t>Yield spreads</w:t>
      </w:r>
      <w:bookmarkEnd w:id="190"/>
      <w:bookmarkEnd w:id="191"/>
      <w:bookmarkEnd w:id="192"/>
    </w:p>
    <w:p w:rsidR="008F4F73" w:rsidRPr="008F4F73" w:rsidRDefault="008F4F73" w:rsidP="008F4F73">
      <w:pPr>
        <w:numPr>
          <w:ilvl w:val="0"/>
          <w:numId w:val="24"/>
        </w:numPr>
      </w:pPr>
      <w:r w:rsidRPr="008F4F73">
        <w:t>Yield spreads are the difference between the yields on different assets, typically debt instruments. We examine two categories of yield spreads:</w:t>
      </w:r>
    </w:p>
    <w:p w:rsidR="008F4F73" w:rsidRPr="008F4F73" w:rsidRDefault="008F4F73" w:rsidP="008F4F73">
      <w:pPr>
        <w:pStyle w:val="AERbulletlistfirststyle"/>
      </w:pPr>
      <w:r w:rsidRPr="008F4F73">
        <w:t>Credit spreads, used to inform our market risk premium estimate.</w:t>
      </w:r>
    </w:p>
    <w:p w:rsidR="008F4F73" w:rsidRPr="008F4F73" w:rsidRDefault="008F4F73" w:rsidP="008F4F73">
      <w:pPr>
        <w:pStyle w:val="AERbulletlistfirststyle"/>
      </w:pPr>
      <w:r w:rsidRPr="008F4F73">
        <w:t>The spread between our equity risk premium and debt risk premium, used to inform our overall return on equity estimate.</w:t>
      </w:r>
    </w:p>
    <w:p w:rsidR="008F4F73" w:rsidRPr="008F4F73" w:rsidRDefault="008F4F73" w:rsidP="008F4F73">
      <w:pPr>
        <w:numPr>
          <w:ilvl w:val="0"/>
          <w:numId w:val="24"/>
        </w:numPr>
      </w:pPr>
      <w:r w:rsidRPr="008F4F73">
        <w:t>Credit spreads are the spreads between the risk free rate (the yield on Australian government securities) and the return on debt for different debt instruments. We use credit spreads as a directional indicator of the market risk premium.</w:t>
      </w:r>
      <w:r w:rsidRPr="008F4F73">
        <w:rPr>
          <w:rStyle w:val="FootnoteReference"/>
        </w:rPr>
        <w:footnoteReference w:id="954"/>
      </w:r>
      <w:r w:rsidRPr="008F4F73">
        <w:t xml:space="preserve"> We consider this information can be used to indicate changes in market conditions. That is, to indicate whether spreads are widening, stabilising or narrowing.</w:t>
      </w:r>
    </w:p>
    <w:p w:rsidR="008F4F73" w:rsidRPr="008F4F73" w:rsidRDefault="008F4F73" w:rsidP="008F4F73">
      <w:pPr>
        <w:numPr>
          <w:ilvl w:val="0"/>
          <w:numId w:val="24"/>
        </w:numPr>
      </w:pPr>
      <w:r w:rsidRPr="008F4F73">
        <w:fldChar w:fldCharType="begin"/>
      </w:r>
      <w:r w:rsidRPr="008F4F73">
        <w:instrText xml:space="preserve"> REF _Ref433023804 \h </w:instrText>
      </w:r>
      <w:r w:rsidRPr="008F4F73">
        <w:fldChar w:fldCharType="separate"/>
      </w:r>
      <w:r w:rsidR="000230CB" w:rsidRPr="008F4F73">
        <w:t xml:space="preserve">Figure </w:t>
      </w:r>
      <w:r w:rsidR="000230CB">
        <w:rPr>
          <w:noProof/>
        </w:rPr>
        <w:t>3</w:t>
      </w:r>
      <w:r w:rsidR="000230CB">
        <w:noBreakHyphen/>
      </w:r>
      <w:r w:rsidR="000230CB">
        <w:rPr>
          <w:noProof/>
        </w:rPr>
        <w:t>9</w:t>
      </w:r>
      <w:r w:rsidRPr="008F4F73">
        <w:fldChar w:fldCharType="end"/>
      </w:r>
      <w:r w:rsidRPr="008F4F73">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8F4F73" w:rsidRPr="008F4F73" w:rsidRDefault="008F4F73" w:rsidP="008F4F73">
      <w:pPr>
        <w:numPr>
          <w:ilvl w:val="0"/>
          <w:numId w:val="24"/>
        </w:numPr>
      </w:pPr>
      <w:r w:rsidRPr="008F4F73">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8F4F73" w:rsidRPr="008F4F73" w:rsidRDefault="008F4F73" w:rsidP="008F4F73">
      <w:pPr>
        <w:pStyle w:val="Caption"/>
        <w:rPr>
          <w:rStyle w:val="Strong"/>
        </w:rPr>
      </w:pPr>
      <w:bookmarkStart w:id="193" w:name="_Ref433023804"/>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9</w:t>
      </w:r>
      <w:r w:rsidR="00527450">
        <w:rPr>
          <w:noProof/>
        </w:rPr>
        <w:fldChar w:fldCharType="end"/>
      </w:r>
      <w:bookmarkEnd w:id="193"/>
      <w:r w:rsidRPr="008F4F73">
        <w:tab/>
        <w:t>Australian bond spreads over government yields</w:t>
      </w:r>
    </w:p>
    <w:p w:rsidR="008F4F73" w:rsidRPr="008F4F73" w:rsidRDefault="008F4F73" w:rsidP="008F4F73">
      <w:pPr>
        <w:numPr>
          <w:ilvl w:val="0"/>
          <w:numId w:val="24"/>
        </w:numPr>
      </w:pPr>
      <w:r w:rsidRPr="008F4F73">
        <w:rPr>
          <w:noProof/>
          <w:lang w:eastAsia="en-AU"/>
        </w:rPr>
        <w:drawing>
          <wp:inline distT="0" distB="0" distL="0" distR="0" wp14:anchorId="03512DA2" wp14:editId="5C50641C">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0">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8F4F73" w:rsidRPr="008F4F73" w:rsidRDefault="008F4F73" w:rsidP="008F4F73">
      <w:pPr>
        <w:pStyle w:val="AERtablesource"/>
        <w:rPr>
          <w:rStyle w:val="AERtexthighlight"/>
        </w:rPr>
      </w:pPr>
      <w:r w:rsidRPr="008F4F73">
        <w:t xml:space="preserve">Source: </w:t>
      </w:r>
      <w:r w:rsidRPr="008F4F73">
        <w:tab/>
      </w:r>
      <w:r w:rsidR="00DA4F44">
        <w:t>RBA, Chart Pack, February 2016</w:t>
      </w:r>
      <w:r w:rsidRPr="008F4F73">
        <w:t xml:space="preserve">. </w:t>
      </w:r>
    </w:p>
    <w:p w:rsidR="008F4F73" w:rsidRPr="008F4F73" w:rsidRDefault="008F4F73" w:rsidP="008F4F73">
      <w:pPr>
        <w:pStyle w:val="AERtablesource"/>
      </w:pPr>
      <w:r w:rsidRPr="008F4F73">
        <w:t>Note:</w:t>
      </w:r>
      <w:r w:rsidRPr="008F4F73">
        <w:tab/>
        <w:t>Swap spreads are for a 3 year maturity. Corporate bonds are a weighted average of senior bonds with remaining maturities of 1 to 5 years and include financial and non-financial corporates.</w:t>
      </w:r>
    </w:p>
    <w:p w:rsidR="008F4F73" w:rsidRPr="008F4F73" w:rsidRDefault="008F4F73" w:rsidP="008F4F73">
      <w:r w:rsidRPr="008F4F73">
        <w:fldChar w:fldCharType="begin"/>
      </w:r>
      <w:r w:rsidRPr="008F4F73">
        <w:instrText xml:space="preserve"> REF _Ref433023841 \h </w:instrText>
      </w:r>
      <w:r w:rsidRPr="008F4F73">
        <w:fldChar w:fldCharType="separate"/>
      </w:r>
      <w:r w:rsidR="000230CB" w:rsidRPr="008F4F73">
        <w:t xml:space="preserve">Figure </w:t>
      </w:r>
      <w:r w:rsidR="000230CB">
        <w:rPr>
          <w:noProof/>
        </w:rPr>
        <w:t>3</w:t>
      </w:r>
      <w:r w:rsidR="000230CB">
        <w:noBreakHyphen/>
      </w:r>
      <w:r w:rsidR="000230CB">
        <w:rPr>
          <w:noProof/>
        </w:rPr>
        <w:t>10</w:t>
      </w:r>
      <w:r w:rsidRPr="008F4F73">
        <w:fldChar w:fldCharType="end"/>
      </w:r>
      <w:r w:rsidRPr="008F4F73">
        <w:t xml:space="preserve"> shows the spread between state government debt and Australian government debt up to </w:t>
      </w:r>
      <w:r w:rsidR="00F60C79">
        <w:t>27 March</w:t>
      </w:r>
      <w:r w:rsidRPr="008F4F73">
        <w:t xml:space="preserve"> 2016. This uses maturities of three years as more data are available. </w:t>
      </w:r>
      <w:r w:rsidRPr="008F4F73">
        <w:fldChar w:fldCharType="begin"/>
      </w:r>
      <w:r w:rsidRPr="008F4F73">
        <w:instrText xml:space="preserve"> REF _Ref433023841 \h </w:instrText>
      </w:r>
      <w:r w:rsidRPr="008F4F73">
        <w:fldChar w:fldCharType="separate"/>
      </w:r>
      <w:r w:rsidR="000230CB" w:rsidRPr="008F4F73">
        <w:t xml:space="preserve">Figure </w:t>
      </w:r>
      <w:r w:rsidR="000230CB">
        <w:rPr>
          <w:noProof/>
        </w:rPr>
        <w:t>3</w:t>
      </w:r>
      <w:r w:rsidR="000230CB">
        <w:noBreakHyphen/>
      </w:r>
      <w:r w:rsidR="000230CB">
        <w:rPr>
          <w:noProof/>
        </w:rPr>
        <w:t>10</w:t>
      </w:r>
      <w:r w:rsidRPr="008F4F73">
        <w:fldChar w:fldCharType="end"/>
      </w:r>
      <w:r w:rsidRPr="008F4F73">
        <w:t xml:space="preserve"> shows that credit spreads were falling since late 2012, and are now around their pre-2007 levels with no discernible trend. </w:t>
      </w:r>
    </w:p>
    <w:p w:rsidR="008F4F73" w:rsidRPr="008F4F73" w:rsidRDefault="008F4F73" w:rsidP="008F4F73">
      <w:pPr>
        <w:pStyle w:val="Caption"/>
      </w:pPr>
      <w:bookmarkStart w:id="194" w:name="_Ref433023841"/>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10</w:t>
      </w:r>
      <w:r w:rsidR="00527450">
        <w:rPr>
          <w:noProof/>
        </w:rPr>
        <w:fldChar w:fldCharType="end"/>
      </w:r>
      <w:bookmarkEnd w:id="194"/>
      <w:r w:rsidRPr="008F4F73">
        <w:tab/>
        <w:t>State government bond spreads over government yields</w:t>
      </w:r>
    </w:p>
    <w:p w:rsidR="008F4F73" w:rsidRPr="008F4F73" w:rsidRDefault="0068661A" w:rsidP="0068661A">
      <w:pPr>
        <w:numPr>
          <w:ilvl w:val="0"/>
          <w:numId w:val="24"/>
        </w:numPr>
      </w:pPr>
      <w:r w:rsidRPr="0068661A">
        <w:rPr>
          <w:noProof/>
          <w:lang w:eastAsia="en-AU"/>
        </w:rPr>
        <w:drawing>
          <wp:inline distT="0" distB="0" distL="0" distR="0" wp14:anchorId="7DF869C0" wp14:editId="3DFDE46F">
            <wp:extent cx="5369560" cy="306197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9560" cy="3061970"/>
                    </a:xfrm>
                    <a:prstGeom prst="rect">
                      <a:avLst/>
                    </a:prstGeom>
                    <a:noFill/>
                    <a:ln>
                      <a:noFill/>
                    </a:ln>
                  </pic:spPr>
                </pic:pic>
              </a:graphicData>
            </a:graphic>
          </wp:inline>
        </w:drawing>
      </w:r>
    </w:p>
    <w:p w:rsidR="008F4F73" w:rsidRPr="008F4F73" w:rsidRDefault="008F4F73" w:rsidP="008F4F73">
      <w:pPr>
        <w:pStyle w:val="AERtablesource"/>
      </w:pPr>
      <w:r w:rsidRPr="008F4F73">
        <w:t xml:space="preserve">Source: </w:t>
      </w:r>
      <w:r w:rsidRPr="008F4F73">
        <w:tab/>
        <w:t xml:space="preserve">AER analysis, RBA F.2 interest rate statistics. </w:t>
      </w:r>
    </w:p>
    <w:p w:rsidR="008F4F73" w:rsidRPr="008F4F73" w:rsidRDefault="008F4F73" w:rsidP="008F4F73">
      <w:pPr>
        <w:rPr>
          <w:rStyle w:val="AERbody"/>
        </w:rPr>
      </w:pPr>
      <w:r w:rsidRPr="008F4F73">
        <w:rPr>
          <w:rStyle w:val="AERbody"/>
        </w:rPr>
        <w:t>On the comparison between the return on equity and return on debt, we consider that prevailing debt market conditions provide support for the view that:</w:t>
      </w:r>
    </w:p>
    <w:p w:rsidR="008F4F73" w:rsidRPr="008F4F73" w:rsidRDefault="008F4F73" w:rsidP="008F4F73">
      <w:pPr>
        <w:pStyle w:val="AERbulletlistfirststyle"/>
      </w:pPr>
      <w:r w:rsidRPr="008F4F73">
        <w:t>our estimated return on equity is not below efficient financing costs</w:t>
      </w:r>
      <w:r w:rsidRPr="008F4F73">
        <w:rPr>
          <w:rStyle w:val="FootnoteReference"/>
        </w:rPr>
        <w:footnoteReference w:id="955"/>
      </w:r>
    </w:p>
    <w:p w:rsidR="008F4F73" w:rsidRPr="008F4F73" w:rsidRDefault="00041B81" w:rsidP="008F4F73">
      <w:pPr>
        <w:pStyle w:val="AERbulletlistfirststyle"/>
      </w:pPr>
      <w:r>
        <w:t>AGN</w:t>
      </w:r>
      <w:r w:rsidR="008F4F73" w:rsidRPr="008F4F73">
        <w:t>'s proposed return on equity is likely to exceed efficient financing costs.</w:t>
      </w:r>
    </w:p>
    <w:p w:rsidR="008F4F73" w:rsidRPr="008F4F73" w:rsidRDefault="008F4F73" w:rsidP="008F4F73">
      <w:pPr>
        <w:numPr>
          <w:ilvl w:val="0"/>
          <w:numId w:val="24"/>
        </w:numPr>
      </w:pPr>
      <w:r w:rsidRPr="008F4F73">
        <w:t>The current debt market is indicating a premium over the risk free rate of about 2.92 per cent.</w:t>
      </w:r>
      <w:r w:rsidRPr="008F4F73">
        <w:rPr>
          <w:rStyle w:val="FootnoteReference"/>
        </w:rPr>
        <w:footnoteReference w:id="956"/>
      </w:r>
      <w:r w:rsidRPr="008F4F73">
        <w:t xml:space="preserve"> This compares to our foundation model equity premium over the risk free rate of 4.55 per cent (given a market risk premium of 6.5 per cent and a beta of 0.7). </w:t>
      </w:r>
      <w:r w:rsidRPr="008F4F73">
        <w:fldChar w:fldCharType="begin"/>
      </w:r>
      <w:r w:rsidRPr="008F4F73">
        <w:instrText xml:space="preserve"> REF _Ref417589908 \h </w:instrText>
      </w:r>
      <w:r w:rsidRPr="008F4F73">
        <w:fldChar w:fldCharType="separate"/>
      </w:r>
      <w:r w:rsidR="000230CB" w:rsidRPr="008F4F73">
        <w:t xml:space="preserve">Figure </w:t>
      </w:r>
      <w:r w:rsidR="000230CB">
        <w:rPr>
          <w:noProof/>
        </w:rPr>
        <w:t>3</w:t>
      </w:r>
      <w:r w:rsidR="000230CB">
        <w:noBreakHyphen/>
      </w:r>
      <w:r w:rsidR="000230CB">
        <w:rPr>
          <w:noProof/>
        </w:rPr>
        <w:t>11</w:t>
      </w:r>
      <w:r w:rsidRPr="008F4F73">
        <w:fldChar w:fldCharType="end"/>
      </w:r>
      <w:r w:rsidRPr="008F4F73">
        <w:t xml:space="preserve"> shows the current and historical debt risk premium and our foundation model equity risk premium. </w:t>
      </w:r>
      <w:r w:rsidR="00CA1ED0" w:rsidRPr="00CA1ED0">
        <w:t>AGN</w:t>
      </w:r>
      <w:r w:rsidR="00CA1ED0" w:rsidRPr="00CA1ED0" w:rsidDel="003203B3">
        <w:t xml:space="preserve"> </w:t>
      </w:r>
      <w:r w:rsidRPr="008F4F73">
        <w:t>proposed an equity risk premium of 7.</w:t>
      </w:r>
      <w:r w:rsidR="00CA1ED0">
        <w:t>08</w:t>
      </w:r>
      <w:r w:rsidRPr="008F4F73">
        <w:t xml:space="preserve"> per cent.</w:t>
      </w:r>
      <w:r w:rsidRPr="008F4F73">
        <w:rPr>
          <w:rStyle w:val="FootnoteReference"/>
        </w:rPr>
        <w:footnoteReference w:id="957"/>
      </w:r>
    </w:p>
    <w:p w:rsidR="008F4F73" w:rsidRPr="008F4F73" w:rsidRDefault="008F4F73" w:rsidP="008F4F73">
      <w:pPr>
        <w:pStyle w:val="Caption"/>
      </w:pPr>
      <w:bookmarkStart w:id="195" w:name="_Ref417589908"/>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11</w:t>
      </w:r>
      <w:r w:rsidR="00527450">
        <w:rPr>
          <w:noProof/>
        </w:rPr>
        <w:fldChar w:fldCharType="end"/>
      </w:r>
      <w:bookmarkEnd w:id="195"/>
      <w:r w:rsidRPr="008F4F73">
        <w:tab/>
        <w:t>Comparison of equity risk premium and indicative debt risk premiums</w:t>
      </w:r>
    </w:p>
    <w:p w:rsidR="008F4F73" w:rsidRPr="008F4F73" w:rsidRDefault="0068661A" w:rsidP="008F4F73">
      <w:pPr>
        <w:pStyle w:val="AERtablesource"/>
      </w:pPr>
      <w:r w:rsidRPr="0068661A">
        <w:rPr>
          <w:noProof/>
          <w:lang w:eastAsia="en-AU"/>
        </w:rPr>
        <w:drawing>
          <wp:inline distT="0" distB="0" distL="0" distR="0" wp14:anchorId="5B3E25B4" wp14:editId="7A3959A8">
            <wp:extent cx="5369560" cy="45612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9560" cy="4561205"/>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AER analysis, RBA interest rates statistics, Bloomberg data.</w:t>
      </w:r>
    </w:p>
    <w:p w:rsidR="008F4F73" w:rsidRPr="008F4F73" w:rsidRDefault="008F4F73" w:rsidP="008F4F73">
      <w:pPr>
        <w:numPr>
          <w:ilvl w:val="0"/>
          <w:numId w:val="24"/>
        </w:numPr>
      </w:pPr>
      <w:r w:rsidRPr="008F4F73">
        <w:t>We do not consider that the current 163 basis points difference between the equity risk premium allowed in this decision and debt risk premiums</w:t>
      </w:r>
      <w:r w:rsidRPr="008F4F73">
        <w:rPr>
          <w:rStyle w:val="FootnoteReference"/>
        </w:rPr>
        <w:footnoteReference w:id="958"/>
      </w:r>
      <w:r w:rsidRPr="008F4F73">
        <w:t xml:space="preserve"> to be too low, on the basis of:</w:t>
      </w:r>
    </w:p>
    <w:p w:rsidR="008F4F73" w:rsidRPr="008F4F73" w:rsidRDefault="008F4F73" w:rsidP="008F4F73">
      <w:pPr>
        <w:pStyle w:val="AERbulletlistfirststyle"/>
      </w:pPr>
      <w:r w:rsidRPr="008F4F73">
        <w:t>the low risk nature of a benchmark efficient entity as outlined above</w:t>
      </w:r>
    </w:p>
    <w:p w:rsidR="008F4F73" w:rsidRPr="008F4F73" w:rsidRDefault="008F4F73" w:rsidP="008F4F73">
      <w:pPr>
        <w:pStyle w:val="AERbulletlistfirststyle"/>
      </w:pPr>
      <w:r w:rsidRPr="008F4F73">
        <w:t>the gap between the equity risk premium and debt risk premium is likely to be wider than stated above, since it compares a promised, pre-tax return on debt to an expected, post-tax return on equity.</w:t>
      </w:r>
      <w:r w:rsidRPr="008F4F73">
        <w:rPr>
          <w:rStyle w:val="FootnoteReference"/>
        </w:rPr>
        <w:footnoteReference w:id="959"/>
      </w:r>
    </w:p>
    <w:p w:rsidR="008F4F73" w:rsidRPr="008F4F73" w:rsidRDefault="008F4F73" w:rsidP="008F4F73">
      <w:pPr>
        <w:rPr>
          <w:rStyle w:val="AERbody"/>
        </w:rPr>
      </w:pPr>
      <w:r w:rsidRPr="008F4F73">
        <w:rPr>
          <w:rStyle w:val="AERbody"/>
        </w:rPr>
        <w:t>In relation to our review of debt risk premiums relative to equity premiums in our April 2015 decisions, ActewAGL submitted:</w:t>
      </w:r>
      <w:r w:rsidRPr="008F4F73">
        <w:rPr>
          <w:rStyle w:val="FootnoteReference"/>
        </w:rPr>
        <w:footnoteReference w:id="960"/>
      </w:r>
    </w:p>
    <w:p w:rsidR="008F4F73" w:rsidRPr="008F4F73" w:rsidRDefault="008F4F73" w:rsidP="008F4F73">
      <w:pPr>
        <w:pStyle w:val="AERquote"/>
      </w:pPr>
      <w:r w:rsidRPr="008F4F73">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8F4F73" w:rsidRPr="008F4F73" w:rsidRDefault="008F4F73" w:rsidP="008F4F73">
      <w:r w:rsidRPr="008F4F73">
        <w:t>We agree that it is difficult to derive definitive conclusions about equity premiums from data on debt premiums, which is one of the reasons why we give this material a directional role.</w:t>
      </w:r>
      <w:r w:rsidRPr="008F4F73">
        <w:rPr>
          <w:rStyle w:val="FootnoteReference"/>
        </w:rPr>
        <w:footnoteReference w:id="961"/>
      </w:r>
      <w:r w:rsidRPr="008F4F73">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8F4F73">
        <w:rPr>
          <w:rStyle w:val="FootnoteReference"/>
        </w:rPr>
        <w:footnoteReference w:id="962"/>
      </w:r>
    </w:p>
    <w:p w:rsidR="008F4F73" w:rsidRPr="008F4F73" w:rsidRDefault="008F4F73" w:rsidP="008F4F73">
      <w:r w:rsidRPr="008F4F73">
        <w:t xml:space="preserve">We note that the overall directional evidence shows that debt risk premiums have increased since around mid-2015, but remain below the levels in December 2013 (when our Rate of Return Guideline was published), as shown in </w:t>
      </w:r>
      <w:r w:rsidRPr="008F4F73">
        <w:fldChar w:fldCharType="begin"/>
      </w:r>
      <w:r w:rsidRPr="008F4F73">
        <w:instrText xml:space="preserve"> REF _Ref417589908 \h </w:instrText>
      </w:r>
      <w:r w:rsidRPr="008F4F73">
        <w:fldChar w:fldCharType="separate"/>
      </w:r>
      <w:r w:rsidR="000230CB" w:rsidRPr="008F4F73">
        <w:t xml:space="preserve">Figure </w:t>
      </w:r>
      <w:r w:rsidR="000230CB">
        <w:rPr>
          <w:noProof/>
        </w:rPr>
        <w:t>3</w:t>
      </w:r>
      <w:r w:rsidR="000230CB">
        <w:noBreakHyphen/>
      </w:r>
      <w:r w:rsidR="000230CB">
        <w:rPr>
          <w:noProof/>
        </w:rPr>
        <w:t>11</w:t>
      </w:r>
      <w:r w:rsidRPr="008F4F73">
        <w:fldChar w:fldCharType="end"/>
      </w:r>
      <w:r w:rsidRPr="008F4F73">
        <w:t xml:space="preserve">. </w:t>
      </w:r>
    </w:p>
    <w:p w:rsidR="008F4F73" w:rsidRPr="008F4F73" w:rsidRDefault="008F4F73" w:rsidP="008F4F73">
      <w:r w:rsidRPr="008F4F73">
        <w:t xml:space="preserve">We have also examined estimates from broker reports of the spread between debt and equity risk premiums for comparable businesses (see </w:t>
      </w:r>
      <w:r w:rsidRPr="008F4F73">
        <w:fldChar w:fldCharType="begin"/>
      </w:r>
      <w:r w:rsidRPr="008F4F73">
        <w:instrText xml:space="preserve"> REF _Ref444730279 \h </w:instrText>
      </w:r>
      <w:r w:rsidRPr="008F4F73">
        <w:fldChar w:fldCharType="separate"/>
      </w:r>
      <w:r w:rsidR="000230CB" w:rsidRPr="008F4F73">
        <w:t xml:space="preserve">Figure </w:t>
      </w:r>
      <w:r w:rsidR="000230CB">
        <w:rPr>
          <w:noProof/>
        </w:rPr>
        <w:t>3</w:t>
      </w:r>
      <w:r w:rsidR="000230CB">
        <w:noBreakHyphen/>
      </w:r>
      <w:r w:rsidR="000230CB">
        <w:rPr>
          <w:noProof/>
        </w:rPr>
        <w:t>12</w:t>
      </w:r>
      <w:r w:rsidRPr="008F4F73">
        <w:fldChar w:fldCharType="end"/>
      </w:r>
      <w:r w:rsidRPr="008F4F73">
        <w:t>). However, we note that the variance</w:t>
      </w:r>
      <w:r w:rsidRPr="008F4F73" w:rsidDel="002521C4">
        <w:t xml:space="preserve"> </w:t>
      </w:r>
      <w:r w:rsidRPr="008F4F73">
        <w:t>in the most recent broker estimates has increased. We consider that this data does not provide a clear indication of brokers' views on recent movements in risk premiums.</w:t>
      </w:r>
    </w:p>
    <w:p w:rsidR="008F4F73" w:rsidRPr="008F4F73" w:rsidRDefault="008F4F73" w:rsidP="008F4F73">
      <w:pPr>
        <w:pStyle w:val="Caption"/>
      </w:pPr>
      <w:bookmarkStart w:id="196" w:name="_Ref444730279"/>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12</w:t>
      </w:r>
      <w:r w:rsidR="00527450">
        <w:rPr>
          <w:noProof/>
        </w:rPr>
        <w:fldChar w:fldCharType="end"/>
      </w:r>
      <w:bookmarkEnd w:id="196"/>
      <w:r w:rsidRPr="008F4F73">
        <w:tab/>
        <w:t>Difference between equity and debt premiums in broker reports</w:t>
      </w:r>
    </w:p>
    <w:p w:rsidR="008F4F73" w:rsidRPr="008F4F73" w:rsidRDefault="0068661A" w:rsidP="008F4F73">
      <w:r w:rsidRPr="0068661A">
        <w:rPr>
          <w:noProof/>
          <w:lang w:eastAsia="en-AU"/>
        </w:rPr>
        <w:drawing>
          <wp:inline distT="0" distB="0" distL="0" distR="0" wp14:anchorId="39E121BC" wp14:editId="0CD80DB4">
            <wp:extent cx="5369560" cy="42849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560" cy="4284980"/>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AER analysis of various relevant broker reports, RBA and Bloomberg data.</w:t>
      </w:r>
    </w:p>
    <w:p w:rsidR="008F4F73" w:rsidRPr="008F4F73" w:rsidRDefault="008F4F73" w:rsidP="008F4F73">
      <w:pPr>
        <w:pStyle w:val="AERtablesource"/>
      </w:pPr>
      <w:r w:rsidRPr="008F4F73">
        <w:t xml:space="preserve">Notes: </w:t>
      </w:r>
      <w:r w:rsidRPr="008F4F73">
        <w:tab/>
        <w:t xml:space="preserve">The broker estimate of the difference between equity and debt risk premium is calculated by deducting brokers' debt risk premium from their equity risk premium. </w:t>
      </w:r>
    </w:p>
    <w:p w:rsidR="00515964" w:rsidRDefault="008F4F73" w:rsidP="008F4F73">
      <w:r w:rsidRPr="008F4F73">
        <w:t>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w:t>
      </w:r>
    </w:p>
    <w:p w:rsidR="00515964" w:rsidRDefault="00515964" w:rsidP="00515964"/>
    <w:p w:rsidR="00734DBF" w:rsidRDefault="00734DBF" w:rsidP="00734DBF">
      <w:pPr>
        <w:pStyle w:val="Heading7"/>
      </w:pPr>
      <w:bookmarkStart w:id="197" w:name="_Toc451943805"/>
      <w:r>
        <w:t>Other practitioner's return on equity estimates</w:t>
      </w:r>
      <w:bookmarkEnd w:id="197"/>
    </w:p>
    <w:p w:rsidR="008F4F73" w:rsidRPr="008F4F73" w:rsidRDefault="008F4F73" w:rsidP="008F4F73">
      <w:pPr>
        <w:numPr>
          <w:ilvl w:val="0"/>
          <w:numId w:val="24"/>
        </w:numPr>
      </w:pPr>
      <w:r w:rsidRPr="008F4F73">
        <w:t xml:space="preserve">Other market practitioners may, in the course of their operations, produce return on equity estimates for entities with a similar degree of risk as </w:t>
      </w:r>
      <w:r w:rsidR="00D33284" w:rsidRPr="00D33284">
        <w:t>AGN</w:t>
      </w:r>
      <w:r w:rsidR="00D33284" w:rsidRPr="00D33284" w:rsidDel="003203B3">
        <w:t xml:space="preserve"> </w:t>
      </w:r>
      <w:r w:rsidRPr="008F4F73">
        <w:t xml:space="preserve">. Other practitioners may also produce estimates of input parameters required in the Sharpe-Lintner CAPM (our foundation model). These estimates may be relevant material that can inform our return on equity estimation. </w:t>
      </w:r>
    </w:p>
    <w:p w:rsidR="008F4F73" w:rsidRPr="008F4F73" w:rsidRDefault="008F4F73" w:rsidP="008F4F73">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8F4F73" w:rsidRPr="008F4F73" w:rsidRDefault="008F4F73" w:rsidP="008F4F73">
      <w:r w:rsidRPr="008F4F73">
        <w:t xml:space="preserve">We have focused on return on equity estimates for companies with a similar degree of non-diversifiable risks as </w:t>
      </w:r>
      <w:r w:rsidR="00D33284" w:rsidRPr="00D33284">
        <w:t>AGN</w:t>
      </w:r>
      <w:r w:rsidR="00D33284" w:rsidRPr="00D33284" w:rsidDel="003203B3">
        <w:t xml:space="preserve"> </w:t>
      </w:r>
      <w:r w:rsidRPr="008F4F73">
        <w:t xml:space="preserve"> in providing regulated (reference)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D33284" w:rsidRPr="00D33284">
        <w:t>AGN</w:t>
      </w:r>
      <w:r w:rsidR="00D33284" w:rsidRPr="00D33284" w:rsidDel="003203B3">
        <w:t xml:space="preserve"> </w:t>
      </w:r>
      <w:r w:rsidRPr="008F4F73">
        <w:t>in relation to the provision of regulated services.</w:t>
      </w:r>
    </w:p>
    <w:p w:rsidR="008F4F73" w:rsidRPr="008F4F73" w:rsidRDefault="008F4F73" w:rsidP="008F4F73">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963"/>
      </w:r>
    </w:p>
    <w:p w:rsidR="00734DBF" w:rsidRDefault="00DA4F44" w:rsidP="008F4F73">
      <w:r>
        <w:t>Service providers</w:t>
      </w:r>
      <w:r w:rsidR="008F4F73" w:rsidRPr="008F4F73">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8F4F73" w:rsidRPr="008F4F73">
        <w:rPr>
          <w:rStyle w:val="FootnoteReference"/>
        </w:rPr>
        <w:footnoteReference w:id="964"/>
      </w:r>
      <w:r w:rsidR="008F4F73" w:rsidRPr="008F4F73">
        <w:t xml:space="preserve"> We note that some estimates from other market practitioners—including from survey respondents, brokers and valuers—may be affected to some extent by 'herding' behaviour.</w:t>
      </w:r>
      <w:r w:rsidR="008F4F73" w:rsidRPr="008F4F73">
        <w:rPr>
          <w:rStyle w:val="FootnoteReference"/>
        </w:rPr>
        <w:footnoteReference w:id="965"/>
      </w:r>
      <w:r w:rsidR="008F4F73" w:rsidRPr="008F4F73">
        <w:t xml:space="preserve"> We continue to consider that it is relevant for us to have some regard to these estimates, as long as we remain aware of their limitations.</w:t>
      </w:r>
    </w:p>
    <w:p w:rsidR="00734DBF" w:rsidRPr="00734DBF" w:rsidRDefault="00734DBF" w:rsidP="00734DBF">
      <w:pPr>
        <w:pStyle w:val="Heading8"/>
        <w:numPr>
          <w:ilvl w:val="1"/>
          <w:numId w:val="33"/>
        </w:numPr>
      </w:pPr>
      <w:bookmarkStart w:id="198" w:name="_Toc443923230"/>
      <w:bookmarkStart w:id="199" w:name="_Ref446272549"/>
      <w:bookmarkStart w:id="200" w:name="_Toc451943806"/>
      <w:r>
        <w:t>Prevailing estimates: surveys</w:t>
      </w:r>
      <w:bookmarkEnd w:id="198"/>
      <w:bookmarkEnd w:id="199"/>
      <w:bookmarkEnd w:id="200"/>
    </w:p>
    <w:p w:rsidR="00734DBF" w:rsidRPr="00954DE4" w:rsidRDefault="00734DBF" w:rsidP="00734DBF">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734DBF" w:rsidRPr="00954DE4" w:rsidRDefault="00734DBF" w:rsidP="00734DBF">
      <w:r>
        <w:fldChar w:fldCharType="begin"/>
      </w:r>
      <w:r>
        <w:instrText xml:space="preserve"> REF _Ref432620068 \h </w:instrText>
      </w:r>
      <w:r>
        <w:fldChar w:fldCharType="separate"/>
      </w:r>
      <w:r w:rsidR="000230CB">
        <w:t xml:space="preserve">Table </w:t>
      </w:r>
      <w:r w:rsidR="000230CB">
        <w:rPr>
          <w:noProof/>
        </w:rPr>
        <w:t>3</w:t>
      </w:r>
      <w:r w:rsidR="000230CB">
        <w:noBreakHyphen/>
      </w:r>
      <w:r w:rsidR="000230CB">
        <w:rPr>
          <w:noProof/>
        </w:rPr>
        <w:t>33</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734DBF" w:rsidRPr="006F371E" w:rsidRDefault="00734DBF" w:rsidP="00734DBF">
      <w:pPr>
        <w:pStyle w:val="Caption"/>
      </w:pPr>
      <w:bookmarkStart w:id="201" w:name="_Ref432620068"/>
      <w:r>
        <w:t xml:space="preserve">Table </w:t>
      </w:r>
      <w:r w:rsidRPr="009C3D39">
        <w:fldChar w:fldCharType="begin"/>
      </w:r>
      <w:r>
        <w:instrText xml:space="preserve"> STYLEREF 1 \s </w:instrText>
      </w:r>
      <w:r w:rsidRPr="009C3D39">
        <w:fldChar w:fldCharType="separate"/>
      </w:r>
      <w:r w:rsidR="000230CB">
        <w:rPr>
          <w:noProof/>
        </w:rPr>
        <w:t>3</w:t>
      </w:r>
      <w:r w:rsidRPr="009C3D39">
        <w:fldChar w:fldCharType="end"/>
      </w:r>
      <w:r>
        <w:noBreakHyphen/>
      </w:r>
      <w:r w:rsidRPr="009C3D39">
        <w:fldChar w:fldCharType="begin"/>
      </w:r>
      <w:r>
        <w:instrText xml:space="preserve"> SEQ Table \* ARABIC \s 1 </w:instrText>
      </w:r>
      <w:r w:rsidRPr="009C3D39">
        <w:fldChar w:fldCharType="separate"/>
      </w:r>
      <w:r w:rsidR="000230CB">
        <w:rPr>
          <w:noProof/>
        </w:rPr>
        <w:t>33</w:t>
      </w:r>
      <w:r w:rsidRPr="009C3D39">
        <w:fldChar w:fldCharType="end"/>
      </w:r>
      <w:bookmarkEnd w:id="201"/>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734DBF" w:rsidRPr="00EF7FC8" w:rsidTr="009A3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Survey</w:t>
            </w:r>
          </w:p>
        </w:tc>
        <w:tc>
          <w:tcPr>
            <w:tcW w:w="1890" w:type="dxa"/>
          </w:tcPr>
          <w:p w:rsidR="00734DBF" w:rsidRPr="00734DBF" w:rsidRDefault="00734DBF" w:rsidP="00BC70E6">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734DBF" w:rsidRPr="00734DBF" w:rsidRDefault="00734DBF" w:rsidP="00BC70E6">
            <w:pPr>
              <w:cnfStyle w:val="100000000000" w:firstRow="1" w:lastRow="0" w:firstColumn="0" w:lastColumn="0" w:oddVBand="0" w:evenVBand="0" w:oddHBand="0" w:evenHBand="0" w:firstRowFirstColumn="0" w:firstRowLastColumn="0" w:lastRowFirstColumn="0" w:lastRowLastColumn="0"/>
            </w:pPr>
            <w:r w:rsidRPr="00EF7FC8">
              <w:t>Mean</w:t>
            </w:r>
            <w:r w:rsidRPr="00734DBF">
              <w:t xml:space="preserve"> (%)</w:t>
            </w:r>
          </w:p>
        </w:tc>
        <w:tc>
          <w:tcPr>
            <w:tcW w:w="1355" w:type="dxa"/>
          </w:tcPr>
          <w:p w:rsidR="00734DBF" w:rsidRPr="00734DBF" w:rsidRDefault="00734DBF" w:rsidP="00BC70E6">
            <w:pPr>
              <w:cnfStyle w:val="100000000000" w:firstRow="1" w:lastRow="0" w:firstColumn="0" w:lastColumn="0" w:oddVBand="0" w:evenVBand="0" w:oddHBand="0" w:evenHBand="0" w:firstRowFirstColumn="0" w:firstRowLastColumn="0" w:lastRowFirstColumn="0" w:lastRowLastColumn="0"/>
            </w:pPr>
            <w:r w:rsidRPr="00EF7FC8">
              <w:t>Median</w:t>
            </w:r>
            <w:r w:rsidRPr="00734DBF">
              <w:t xml:space="preserve"> (%)</w:t>
            </w:r>
          </w:p>
        </w:tc>
        <w:tc>
          <w:tcPr>
            <w:tcW w:w="1388" w:type="dxa"/>
          </w:tcPr>
          <w:p w:rsidR="00734DBF" w:rsidRPr="00734DBF" w:rsidRDefault="00734DBF" w:rsidP="00BC70E6">
            <w:pPr>
              <w:cnfStyle w:val="100000000000" w:firstRow="1" w:lastRow="0" w:firstColumn="0" w:lastColumn="0" w:oddVBand="0" w:evenVBand="0" w:oddHBand="0" w:evenHBand="0" w:firstRowFirstColumn="0" w:firstRowLastColumn="0" w:lastRowFirstColumn="0" w:lastRowLastColumn="0"/>
            </w:pPr>
            <w:r w:rsidRPr="00EF7FC8">
              <w:t>Mode</w:t>
            </w:r>
            <w:r w:rsidRPr="00734DBF">
              <w:t xml:space="preserve"> (%)</w:t>
            </w:r>
          </w:p>
        </w:tc>
      </w:tr>
      <w:tr w:rsidR="00734DBF" w:rsidRPr="00EF7FC8" w:rsidTr="009A39AD">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rsidRPr="00EF7FC8">
              <w:t>Fernandez</w:t>
            </w:r>
            <w:r w:rsidRPr="00734DBF">
              <w:t xml:space="preserve"> et al (2013)</w:t>
            </w:r>
          </w:p>
        </w:tc>
        <w:tc>
          <w:tcPr>
            <w:tcW w:w="1890"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N/A</w:t>
            </w:r>
          </w:p>
        </w:tc>
      </w:tr>
      <w:tr w:rsidR="00734DBF" w:rsidRPr="00EF7FC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rsidRPr="00EF7FC8">
              <w:t>KPMG (2013)</w:t>
            </w:r>
            <w:r w:rsidRPr="00734DBF">
              <w:rPr>
                <w:rStyle w:val="AERsuperscript"/>
              </w:rPr>
              <w:t>a</w:t>
            </w:r>
          </w:p>
        </w:tc>
        <w:tc>
          <w:tcPr>
            <w:tcW w:w="1890"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6.0</w:t>
            </w:r>
          </w:p>
        </w:tc>
      </w:tr>
      <w:tr w:rsidR="00734DBF" w:rsidRPr="00EF7FC8" w:rsidTr="009A39AD">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rsidRPr="00EF7FC8">
              <w:t>Fernandez et al (2013)</w:t>
            </w:r>
          </w:p>
        </w:tc>
        <w:tc>
          <w:tcPr>
            <w:tcW w:w="1890"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rsidRPr="00EF7FC8">
              <w:t>N/A</w:t>
            </w:r>
          </w:p>
        </w:tc>
      </w:tr>
      <w:tr w:rsidR="00734DBF" w:rsidRPr="00EF7FC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Asher and Hickling (2013)</w:t>
            </w:r>
          </w:p>
        </w:tc>
        <w:tc>
          <w:tcPr>
            <w:tcW w:w="1890"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6.0</w:t>
            </w:r>
          </w:p>
        </w:tc>
      </w:tr>
      <w:tr w:rsidR="00734DBF" w:rsidRPr="00EF7FC8" w:rsidTr="009A39AD">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 xml:space="preserve">Fernandez </w:t>
            </w:r>
            <w:r w:rsidRPr="00734DBF">
              <w:t>et al (2014)</w:t>
            </w:r>
            <w:r w:rsidRPr="00734DBF">
              <w:rPr>
                <w:rStyle w:val="AERsuperscript"/>
              </w:rPr>
              <w:t xml:space="preserve"> b</w:t>
            </w:r>
          </w:p>
        </w:tc>
        <w:tc>
          <w:tcPr>
            <w:tcW w:w="1890"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N/A</w:t>
            </w:r>
          </w:p>
        </w:tc>
      </w:tr>
      <w:tr w:rsidR="00734DBF" w:rsidRPr="00EF7FC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Asher and Hickling (2015)</w:t>
            </w:r>
            <w:r w:rsidRPr="00734DBF">
              <w:rPr>
                <w:rStyle w:val="AERsuperscript"/>
              </w:rPr>
              <w:t xml:space="preserve"> c</w:t>
            </w:r>
          </w:p>
        </w:tc>
        <w:tc>
          <w:tcPr>
            <w:tcW w:w="1890"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6.0</w:t>
            </w:r>
          </w:p>
        </w:tc>
      </w:tr>
      <w:tr w:rsidR="00734DBF" w:rsidRPr="00EF7FC8" w:rsidTr="009A39AD">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Fernandez et al (2015</w:t>
            </w:r>
            <w:r w:rsidRPr="00734DBF">
              <w:t>)</w:t>
            </w:r>
          </w:p>
        </w:tc>
        <w:tc>
          <w:tcPr>
            <w:tcW w:w="1890"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734DBF" w:rsidRPr="00734DBF" w:rsidRDefault="00734DBF" w:rsidP="00BC70E6">
            <w:pPr>
              <w:cnfStyle w:val="000000000000" w:firstRow="0" w:lastRow="0" w:firstColumn="0" w:lastColumn="0" w:oddVBand="0" w:evenVBand="0" w:oddHBand="0" w:evenHBand="0" w:firstRowFirstColumn="0" w:firstRowLastColumn="0" w:lastRowFirstColumn="0" w:lastRowLastColumn="0"/>
            </w:pPr>
            <w:r>
              <w:t>N/A</w:t>
            </w:r>
          </w:p>
        </w:tc>
      </w:tr>
      <w:tr w:rsidR="00734DBF" w:rsidRPr="00EF7FC8"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34DBF" w:rsidRPr="00734DBF" w:rsidRDefault="00734DBF" w:rsidP="00BC70E6">
            <w:r>
              <w:t>KPMG (2015)</w:t>
            </w:r>
            <w:r w:rsidRPr="00734DBF">
              <w:rPr>
                <w:rStyle w:val="AERsuperscript"/>
              </w:rPr>
              <w:t xml:space="preserve"> d</w:t>
            </w:r>
          </w:p>
        </w:tc>
        <w:tc>
          <w:tcPr>
            <w:tcW w:w="1890"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734DBF" w:rsidRPr="00734DBF" w:rsidRDefault="00734DBF" w:rsidP="00BC70E6">
            <w:pPr>
              <w:cnfStyle w:val="000000010000" w:firstRow="0" w:lastRow="0" w:firstColumn="0" w:lastColumn="0" w:oddVBand="0" w:evenVBand="0" w:oddHBand="0" w:evenHBand="1" w:firstRowFirstColumn="0" w:firstRowLastColumn="0" w:lastRowFirstColumn="0" w:lastRowLastColumn="0"/>
            </w:pPr>
            <w:r>
              <w:t>6.0</w:t>
            </w:r>
          </w:p>
        </w:tc>
      </w:tr>
    </w:tbl>
    <w:p w:rsidR="00734DBF" w:rsidRDefault="00734DBF" w:rsidP="00734DBF">
      <w:pPr>
        <w:pStyle w:val="AERtablesource"/>
      </w:pPr>
      <w:r>
        <w:t>Sources:  Several survey reports.</w:t>
      </w:r>
      <w:r>
        <w:rPr>
          <w:rStyle w:val="FootnoteReference"/>
        </w:rPr>
        <w:footnoteReference w:id="966"/>
      </w:r>
    </w:p>
    <w:p w:rsidR="00734DBF" w:rsidRDefault="00734DBF" w:rsidP="00734DBF">
      <w:pPr>
        <w:pStyle w:val="AERtablesource"/>
      </w:pPr>
      <w:r w:rsidRPr="003723C8">
        <w:t xml:space="preserve">Notes: </w:t>
      </w:r>
      <w:r w:rsidRPr="003723C8">
        <w:tab/>
      </w:r>
      <w:r>
        <w:t>a) While this survey had 23 market participants, 19 specified what market risk premium they used.</w:t>
      </w:r>
    </w:p>
    <w:p w:rsidR="00734DBF" w:rsidRDefault="00734DBF" w:rsidP="00734DBF">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734DBF" w:rsidRDefault="00734DBF" w:rsidP="00734DBF">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734DBF" w:rsidRPr="00B74249" w:rsidRDefault="00734DBF" w:rsidP="00734DBF">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734DBF" w:rsidRDefault="00734DBF" w:rsidP="00734DBF">
      <w:pPr>
        <w:rPr>
          <w:rStyle w:val="AERbody"/>
        </w:rPr>
      </w:pPr>
      <w:r>
        <w:rPr>
          <w:rStyle w:val="AERbody"/>
        </w:rPr>
        <w:t>Several factors should be considered when examining survey evidence:</w:t>
      </w:r>
      <w:r>
        <w:rPr>
          <w:rStyle w:val="FootnoteReference"/>
        </w:rPr>
        <w:footnoteReference w:id="967"/>
      </w:r>
    </w:p>
    <w:p w:rsidR="00734DBF" w:rsidRPr="00734DBF" w:rsidRDefault="00734DBF" w:rsidP="00734DBF">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734DBF">
        <w:rPr>
          <w:rStyle w:val="FootnoteReference"/>
        </w:rPr>
        <w:footnoteReference w:id="968"/>
      </w:r>
      <w:r w:rsidRPr="00734DBF">
        <w:t xml:space="preserve">  </w:t>
      </w:r>
    </w:p>
    <w:p w:rsidR="00734DBF" w:rsidRPr="00734DBF" w:rsidRDefault="00734DBF" w:rsidP="00734DBF">
      <w:pPr>
        <w:pStyle w:val="AERbulletlistfirststyle"/>
      </w:pPr>
      <w:r>
        <w:t>Sample of respondents—f</w:t>
      </w:r>
      <w:r w:rsidRPr="00734DBF">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734DBF">
        <w:rPr>
          <w:rStyle w:val="FootnoteReference"/>
        </w:rPr>
        <w:footnoteReference w:id="969"/>
      </w:r>
    </w:p>
    <w:p w:rsidR="00734DBF" w:rsidRPr="00734DBF" w:rsidRDefault="00734DBF" w:rsidP="00734DBF">
      <w:pPr>
        <w:pStyle w:val="AERbulletlistfirststyle"/>
      </w:pPr>
      <w:r>
        <w:t xml:space="preserve">Wording of survey questionnaires—we consider the </w:t>
      </w:r>
      <w:r w:rsidRPr="00734DBF">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734DBF" w:rsidRPr="00734DBF" w:rsidRDefault="00734DBF" w:rsidP="00734DBF">
      <w:pPr>
        <w:pStyle w:val="AERbulletlistfirststyle"/>
      </w:pPr>
      <w:r>
        <w:t>Survey response rate and non-response bias—</w:t>
      </w:r>
      <w:r w:rsidRPr="00734DBF">
        <w:t>McKenzie and Partington suggested a sample size of more than 30 is sufficiently large statistically so a representative sample of 30 respondents is expected to be adequate.</w:t>
      </w:r>
      <w:r w:rsidRPr="00734DBF">
        <w:rPr>
          <w:rStyle w:val="FootnoteReference"/>
        </w:rPr>
        <w:footnoteReference w:id="970"/>
      </w:r>
      <w:r w:rsidRPr="00734DBF">
        <w:t xml:space="preserve"> </w:t>
      </w:r>
    </w:p>
    <w:p w:rsidR="00734DBF" w:rsidRDefault="00734DBF" w:rsidP="00734DBF">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0230CB">
        <w:t xml:space="preserve">Table </w:t>
      </w:r>
      <w:r w:rsidR="000230CB">
        <w:rPr>
          <w:noProof/>
        </w:rPr>
        <w:t>3</w:t>
      </w:r>
      <w:r w:rsidR="000230CB">
        <w:noBreakHyphen/>
      </w:r>
      <w:r w:rsidR="000230CB">
        <w:rPr>
          <w:noProof/>
        </w:rPr>
        <w:t>33</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71"/>
      </w:r>
      <w:r>
        <w:t xml:space="preserve"> </w:t>
      </w:r>
    </w:p>
    <w:p w:rsidR="00734DBF" w:rsidRPr="00C852A1" w:rsidRDefault="00734DBF" w:rsidP="00734DBF">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72"/>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734DBF" w:rsidRDefault="00734DBF" w:rsidP="00734DBF">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73"/>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8F4F73" w:rsidRPr="008F4F73" w:rsidRDefault="008F4F73" w:rsidP="008F4F73">
      <w:pPr>
        <w:pStyle w:val="Heading8"/>
      </w:pPr>
      <w:bookmarkStart w:id="202" w:name="_Ref445898024"/>
      <w:bookmarkStart w:id="203" w:name="_Toc451943807"/>
      <w:r w:rsidRPr="008F4F73">
        <w:t>Prevailing estimates: broker reports</w:t>
      </w:r>
      <w:bookmarkEnd w:id="202"/>
      <w:bookmarkEnd w:id="203"/>
    </w:p>
    <w:p w:rsidR="008F4F73" w:rsidRPr="008F4F73" w:rsidRDefault="008F4F73" w:rsidP="008F4F73">
      <w:pPr>
        <w:numPr>
          <w:ilvl w:val="0"/>
          <w:numId w:val="24"/>
        </w:numPr>
        <w:rPr>
          <w:rStyle w:val="AERtextblue"/>
        </w:rPr>
      </w:pPr>
      <w:r w:rsidRPr="008F4F73">
        <w:fldChar w:fldCharType="begin"/>
      </w:r>
      <w:r w:rsidRPr="008F4F73">
        <w:instrText xml:space="preserve"> REF _Ref443644282 \h </w:instrText>
      </w:r>
      <w:r w:rsidRPr="008F4F73">
        <w:fldChar w:fldCharType="separate"/>
      </w:r>
      <w:r w:rsidR="000230CB" w:rsidRPr="008F4F73">
        <w:t xml:space="preserve">Table </w:t>
      </w:r>
      <w:r w:rsidR="000230CB">
        <w:rPr>
          <w:noProof/>
        </w:rPr>
        <w:t>3</w:t>
      </w:r>
      <w:r w:rsidR="000230CB" w:rsidRPr="008F4F73">
        <w:noBreakHyphen/>
      </w:r>
      <w:r w:rsidR="000230CB">
        <w:rPr>
          <w:noProof/>
        </w:rPr>
        <w:t>34</w:t>
      </w:r>
      <w:r w:rsidRPr="008F4F73">
        <w:fldChar w:fldCharType="end"/>
      </w:r>
      <w:r w:rsidRPr="008F4F73">
        <w:t xml:space="preserve"> shows the estimates of return on equity and premium above the risk free rate contained in broker reports which we have examined since our </w:t>
      </w:r>
      <w:r w:rsidR="00A02C23">
        <w:t>draft</w:t>
      </w:r>
      <w:r w:rsidRPr="008F4F73">
        <w:t xml:space="preserve"> decision.</w:t>
      </w:r>
      <w:r w:rsidRPr="008F4F73">
        <w:rPr>
          <w:rStyle w:val="FootnoteReference"/>
        </w:rPr>
        <w:footnoteReference w:id="974"/>
      </w:r>
      <w:r w:rsidRPr="008F4F73">
        <w:t xml:space="preserve"> </w:t>
      </w:r>
    </w:p>
    <w:p w:rsidR="008F4F73" w:rsidRPr="008F4F73" w:rsidRDefault="008F4F73" w:rsidP="008F4F73">
      <w:pPr>
        <w:pStyle w:val="Caption"/>
        <w:numPr>
          <w:ilvl w:val="0"/>
          <w:numId w:val="24"/>
        </w:numPr>
      </w:pPr>
      <w:bookmarkStart w:id="204" w:name="_Ref443644282"/>
      <w:r w:rsidRPr="008F4F73">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Pr="008F4F73">
        <w:noBreakHyphen/>
      </w:r>
      <w:r w:rsidR="00527450">
        <w:fldChar w:fldCharType="begin"/>
      </w:r>
      <w:r w:rsidR="00527450">
        <w:instrText xml:space="preserve"> SEQ Table \* ARABIC \s 1 </w:instrText>
      </w:r>
      <w:r w:rsidR="00527450">
        <w:fldChar w:fldCharType="separate"/>
      </w:r>
      <w:r w:rsidR="000230CB">
        <w:rPr>
          <w:noProof/>
        </w:rPr>
        <w:t>34</w:t>
      </w:r>
      <w:r w:rsidR="00527450">
        <w:rPr>
          <w:noProof/>
        </w:rPr>
        <w:fldChar w:fldCharType="end"/>
      </w:r>
      <w:bookmarkEnd w:id="204"/>
      <w:r w:rsidRPr="008F4F73">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8F4F73" w:rsidTr="00987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F4F73" w:rsidRPr="008F4F73" w:rsidRDefault="008F4F73" w:rsidP="00BC70E6"/>
        </w:tc>
        <w:tc>
          <w:tcPr>
            <w:tcW w:w="1275" w:type="dxa"/>
          </w:tcPr>
          <w:p w:rsidR="008F4F73" w:rsidRPr="008F4F73" w:rsidRDefault="008F4F73" w:rsidP="00BC70E6">
            <w:pPr>
              <w:cnfStyle w:val="100000000000" w:firstRow="1" w:lastRow="0" w:firstColumn="0" w:lastColumn="0" w:oddVBand="0" w:evenVBand="0" w:oddHBand="0" w:evenHBand="0" w:firstRowFirstColumn="0" w:firstRowLastColumn="0" w:lastRowFirstColumn="0" w:lastRowLastColumn="0"/>
            </w:pPr>
          </w:p>
        </w:tc>
        <w:tc>
          <w:tcPr>
            <w:tcW w:w="1418" w:type="dxa"/>
          </w:tcPr>
          <w:p w:rsidR="008F4F73" w:rsidRPr="008F4F73" w:rsidRDefault="008F4F73" w:rsidP="00BC70E6">
            <w:pPr>
              <w:cnfStyle w:val="100000000000" w:firstRow="1" w:lastRow="0" w:firstColumn="0" w:lastColumn="0" w:oddVBand="0" w:evenVBand="0" w:oddHBand="0" w:evenHBand="0" w:firstRowFirstColumn="0" w:firstRowLastColumn="0" w:lastRowFirstColumn="0" w:lastRowLastColumn="0"/>
            </w:pPr>
            <w:r w:rsidRPr="008F4F73">
              <w:t>Return on equity</w:t>
            </w:r>
          </w:p>
        </w:tc>
        <w:tc>
          <w:tcPr>
            <w:tcW w:w="1497" w:type="dxa"/>
          </w:tcPr>
          <w:p w:rsidR="008F4F73" w:rsidRPr="008F4F73" w:rsidRDefault="008F4F73" w:rsidP="00BC70E6">
            <w:pPr>
              <w:cnfStyle w:val="100000000000" w:firstRow="1" w:lastRow="0" w:firstColumn="0" w:lastColumn="0" w:oddVBand="0" w:evenVBand="0" w:oddHBand="0" w:evenHBand="0" w:firstRowFirstColumn="0" w:firstRowLastColumn="0" w:lastRowFirstColumn="0" w:lastRowLastColumn="0"/>
            </w:pPr>
            <w:r w:rsidRPr="008F4F73">
              <w:t>Equity risk premium</w:t>
            </w:r>
          </w:p>
        </w:tc>
      </w:tr>
      <w:tr w:rsidR="008F4F73" w:rsidTr="00987A05">
        <w:tc>
          <w:tcPr>
            <w:cnfStyle w:val="001000000000" w:firstRow="0" w:lastRow="0" w:firstColumn="1" w:lastColumn="0" w:oddVBand="0" w:evenVBand="0" w:oddHBand="0" w:evenHBand="0" w:firstRowFirstColumn="0" w:firstRowLastColumn="0" w:lastRowFirstColumn="0" w:lastRowLastColumn="0"/>
            <w:tcW w:w="4503" w:type="dxa"/>
          </w:tcPr>
          <w:p w:rsidR="008F4F73" w:rsidRPr="008F4F73" w:rsidRDefault="008F4F73" w:rsidP="00BC70E6">
            <w:r w:rsidRPr="008F4F73">
              <w:t>Broker estimate—no imputation adjustment</w:t>
            </w:r>
          </w:p>
        </w:tc>
        <w:tc>
          <w:tcPr>
            <w:tcW w:w="1275"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Minimum</w:t>
            </w:r>
          </w:p>
        </w:tc>
        <w:tc>
          <w:tcPr>
            <w:tcW w:w="1418"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6.4</w:t>
            </w:r>
          </w:p>
        </w:tc>
        <w:tc>
          <w:tcPr>
            <w:tcW w:w="1497"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3.7</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F4F73" w:rsidRPr="008F4F73" w:rsidRDefault="008F4F73" w:rsidP="00BC70E6">
            <w:r w:rsidRPr="008F4F73">
              <w:t>Broker estimate—no imputation adjustment</w:t>
            </w:r>
          </w:p>
        </w:tc>
        <w:tc>
          <w:tcPr>
            <w:tcW w:w="1275" w:type="dxa"/>
          </w:tcPr>
          <w:p w:rsidR="008F4F73" w:rsidRPr="008F4F73" w:rsidRDefault="008F4F73" w:rsidP="00BC70E6">
            <w:pPr>
              <w:cnfStyle w:val="000000010000" w:firstRow="0" w:lastRow="0" w:firstColumn="0" w:lastColumn="0" w:oddVBand="0" w:evenVBand="0" w:oddHBand="0" w:evenHBand="1" w:firstRowFirstColumn="0" w:firstRowLastColumn="0" w:lastRowFirstColumn="0" w:lastRowLastColumn="0"/>
            </w:pPr>
            <w:r w:rsidRPr="008F4F73">
              <w:t>Maximum</w:t>
            </w:r>
          </w:p>
        </w:tc>
        <w:tc>
          <w:tcPr>
            <w:tcW w:w="1418" w:type="dxa"/>
          </w:tcPr>
          <w:p w:rsidR="008F4F73" w:rsidRPr="008F4F73" w:rsidRDefault="00595436" w:rsidP="00BC70E6">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8F4F73" w:rsidRPr="008F4F73" w:rsidRDefault="008F4F73" w:rsidP="00BC70E6">
            <w:pPr>
              <w:cnfStyle w:val="000000010000" w:firstRow="0" w:lastRow="0" w:firstColumn="0" w:lastColumn="0" w:oddVBand="0" w:evenVBand="0" w:oddHBand="0" w:evenHBand="1" w:firstRowFirstColumn="0" w:firstRowLastColumn="0" w:lastRowFirstColumn="0" w:lastRowLastColumn="0"/>
            </w:pPr>
            <w:r w:rsidRPr="008F4F73">
              <w:t>6.5</w:t>
            </w:r>
          </w:p>
        </w:tc>
      </w:tr>
      <w:tr w:rsidR="008F4F73" w:rsidTr="00987A05">
        <w:tc>
          <w:tcPr>
            <w:cnfStyle w:val="001000000000" w:firstRow="0" w:lastRow="0" w:firstColumn="1" w:lastColumn="0" w:oddVBand="0" w:evenVBand="0" w:oddHBand="0" w:evenHBand="0" w:firstRowFirstColumn="0" w:firstRowLastColumn="0" w:lastRowFirstColumn="0" w:lastRowLastColumn="0"/>
            <w:tcW w:w="4503" w:type="dxa"/>
          </w:tcPr>
          <w:p w:rsidR="008F4F73" w:rsidRPr="008F4F73" w:rsidRDefault="008F4F73" w:rsidP="00BC70E6">
            <w:r w:rsidRPr="008F4F73">
              <w:t>Broker estimate—adjusted for imputation</w:t>
            </w:r>
          </w:p>
        </w:tc>
        <w:tc>
          <w:tcPr>
            <w:tcW w:w="1275"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Minimum</w:t>
            </w:r>
          </w:p>
        </w:tc>
        <w:tc>
          <w:tcPr>
            <w:tcW w:w="1418"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6.9</w:t>
            </w:r>
          </w:p>
        </w:tc>
        <w:tc>
          <w:tcPr>
            <w:tcW w:w="1497" w:type="dxa"/>
          </w:tcPr>
          <w:p w:rsidR="008F4F73" w:rsidRPr="008F4F73" w:rsidRDefault="008F4F73" w:rsidP="00BC70E6">
            <w:pPr>
              <w:cnfStyle w:val="000000000000" w:firstRow="0" w:lastRow="0" w:firstColumn="0" w:lastColumn="0" w:oddVBand="0" w:evenVBand="0" w:oddHBand="0" w:evenHBand="0" w:firstRowFirstColumn="0" w:firstRowLastColumn="0" w:lastRowFirstColumn="0" w:lastRowLastColumn="0"/>
            </w:pPr>
            <w:r w:rsidRPr="008F4F73">
              <w:t>4.2</w:t>
            </w:r>
          </w:p>
        </w:tc>
      </w:tr>
      <w:tr w:rsidR="008F4F73" w:rsidTr="00987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8F4F73" w:rsidRPr="008F4F73" w:rsidRDefault="008F4F73" w:rsidP="00BC70E6">
            <w:r w:rsidRPr="008F4F73">
              <w:t>Broker estimate—adjusted for imputation</w:t>
            </w:r>
          </w:p>
        </w:tc>
        <w:tc>
          <w:tcPr>
            <w:tcW w:w="1275" w:type="dxa"/>
          </w:tcPr>
          <w:p w:rsidR="008F4F73" w:rsidRPr="008F4F73" w:rsidRDefault="008F4F73" w:rsidP="00BC70E6">
            <w:pPr>
              <w:cnfStyle w:val="000000010000" w:firstRow="0" w:lastRow="0" w:firstColumn="0" w:lastColumn="0" w:oddVBand="0" w:evenVBand="0" w:oddHBand="0" w:evenHBand="1" w:firstRowFirstColumn="0" w:firstRowLastColumn="0" w:lastRowFirstColumn="0" w:lastRowLastColumn="0"/>
            </w:pPr>
            <w:r w:rsidRPr="008F4F73">
              <w:t>Maximum</w:t>
            </w:r>
          </w:p>
        </w:tc>
        <w:tc>
          <w:tcPr>
            <w:tcW w:w="1418" w:type="dxa"/>
          </w:tcPr>
          <w:p w:rsidR="008F4F73" w:rsidRPr="008F4F73" w:rsidRDefault="00595436" w:rsidP="00BC70E6">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8F4F73" w:rsidRPr="008F4F73" w:rsidRDefault="008F4F73" w:rsidP="00BC70E6">
            <w:pPr>
              <w:cnfStyle w:val="000000010000" w:firstRow="0" w:lastRow="0" w:firstColumn="0" w:lastColumn="0" w:oddVBand="0" w:evenVBand="0" w:oddHBand="0" w:evenHBand="1" w:firstRowFirstColumn="0" w:firstRowLastColumn="0" w:lastRowFirstColumn="0" w:lastRowLastColumn="0"/>
            </w:pPr>
            <w:r w:rsidRPr="008F4F73">
              <w:t>7.</w:t>
            </w:r>
            <w:r w:rsidR="00595436">
              <w:t>1</w:t>
            </w:r>
          </w:p>
        </w:tc>
      </w:tr>
    </w:tbl>
    <w:p w:rsidR="008F4F73" w:rsidRPr="008F4F73" w:rsidRDefault="008F4F73" w:rsidP="008F4F73">
      <w:pPr>
        <w:pStyle w:val="AERtablesource"/>
        <w:numPr>
          <w:ilvl w:val="0"/>
          <w:numId w:val="24"/>
        </w:numPr>
      </w:pPr>
      <w:r w:rsidRPr="008F4F73">
        <w:t>Source:</w:t>
      </w:r>
      <w:r w:rsidRPr="008F4F73">
        <w:tab/>
        <w:t>AER analysis of broker reports, dated 7 September 2015 to March 2016 by Credit Suisse, JP Morgan, Morgan Stanley, and Macquarie Bank that include a valuation for AusNet Services, Spark Infrastructure, APA Group, and/or DUET Group.</w:t>
      </w:r>
    </w:p>
    <w:p w:rsidR="008F4F73" w:rsidRPr="008F4F73" w:rsidRDefault="008F4F73" w:rsidP="008F4F73">
      <w:r w:rsidRPr="008F4F73">
        <w:t xml:space="preserve">The equity risk premium from the AER's foundation model of 4.55 per cent is within the range of premiums recently estimated by brokers, even when these estimates are adjusted for imputation.  </w:t>
      </w:r>
      <w:r w:rsidR="00D33284" w:rsidRPr="00D33284">
        <w:t>AGN</w:t>
      </w:r>
      <w:r w:rsidRPr="008F4F73">
        <w:t>'s proposed equity risk premium of 7.</w:t>
      </w:r>
      <w:r w:rsidR="00155B89">
        <w:t>14</w:t>
      </w:r>
      <w:r w:rsidRPr="008F4F73">
        <w:t xml:space="preserve"> per cent is </w:t>
      </w:r>
      <w:r w:rsidR="00155B89">
        <w:t>at the upper bound of</w:t>
      </w:r>
      <w:r w:rsidRPr="008F4F73">
        <w:t xml:space="preserve"> the range of premiums recently estimated by brokers. </w:t>
      </w:r>
    </w:p>
    <w:p w:rsidR="008F4F73" w:rsidRPr="008F4F73" w:rsidRDefault="008F4F73" w:rsidP="008F4F73">
      <w:r w:rsidRPr="008F4F73">
        <w:t xml:space="preserve">Directionally, as shown in </w:t>
      </w:r>
      <w:r w:rsidRPr="008F4F73">
        <w:fldChar w:fldCharType="begin"/>
      </w:r>
      <w:r w:rsidRPr="008F4F73">
        <w:instrText xml:space="preserve"> REF _Ref444708458 \h </w:instrText>
      </w:r>
      <w:r w:rsidRPr="008F4F73">
        <w:fldChar w:fldCharType="separate"/>
      </w:r>
      <w:r w:rsidR="000230CB" w:rsidRPr="008F4F73">
        <w:t xml:space="preserve">Figure </w:t>
      </w:r>
      <w:r w:rsidR="000230CB">
        <w:rPr>
          <w:noProof/>
        </w:rPr>
        <w:t>3</w:t>
      </w:r>
      <w:r w:rsidR="000230CB">
        <w:noBreakHyphen/>
      </w:r>
      <w:r w:rsidR="000230CB">
        <w:rPr>
          <w:noProof/>
        </w:rPr>
        <w:t>13</w:t>
      </w:r>
      <w:r w:rsidRPr="008F4F73">
        <w:fldChar w:fldCharType="end"/>
      </w:r>
      <w:r w:rsidRPr="008F4F73">
        <w:t xml:space="preserve">, it appears that both the lower and upper bounds of equity risk premium estimates from broker reports have risen since our review in our </w:t>
      </w:r>
      <w:r w:rsidR="00A02C23">
        <w:t>November</w:t>
      </w:r>
      <w:r w:rsidRPr="008F4F73">
        <w:t xml:space="preserve"> 2015 </w:t>
      </w:r>
      <w:r w:rsidR="00A02C23">
        <w:t>draft</w:t>
      </w:r>
      <w:r w:rsidRPr="008F4F73">
        <w:t xml:space="preserve"> decision.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8F4F73" w:rsidRPr="008F4F73" w:rsidRDefault="008F4F73" w:rsidP="008F4F73">
      <w:pPr>
        <w:pStyle w:val="Caption"/>
        <w:numPr>
          <w:ilvl w:val="0"/>
          <w:numId w:val="24"/>
        </w:numPr>
      </w:pPr>
      <w:bookmarkStart w:id="205" w:name="_Ref444708458"/>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13</w:t>
      </w:r>
      <w:r w:rsidR="00527450">
        <w:rPr>
          <w:noProof/>
        </w:rPr>
        <w:fldChar w:fldCharType="end"/>
      </w:r>
      <w:bookmarkEnd w:id="205"/>
      <w:r w:rsidRPr="008F4F73">
        <w:tab/>
        <w:t>Equity risk premium estimates from broker reports</w:t>
      </w:r>
    </w:p>
    <w:p w:rsidR="008F4F73" w:rsidRPr="008F4F73" w:rsidRDefault="0068661A" w:rsidP="008F4F73">
      <w:pPr>
        <w:rPr>
          <w:rStyle w:val="AERtextblue"/>
        </w:rPr>
      </w:pPr>
      <w:r w:rsidRPr="0068661A">
        <w:rPr>
          <w:noProof/>
          <w:lang w:eastAsia="en-AU"/>
        </w:rPr>
        <w:drawing>
          <wp:inline distT="0" distB="0" distL="0" distR="0" wp14:anchorId="2242D9DB" wp14:editId="79AC60ED">
            <wp:extent cx="5369560" cy="43275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560" cy="4327525"/>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8F4F73" w:rsidRPr="008F4F73" w:rsidRDefault="008F4F73" w:rsidP="008F4F73">
      <w:pPr>
        <w:pStyle w:val="AERtablesource"/>
      </w:pPr>
      <w:bookmarkStart w:id="206" w:name="_Ref445926689"/>
      <w:r w:rsidRPr="008F4F73">
        <w:t>Notes:</w:t>
      </w:r>
      <w:r w:rsidRPr="008F4F73">
        <w:tab/>
        <w:t>Average broker ERP is the mean of estimates from all brokers and for all busin</w:t>
      </w:r>
      <w:r w:rsidR="00AE723D">
        <w:t>esses available at the time.</w:t>
      </w:r>
      <w:r w:rsidRPr="008F4F73">
        <w:t xml:space="preserve"> </w:t>
      </w:r>
    </w:p>
    <w:p w:rsidR="008F4F73" w:rsidRPr="008F4F73" w:rsidRDefault="008F4F73" w:rsidP="008F4F73">
      <w:pPr>
        <w:pStyle w:val="Heading8"/>
      </w:pPr>
      <w:bookmarkStart w:id="207" w:name="_Ref451416171"/>
      <w:bookmarkStart w:id="208" w:name="_Toc451943808"/>
      <w:r w:rsidRPr="008F4F73">
        <w:t>Prevailing estimates: valuation reports</w:t>
      </w:r>
      <w:bookmarkEnd w:id="206"/>
      <w:bookmarkEnd w:id="207"/>
      <w:bookmarkEnd w:id="208"/>
    </w:p>
    <w:p w:rsidR="008F4F73" w:rsidRPr="008F4F73" w:rsidRDefault="008F4F73" w:rsidP="008F4F73">
      <w:pPr>
        <w:numPr>
          <w:ilvl w:val="0"/>
          <w:numId w:val="24"/>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0230CB" w:rsidRPr="008F4F73">
        <w:t xml:space="preserve">Figure </w:t>
      </w:r>
      <w:r w:rsidR="000230CB">
        <w:rPr>
          <w:noProof/>
        </w:rPr>
        <w:t>3</w:t>
      </w:r>
      <w:r w:rsidR="000230CB">
        <w:noBreakHyphen/>
      </w:r>
      <w:r w:rsidR="000230CB">
        <w:rPr>
          <w:noProof/>
        </w:rPr>
        <w:t>14</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09" w:name="_Ref417589947"/>
      <w:r w:rsidRPr="008F4F73">
        <w:t>We consider that the number of reports is too low and the concentration of reports among only a few valuers is too high to be able to place significant reliance on the evidence from valuation reports.</w:t>
      </w:r>
      <w:r w:rsidRPr="008F4F73">
        <w:rPr>
          <w:rStyle w:val="FootnoteReference"/>
        </w:rPr>
        <w:footnoteReference w:id="975"/>
      </w:r>
    </w:p>
    <w:p w:rsidR="008F4F73" w:rsidRPr="008F4F73" w:rsidRDefault="008F4F73" w:rsidP="008F4F73">
      <w:pPr>
        <w:pStyle w:val="Caption"/>
      </w:pPr>
      <w:bookmarkStart w:id="210" w:name="_Ref448176907"/>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14</w:t>
      </w:r>
      <w:r w:rsidR="00527450">
        <w:rPr>
          <w:noProof/>
        </w:rPr>
        <w:fldChar w:fldCharType="end"/>
      </w:r>
      <w:bookmarkEnd w:id="209"/>
      <w:bookmarkEnd w:id="210"/>
      <w:r w:rsidRPr="008F4F73">
        <w:tab/>
        <w:t xml:space="preserve">Equity risk premium from relevant </w:t>
      </w:r>
      <w:r w:rsidR="00DA4F44">
        <w:t>valuation</w:t>
      </w:r>
      <w:r w:rsidRPr="008F4F73">
        <w:t xml:space="preserve"> reports over time</w:t>
      </w:r>
    </w:p>
    <w:p w:rsidR="008F4F73" w:rsidRPr="008F4F73" w:rsidRDefault="0068661A" w:rsidP="008F4F73">
      <w:pPr>
        <w:pStyle w:val="AERtablesource"/>
      </w:pPr>
      <w:r w:rsidRPr="0068661A">
        <w:rPr>
          <w:noProof/>
          <w:lang w:eastAsia="en-AU"/>
        </w:rPr>
        <w:drawing>
          <wp:inline distT="0" distB="0" distL="0" distR="0" wp14:anchorId="04EA917D" wp14:editId="35DC1EE2">
            <wp:extent cx="5369560" cy="38061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9560" cy="3806190"/>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 xml:space="preserve">AER analysis of reports from the Thomson Reuters Connect4 database </w:t>
      </w:r>
    </w:p>
    <w:p w:rsidR="008F4F73" w:rsidRPr="008F4F73" w:rsidRDefault="008F4F73" w:rsidP="008F4F73">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8F4F73" w:rsidRPr="008F4F73" w:rsidRDefault="008F4F73" w:rsidP="008F4F73">
      <w:pPr>
        <w:pStyle w:val="ListParagraph"/>
        <w:numPr>
          <w:ilvl w:val="0"/>
          <w:numId w:val="24"/>
        </w:numPr>
      </w:pPr>
      <w:r w:rsidRPr="008F4F73">
        <w:t>There have been only 18 relevant independent valuation reports spanning a period going back to 1991.</w:t>
      </w:r>
      <w:r w:rsidRPr="008F4F73">
        <w:rPr>
          <w:rStyle w:val="AERsuperscript"/>
        </w:rPr>
        <w:footnoteReference w:id="976"/>
      </w:r>
      <w:r w:rsidRPr="008F4F73">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8F4F73" w:rsidRPr="008F4F73" w:rsidRDefault="008F4F73" w:rsidP="008F4F73">
      <w:pPr>
        <w:numPr>
          <w:ilvl w:val="0"/>
          <w:numId w:val="24"/>
        </w:numPr>
      </w:pPr>
      <w:r w:rsidRPr="008F4F73">
        <w:t xml:space="preserve">We note that the ranges for return on equity and equity risk premium estimates contained in </w:t>
      </w:r>
      <w:r w:rsidR="00DA4F44">
        <w:fldChar w:fldCharType="begin"/>
      </w:r>
      <w:r w:rsidR="00DA4F44">
        <w:instrText xml:space="preserve"> REF _Ref448176907 \h </w:instrText>
      </w:r>
      <w:r w:rsidR="00DA4F44">
        <w:fldChar w:fldCharType="separate"/>
      </w:r>
      <w:r w:rsidR="000230CB" w:rsidRPr="008F4F73">
        <w:t xml:space="preserve">Figure </w:t>
      </w:r>
      <w:r w:rsidR="000230CB">
        <w:rPr>
          <w:noProof/>
        </w:rPr>
        <w:t>3</w:t>
      </w:r>
      <w:r w:rsidR="000230CB">
        <w:noBreakHyphen/>
      </w:r>
      <w:r w:rsidR="000230CB">
        <w:rPr>
          <w:noProof/>
        </w:rPr>
        <w:t>14</w:t>
      </w:r>
      <w:r w:rsidR="00DA4F44">
        <w:fldChar w:fldCharType="end"/>
      </w:r>
      <w:r w:rsidRPr="008F4F73">
        <w:t xml:space="preserve"> include the final values used in the independent valuation reports and reflect any uplifts applied. However, as noted in </w:t>
      </w:r>
      <w:r w:rsidRPr="008F4F73">
        <w:fldChar w:fldCharType="begin"/>
      </w:r>
      <w:r w:rsidRPr="008F4F73">
        <w:instrText xml:space="preserve"> REF _Ref445927856 \h </w:instrText>
      </w:r>
      <w:r w:rsidRPr="008F4F73">
        <w:fldChar w:fldCharType="separate"/>
      </w:r>
      <w:r w:rsidR="000230CB" w:rsidRPr="008F4F73">
        <w:t xml:space="preserve">Table </w:t>
      </w:r>
      <w:r w:rsidR="000230CB">
        <w:rPr>
          <w:noProof/>
        </w:rPr>
        <w:t>3</w:t>
      </w:r>
      <w:r w:rsidR="000230CB" w:rsidRPr="008F4F73">
        <w:noBreakHyphen/>
      </w:r>
      <w:r w:rsidR="000230CB">
        <w:rPr>
          <w:noProof/>
        </w:rPr>
        <w:t>7</w:t>
      </w:r>
      <w:r w:rsidRPr="008F4F73">
        <w:fldChar w:fldCharType="end"/>
      </w:r>
      <w:r w:rsidRPr="008F4F73">
        <w:t>, we have concerns about the applicability of these uplifts to the allowed rate of return objective.</w:t>
      </w:r>
      <w:r w:rsidRPr="008F4F73">
        <w:rPr>
          <w:rStyle w:val="FootnoteReference"/>
        </w:rPr>
        <w:footnoteReference w:id="977"/>
      </w:r>
      <w:r w:rsidRPr="008F4F73">
        <w:t xml:space="preserve"> We also have concerns that the adjustment for dividend imputation may not be appropriate (see </w:t>
      </w:r>
      <w:r w:rsidRPr="008F4F73">
        <w:fldChar w:fldCharType="begin"/>
      </w:r>
      <w:r w:rsidRPr="008F4F73">
        <w:instrText xml:space="preserve"> REF _Ref445927856 \h </w:instrText>
      </w:r>
      <w:r w:rsidRPr="008F4F73">
        <w:fldChar w:fldCharType="separate"/>
      </w:r>
      <w:r w:rsidR="000230CB" w:rsidRPr="008F4F73">
        <w:t xml:space="preserve">Table </w:t>
      </w:r>
      <w:r w:rsidR="000230CB">
        <w:rPr>
          <w:noProof/>
        </w:rPr>
        <w:t>3</w:t>
      </w:r>
      <w:r w:rsidR="000230CB" w:rsidRPr="008F4F73">
        <w:noBreakHyphen/>
      </w:r>
      <w:r w:rsidR="000230CB">
        <w:rPr>
          <w:noProof/>
        </w:rPr>
        <w:t>7</w:t>
      </w:r>
      <w:r w:rsidRPr="008F4F73">
        <w:fldChar w:fldCharType="end"/>
      </w:r>
      <w:r w:rsidRPr="008F4F73">
        <w:t>). The risk premium appropriately reflecting dividend imputation is likely somewhere between the adjusted and unadjusted premiums, but we are unable to distil a precise estimate due to a lack of transparency in valuation reports.</w:t>
      </w:r>
    </w:p>
    <w:p w:rsidR="008F4F73" w:rsidRPr="008F4F73" w:rsidRDefault="008F4F73" w:rsidP="008F4F73">
      <w:pPr>
        <w:numPr>
          <w:ilvl w:val="0"/>
          <w:numId w:val="24"/>
        </w:numPr>
      </w:pPr>
      <w:r w:rsidRPr="008F4F73">
        <w:t>The most recent report for a regulated energy network business is Grant Samuel’s report for Envestra on 4 March 2014. We find that this evidence does not support a move away from our foundation model estimate of 4.55 per cent. We note that:</w:t>
      </w:r>
    </w:p>
    <w:p w:rsidR="008F4F73" w:rsidRPr="008F4F73" w:rsidRDefault="008F4F73" w:rsidP="008F4F73">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8F4F73" w:rsidRPr="008F4F73" w:rsidRDefault="008F4F73" w:rsidP="008F4F73">
      <w:pPr>
        <w:pStyle w:val="AERbulletlistfirststyle"/>
      </w:pPr>
      <w:r w:rsidRPr="008F4F73">
        <w:t>Grant Samuel outlined four separate uplift scenarios that supported its discretionary uplift to its rate of return above the initial Sharpe-Lintner CAPM-based estimate.</w:t>
      </w:r>
      <w:r w:rsidRPr="008F4F73">
        <w:rPr>
          <w:rStyle w:val="FootnoteReference"/>
        </w:rPr>
        <w:footnoteReference w:id="978"/>
      </w:r>
      <w:r w:rsidRPr="008F4F73">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8F4F73">
        <w:rPr>
          <w:rStyle w:val="FootnoteReference"/>
        </w:rPr>
        <w:footnoteReference w:id="979"/>
      </w:r>
    </w:p>
    <w:p w:rsidR="008F4F73" w:rsidRPr="008F4F73" w:rsidRDefault="008F4F73" w:rsidP="008F4F73">
      <w:pPr>
        <w:pStyle w:val="ListParagraph"/>
        <w:numPr>
          <w:ilvl w:val="0"/>
          <w:numId w:val="24"/>
        </w:numPr>
        <w:rPr>
          <w:rStyle w:val="AERtextblue"/>
        </w:rPr>
      </w:pPr>
      <w:r w:rsidRPr="008F4F73">
        <w:t xml:space="preserve">In </w:t>
      </w:r>
      <w:r w:rsidR="00DA4F44">
        <w:t>response to our draft decision</w:t>
      </w:r>
      <w:r w:rsidRPr="008F4F73">
        <w:t xml:space="preserve">, </w:t>
      </w:r>
      <w:r w:rsidR="00DA4F44">
        <w:t>service providers</w:t>
      </w:r>
      <w:r w:rsidRPr="008F4F73">
        <w:t xml:space="preserve"> submitted that it is not clear how we arrived at our imputation-adjusted equity risk premium range.</w:t>
      </w:r>
      <w:r w:rsidRPr="008F4F73">
        <w:rPr>
          <w:rStyle w:val="FootnoteReference"/>
        </w:rPr>
        <w:footnoteReference w:id="980"/>
      </w:r>
      <w:r w:rsidRPr="008F4F73">
        <w:t xml:space="preserve"> This range was calculated using the premiums implied by the low (high) equity beta estimate given by the independent valuer for the bottom (top) of the range for each independent valuation report. </w:t>
      </w:r>
    </w:p>
    <w:p w:rsidR="008F4F73" w:rsidRPr="008F4F73" w:rsidRDefault="008F4F73" w:rsidP="008F4F73">
      <w:pPr>
        <w:pStyle w:val="Heading8"/>
      </w:pPr>
      <w:bookmarkStart w:id="211" w:name="_Ref451416189"/>
      <w:bookmarkStart w:id="212" w:name="_Toc451943809"/>
      <w:bookmarkStart w:id="213" w:name="_Toc443923234"/>
      <w:r w:rsidRPr="008F4F73">
        <w:t>Prevailing estimates: other regulators</w:t>
      </w:r>
      <w:bookmarkEnd w:id="211"/>
      <w:bookmarkEnd w:id="212"/>
    </w:p>
    <w:p w:rsidR="008F4F73" w:rsidRPr="008F4F73" w:rsidRDefault="008F4F73" w:rsidP="008F4F73">
      <w:pPr>
        <w:numPr>
          <w:ilvl w:val="0"/>
          <w:numId w:val="24"/>
        </w:numPr>
      </w:pPr>
      <w:r w:rsidRPr="008F4F73">
        <w:t>The estimates of return on equity from other regulators' decisions (dated between August 2015 and March 2016) range from 6.81 to 12.55 per cent. The premium above the risk free rate from these return on equity estimates decisions ranges from 3.9 to 9.</w:t>
      </w:r>
      <w:r w:rsidR="00D442F5">
        <w:t>4</w:t>
      </w:r>
      <w:r w:rsidRPr="008F4F73">
        <w:t>9 per cent.</w:t>
      </w:r>
      <w:r w:rsidRPr="008F4F73">
        <w:rPr>
          <w:rStyle w:val="FootnoteReference"/>
        </w:rPr>
        <w:footnoteReference w:id="981"/>
      </w:r>
      <w:r w:rsidRPr="008F4F73">
        <w:t xml:space="preserve"> </w:t>
      </w:r>
    </w:p>
    <w:p w:rsidR="008F4F73" w:rsidRPr="008F4F73" w:rsidRDefault="008F4F73" w:rsidP="008F4F73">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982"/>
      </w:r>
      <w:r w:rsidRPr="008F4F73">
        <w:t xml:space="preserve"> as shown in </w:t>
      </w:r>
      <w:r w:rsidRPr="008F4F73">
        <w:fldChar w:fldCharType="begin"/>
      </w:r>
      <w:r w:rsidRPr="008F4F73">
        <w:instrText xml:space="preserve"> REF _Ref444707385 \h </w:instrText>
      </w:r>
      <w:r w:rsidRPr="008F4F73">
        <w:fldChar w:fldCharType="separate"/>
      </w:r>
      <w:r w:rsidR="000230CB" w:rsidRPr="008F4F73">
        <w:t xml:space="preserve">Figure </w:t>
      </w:r>
      <w:r w:rsidR="000230CB">
        <w:rPr>
          <w:noProof/>
        </w:rPr>
        <w:t>3</w:t>
      </w:r>
      <w:r w:rsidR="000230CB">
        <w:noBreakHyphen/>
      </w:r>
      <w:r w:rsidR="000230CB">
        <w:rPr>
          <w:noProof/>
        </w:rPr>
        <w:t>15</w:t>
      </w:r>
      <w:r w:rsidRPr="008F4F73">
        <w:fldChar w:fldCharType="end"/>
      </w:r>
      <w:r w:rsidRPr="008F4F73">
        <w:t>.</w:t>
      </w:r>
      <w:r w:rsidRPr="008F4F73">
        <w:rPr>
          <w:rStyle w:val="FootnoteReference"/>
        </w:rPr>
        <w:footnoteReference w:id="983"/>
      </w:r>
      <w:r w:rsidRPr="008F4F73">
        <w:t xml:space="preserve"> </w:t>
      </w:r>
    </w:p>
    <w:p w:rsidR="008F4F73" w:rsidRPr="008F4F73" w:rsidRDefault="008F4F73" w:rsidP="008F4F73">
      <w:pPr>
        <w:pStyle w:val="Caption"/>
        <w:numPr>
          <w:ilvl w:val="0"/>
          <w:numId w:val="24"/>
        </w:numPr>
      </w:pPr>
      <w:bookmarkStart w:id="214" w:name="_Ref444707385"/>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15</w:t>
      </w:r>
      <w:r w:rsidR="00527450">
        <w:rPr>
          <w:noProof/>
        </w:rPr>
        <w:fldChar w:fldCharType="end"/>
      </w:r>
      <w:bookmarkEnd w:id="214"/>
      <w:r w:rsidRPr="008F4F73">
        <w:tab/>
        <w:t>Equity risk premium estimates from other regulators' decisions</w:t>
      </w:r>
    </w:p>
    <w:p w:rsidR="008F4F73" w:rsidRPr="008F4F73" w:rsidRDefault="008F4F73" w:rsidP="008F4F73">
      <w:r w:rsidRPr="008F4F73">
        <w:rPr>
          <w:noProof/>
          <w:lang w:eastAsia="en-AU"/>
        </w:rPr>
        <mc:AlternateContent>
          <mc:Choice Requires="wps">
            <w:drawing>
              <wp:anchor distT="0" distB="0" distL="114300" distR="114300" simplePos="0" relativeHeight="251661312" behindDoc="0" locked="0" layoutInCell="1" allowOverlap="1" wp14:anchorId="6E63B517" wp14:editId="02273044">
                <wp:simplePos x="0" y="0"/>
                <wp:positionH relativeFrom="column">
                  <wp:posOffset>4341313</wp:posOffset>
                </wp:positionH>
                <wp:positionV relativeFrom="paragraph">
                  <wp:posOffset>1537014</wp:posOffset>
                </wp:positionV>
                <wp:extent cx="1045845" cy="424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noFill/>
                        <a:ln w="9525">
                          <a:noFill/>
                          <a:miter lim="800000"/>
                          <a:headEnd/>
                          <a:tailEnd/>
                        </a:ln>
                      </wps:spPr>
                      <wps:txbx>
                        <w:txbxContent>
                          <w:p w:rsidR="000230CB" w:rsidRDefault="000230CB" w:rsidP="008F4F73">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85pt;margin-top:121pt;width:82.3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" filled="f" stroked="f">
                <v:textbox>
                  <w:txbxContent>
                    <w:p w:rsidR="000230CB" w:rsidRDefault="000230CB" w:rsidP="008F4F73">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v:textbox>
              </v:shape>
            </w:pict>
          </mc:Fallback>
        </mc:AlternateContent>
      </w:r>
      <w:r w:rsidR="0068661A" w:rsidRPr="0068661A">
        <w:t xml:space="preserve"> </w:t>
      </w:r>
      <w:r w:rsidR="0068661A" w:rsidRPr="0068661A">
        <w:rPr>
          <w:noProof/>
          <w:lang w:eastAsia="en-AU"/>
        </w:rPr>
        <w:drawing>
          <wp:inline distT="0" distB="0" distL="0" distR="0" wp14:anchorId="34734C63" wp14:editId="464647D6">
            <wp:extent cx="5369560" cy="47104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9560" cy="4710430"/>
                    </a:xfrm>
                    <a:prstGeom prst="rect">
                      <a:avLst/>
                    </a:prstGeom>
                    <a:noFill/>
                    <a:ln>
                      <a:noFill/>
                    </a:ln>
                  </pic:spPr>
                </pic:pic>
              </a:graphicData>
            </a:graphic>
          </wp:inline>
        </w:drawing>
      </w:r>
    </w:p>
    <w:p w:rsidR="008F4F73" w:rsidRPr="008F4F73" w:rsidRDefault="008F4F73" w:rsidP="008F4F73">
      <w:r w:rsidRPr="008F4F73">
        <w:rPr>
          <w:noProof/>
          <w:lang w:eastAsia="en-AU"/>
        </w:rPr>
        <w:drawing>
          <wp:inline distT="0" distB="0" distL="0" distR="0" wp14:anchorId="113EAD5E" wp14:editId="2C8DB3B6">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172700"/>
                    </a:xfrm>
                    <a:prstGeom prst="rect">
                      <a:avLst/>
                    </a:prstGeom>
                  </pic:spPr>
                </pic:pic>
              </a:graphicData>
            </a:graphic>
          </wp:inline>
        </w:drawing>
      </w:r>
    </w:p>
    <w:p w:rsidR="008F4F73" w:rsidRPr="008F4F73" w:rsidRDefault="008F4F73" w:rsidP="008F4F73">
      <w:r w:rsidRPr="008F4F73">
        <w:t>The estimates of the market risk premium from other regulators' decisions (dated between August 2015 and March 2016) range from 6 to 7.6 per cent.</w:t>
      </w:r>
      <w:r w:rsidRPr="008F4F73">
        <w:rPr>
          <w:rStyle w:val="FootnoteReference"/>
        </w:rPr>
        <w:footnoteReference w:id="984"/>
      </w:r>
      <w:r w:rsidRPr="008F4F73">
        <w:t xml:space="preserve"> </w:t>
      </w:r>
      <w:r w:rsidRPr="008F4F73">
        <w:fldChar w:fldCharType="begin"/>
      </w:r>
      <w:r w:rsidRPr="008F4F73">
        <w:instrText xml:space="preserve"> REF _Ref449019545 \h </w:instrText>
      </w:r>
      <w:r w:rsidRPr="008F4F73">
        <w:fldChar w:fldCharType="separate"/>
      </w:r>
      <w:r w:rsidR="000230CB" w:rsidRPr="008F4F73">
        <w:t xml:space="preserve">Figure </w:t>
      </w:r>
      <w:r w:rsidR="000230CB">
        <w:rPr>
          <w:noProof/>
        </w:rPr>
        <w:t>3</w:t>
      </w:r>
      <w:r w:rsidR="000230CB">
        <w:noBreakHyphen/>
      </w:r>
      <w:r w:rsidR="000230CB">
        <w:rPr>
          <w:noProof/>
        </w:rPr>
        <w:t>16</w:t>
      </w:r>
      <w:r w:rsidRPr="008F4F73">
        <w:fldChar w:fldCharType="end"/>
      </w:r>
      <w:r w:rsidRPr="008F4F73">
        <w:t xml:space="preserve"> shows that our estimate (6.5 per cent) of the market risk premium is consistent with the range of estimates from other regulators over time.</w:t>
      </w:r>
    </w:p>
    <w:p w:rsidR="008F4F73" w:rsidRPr="008F4F73" w:rsidRDefault="008F4F73" w:rsidP="008F4F73">
      <w:pPr>
        <w:pStyle w:val="Caption"/>
        <w:numPr>
          <w:ilvl w:val="0"/>
          <w:numId w:val="24"/>
        </w:numPr>
      </w:pPr>
      <w:bookmarkStart w:id="215" w:name="_Ref449019545"/>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16</w:t>
      </w:r>
      <w:r w:rsidR="00527450">
        <w:rPr>
          <w:noProof/>
        </w:rPr>
        <w:fldChar w:fldCharType="end"/>
      </w:r>
      <w:bookmarkEnd w:id="215"/>
      <w:r w:rsidRPr="008F4F73">
        <w:tab/>
        <w:t>Market risk premium estimates from other regulators' decisions</w:t>
      </w:r>
    </w:p>
    <w:p w:rsidR="008F4F73" w:rsidRPr="008F4F73" w:rsidRDefault="0068661A" w:rsidP="008F4F73">
      <w:r w:rsidRPr="0068661A">
        <w:rPr>
          <w:noProof/>
          <w:lang w:eastAsia="en-AU"/>
        </w:rPr>
        <w:drawing>
          <wp:inline distT="0" distB="0" distL="0" distR="0" wp14:anchorId="5334084F" wp14:editId="0E2FAB93">
            <wp:extent cx="5369560" cy="477393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9560" cy="4773930"/>
                    </a:xfrm>
                    <a:prstGeom prst="rect">
                      <a:avLst/>
                    </a:prstGeom>
                    <a:noFill/>
                    <a:ln>
                      <a:noFill/>
                    </a:ln>
                  </pic:spPr>
                </pic:pic>
              </a:graphicData>
            </a:graphic>
          </wp:inline>
        </w:drawing>
      </w:r>
      <w:r w:rsidR="008F4F73" w:rsidRPr="008F4F73">
        <w:tab/>
      </w:r>
    </w:p>
    <w:p w:rsidR="008F4F73" w:rsidRPr="008F4F73" w:rsidRDefault="008F4F73" w:rsidP="00DB4FCE">
      <w:pPr>
        <w:pStyle w:val="Heading8"/>
        <w:keepNext/>
      </w:pPr>
      <w:bookmarkStart w:id="216" w:name="_Toc443923237"/>
      <w:bookmarkStart w:id="217" w:name="_Ref445933050"/>
      <w:bookmarkStart w:id="218" w:name="_Ref446278671"/>
      <w:bookmarkStart w:id="219" w:name="_Ref446280177"/>
      <w:bookmarkStart w:id="220" w:name="_Ref449020986"/>
      <w:bookmarkStart w:id="221" w:name="_Toc451333507"/>
      <w:bookmarkStart w:id="222" w:name="_Toc451943810"/>
      <w:bookmarkEnd w:id="213"/>
      <w:r w:rsidRPr="008F4F73">
        <w:t>Relationship between risk free rate and market risk premium in valuation reports</w:t>
      </w:r>
      <w:bookmarkEnd w:id="216"/>
      <w:bookmarkEnd w:id="217"/>
      <w:bookmarkEnd w:id="218"/>
      <w:bookmarkEnd w:id="219"/>
      <w:bookmarkEnd w:id="220"/>
      <w:bookmarkEnd w:id="221"/>
      <w:bookmarkEnd w:id="222"/>
    </w:p>
    <w:p w:rsidR="008F4F73" w:rsidRPr="008F4F73" w:rsidRDefault="00D33284" w:rsidP="00DB4FCE">
      <w:pPr>
        <w:keepNext/>
        <w:numPr>
          <w:ilvl w:val="0"/>
          <w:numId w:val="24"/>
        </w:numPr>
      </w:pPr>
      <w:r w:rsidRPr="00D33284">
        <w:t>AGN</w:t>
      </w:r>
      <w:r w:rsidR="008F4F73" w:rsidRPr="008F4F73">
        <w:t xml:space="preserve"> submitted reports from Incenta Economic Consulting, NERA, and Houston Kemp that claimed that there is evidence of an inverse relationship between the risk free rate and the market risk premium in recent estimates by independent valuers. </w:t>
      </w:r>
    </w:p>
    <w:p w:rsidR="008F4F73" w:rsidRPr="008F4F73" w:rsidRDefault="008F4F73" w:rsidP="008F4F73">
      <w:pPr>
        <w:numPr>
          <w:ilvl w:val="0"/>
          <w:numId w:val="24"/>
        </w:numPr>
      </w:pPr>
      <w:r w:rsidRPr="008F4F73">
        <w:t>We considered the submissions by Incenta and NERA in our draft decision, with our overall assessment being that there is not sufficient evidence to establish the existence of such a relationship in valuers' estimates.</w:t>
      </w:r>
      <w:r w:rsidRPr="008F4F73">
        <w:rPr>
          <w:rStyle w:val="FootnoteReference"/>
        </w:rPr>
        <w:footnoteReference w:id="985"/>
      </w:r>
      <w:r w:rsidRPr="008F4F73">
        <w:t xml:space="preserve"> This is because:</w:t>
      </w:r>
    </w:p>
    <w:p w:rsidR="008F4F73" w:rsidRPr="008F4F73" w:rsidRDefault="008F4F73" w:rsidP="008F4F73">
      <w:pPr>
        <w:pStyle w:val="AERbulletlistfirststyle"/>
      </w:pPr>
      <w:r w:rsidRPr="008F4F73">
        <w:t>Incenta's sample is too small to support a reliable inference.</w:t>
      </w:r>
    </w:p>
    <w:p w:rsidR="008F4F73" w:rsidRPr="008F4F73" w:rsidRDefault="008F4F73" w:rsidP="008F4F73">
      <w:pPr>
        <w:pStyle w:val="AERbulletlistfirststyle"/>
      </w:pPr>
      <w:r w:rsidRPr="008F4F73">
        <w:t>NERA's regression results are driven by its unsupported assumption that any difference between a valuer's stated risk free rate and the prevailing yield on Commonwealth government securities is to be taken as part of their adopted market risk premium.</w:t>
      </w:r>
    </w:p>
    <w:p w:rsidR="008F4F73" w:rsidRPr="008F4F73" w:rsidRDefault="008F4F73" w:rsidP="008F4F73">
      <w:pPr>
        <w:rPr>
          <w:rStyle w:val="AERbody"/>
        </w:rPr>
      </w:pPr>
      <w:r w:rsidRPr="008F4F73">
        <w:t xml:space="preserve">As HoustonKemp's analysis uses the same methods to that of NERA, our criticisms of NERA's analysis in our </w:t>
      </w:r>
      <w:r w:rsidR="00A02C23">
        <w:t>draft</w:t>
      </w:r>
      <w:r w:rsidRPr="008F4F73">
        <w:t xml:space="preserve"> decision are equally applicable to it. </w:t>
      </w:r>
      <w:r w:rsidRPr="008F4F73">
        <w:rPr>
          <w:rStyle w:val="AERbody"/>
        </w:rPr>
        <w:t>These reasons were supported by Partington and Satchell.</w:t>
      </w:r>
      <w:r w:rsidRPr="008F4F73">
        <w:rPr>
          <w:rStyle w:val="FootnoteReference"/>
        </w:rPr>
        <w:footnoteReference w:id="986"/>
      </w:r>
      <w:r w:rsidRPr="008F4F73">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DA4F44" w:rsidRPr="008F4F73" w:rsidRDefault="00DA4F44" w:rsidP="00DA4F44">
      <w:pPr>
        <w:pStyle w:val="Heading9"/>
      </w:pPr>
      <w:r>
        <w:t>Our assessment of Incenta's submission</w:t>
      </w:r>
    </w:p>
    <w:p w:rsidR="008F4F73" w:rsidRPr="008F4F73" w:rsidRDefault="008F4F73" w:rsidP="008F4F73">
      <w:pPr>
        <w:numPr>
          <w:ilvl w:val="0"/>
          <w:numId w:val="24"/>
        </w:numPr>
      </w:pPr>
      <w:r w:rsidRPr="008F4F73">
        <w:rPr>
          <w:rStyle w:val="AERbody"/>
        </w:rPr>
        <w:t xml:space="preserve">We continue to consider our criticisms of Incenta's submission in our </w:t>
      </w:r>
      <w:r w:rsidR="00A02C23">
        <w:rPr>
          <w:rStyle w:val="AERbody"/>
        </w:rPr>
        <w:t>draft</w:t>
      </w:r>
      <w:r w:rsidRPr="008F4F73">
        <w:rPr>
          <w:rStyle w:val="AERbody"/>
        </w:rPr>
        <w:t xml:space="preserve"> decision to be justified.</w:t>
      </w:r>
      <w:r w:rsidRPr="008F4F73">
        <w:t xml:space="preserve"> Incenta plotted the</w:t>
      </w:r>
      <w:r w:rsidRPr="008F4F73" w:rsidDel="008860FD">
        <w:t xml:space="preserve"> </w:t>
      </w:r>
      <w:r w:rsidRPr="008F4F73">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8F4F73">
        <w:rPr>
          <w:rStyle w:val="FootnoteReference"/>
        </w:rPr>
        <w:footnoteReference w:id="987"/>
      </w:r>
    </w:p>
    <w:p w:rsidR="008F4F73" w:rsidRPr="008F4F73" w:rsidRDefault="008F4F73" w:rsidP="008F4F73">
      <w:r w:rsidRPr="008F4F73">
        <w:t>We do not consider that Incenta's evidence supports the view that there is any clear relationship between the risk free rate and risk premiums. This is because:</w:t>
      </w:r>
    </w:p>
    <w:p w:rsidR="008F4F73" w:rsidRPr="008F4F73" w:rsidRDefault="008F4F73" w:rsidP="008F4F73">
      <w:pPr>
        <w:pStyle w:val="AERbulletlistfirststyle"/>
      </w:pPr>
      <w:r w:rsidRPr="008F4F73">
        <w:t>As Partington states with reference to Incenta's plot of equity risk premium estimates, 'making [a] reliable inference in a sample of 13 observations is extremely difficult' and 'the inference in the report is highly speculative at best'.</w:t>
      </w:r>
      <w:r w:rsidRPr="008F4F73">
        <w:rPr>
          <w:rStyle w:val="FootnoteReference"/>
        </w:rPr>
        <w:footnoteReference w:id="988"/>
      </w:r>
    </w:p>
    <w:p w:rsidR="008F4F73" w:rsidRPr="008F4F73" w:rsidRDefault="008F4F73" w:rsidP="008F4F73">
      <w:pPr>
        <w:pStyle w:val="AERbulletlistfirststyle"/>
      </w:pPr>
      <w:r w:rsidRPr="008F4F73">
        <w:t>It is not clear to us that any inverse correlation between the risk free rate and valuers' equity risk premium estimates is not just reflecting a positive correlation between the equity and debt risk premiums.</w:t>
      </w:r>
    </w:p>
    <w:p w:rsidR="008F4F73" w:rsidRPr="008F4F73" w:rsidRDefault="008F4F73" w:rsidP="008F4F73">
      <w:pPr>
        <w:pStyle w:val="AERbulletlistfirststyle"/>
      </w:pPr>
      <w:r w:rsidRPr="008F4F73">
        <w:t>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draft decision.</w:t>
      </w:r>
      <w:r w:rsidRPr="008F4F73">
        <w:rPr>
          <w:rStyle w:val="FootnoteReference"/>
        </w:rPr>
        <w:footnoteReference w:id="989"/>
      </w:r>
      <w:r w:rsidRPr="008F4F73">
        <w:t xml:space="preserve"> </w:t>
      </w:r>
      <w:r w:rsidRPr="008F4F73">
        <w:fldChar w:fldCharType="begin"/>
      </w:r>
      <w:r w:rsidRPr="008F4F73">
        <w:instrText xml:space="preserve"> REF _Ref449019854 \h </w:instrText>
      </w:r>
      <w:r w:rsidRPr="008F4F73">
        <w:fldChar w:fldCharType="separate"/>
      </w:r>
      <w:r w:rsidR="000230CB" w:rsidRPr="008F4F73">
        <w:t xml:space="preserve">Figure </w:t>
      </w:r>
      <w:r w:rsidR="000230CB">
        <w:rPr>
          <w:noProof/>
        </w:rPr>
        <w:t>3</w:t>
      </w:r>
      <w:r w:rsidR="000230CB">
        <w:noBreakHyphen/>
      </w:r>
      <w:r w:rsidR="000230CB">
        <w:rPr>
          <w:noProof/>
        </w:rPr>
        <w:t>17</w:t>
      </w:r>
      <w:r w:rsidRPr="008F4F73">
        <w:fldChar w:fldCharType="end"/>
      </w:r>
      <w:r w:rsidRPr="008F4F73">
        <w:t xml:space="preserve"> shows that the market risk premium remains relatively stable which indicates that it is the choice of equity beta that is driving movement in the equity risk premium. </w:t>
      </w:r>
    </w:p>
    <w:p w:rsidR="008F4F73" w:rsidRPr="008F4F73" w:rsidRDefault="008F4F73" w:rsidP="008F4F73">
      <w:pPr>
        <w:pStyle w:val="Caption"/>
      </w:pPr>
    </w:p>
    <w:p w:rsidR="008F4F73" w:rsidRPr="008F4F73" w:rsidRDefault="008F4F73" w:rsidP="008F4F73">
      <w:pPr>
        <w:pStyle w:val="Caption"/>
      </w:pPr>
      <w:bookmarkStart w:id="223" w:name="_Ref449019854"/>
      <w:r w:rsidRPr="008F4F73">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17</w:t>
      </w:r>
      <w:r w:rsidR="00527450">
        <w:rPr>
          <w:noProof/>
        </w:rPr>
        <w:fldChar w:fldCharType="end"/>
      </w:r>
      <w:bookmarkEnd w:id="223"/>
      <w:r w:rsidRPr="008F4F73">
        <w:tab/>
        <w:t xml:space="preserve">Comparison of </w:t>
      </w:r>
      <w:r w:rsidR="0031142A">
        <w:t>parameter estimates</w:t>
      </w:r>
      <w:r w:rsidRPr="008F4F73">
        <w:t xml:space="preserve"> from relevant valuation reports </w:t>
      </w:r>
    </w:p>
    <w:p w:rsidR="008F4F73" w:rsidRPr="008F4F73" w:rsidRDefault="0068661A" w:rsidP="008F4F73">
      <w:r w:rsidRPr="0068661A">
        <w:rPr>
          <w:noProof/>
          <w:lang w:eastAsia="en-AU"/>
        </w:rPr>
        <w:drawing>
          <wp:inline distT="0" distB="0" distL="0" distR="0" wp14:anchorId="6D828D83" wp14:editId="447BDF83">
            <wp:extent cx="5369560" cy="4274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9560" cy="4274185"/>
                    </a:xfrm>
                    <a:prstGeom prst="rect">
                      <a:avLst/>
                    </a:prstGeom>
                    <a:noFill/>
                    <a:ln>
                      <a:noFill/>
                    </a:ln>
                  </pic:spPr>
                </pic:pic>
              </a:graphicData>
            </a:graphic>
          </wp:inline>
        </w:drawing>
      </w:r>
    </w:p>
    <w:p w:rsidR="008F4F73" w:rsidRPr="008F4F73" w:rsidRDefault="008F4F73" w:rsidP="008F4F73">
      <w:pPr>
        <w:pStyle w:val="AERtablesource"/>
      </w:pPr>
      <w:r w:rsidRPr="008F4F73">
        <w:t>Source:</w:t>
      </w:r>
      <w:r w:rsidRPr="008F4F73">
        <w:tab/>
        <w:t xml:space="preserve">AER analysis of reports from the Thomson Reuters Connect4 database </w:t>
      </w:r>
    </w:p>
    <w:p w:rsidR="008F4F73" w:rsidRPr="008F4F73" w:rsidRDefault="008F4F73" w:rsidP="008F4F73">
      <w:r w:rsidRPr="008F4F73">
        <w:t>Incenta also submitted that there is merit in examining directional evidence on the return on the market estimates from valuation reports.</w:t>
      </w:r>
      <w:r w:rsidRPr="008F4F73">
        <w:rPr>
          <w:rStyle w:val="FootnoteReference"/>
        </w:rPr>
        <w:footnoteReference w:id="990"/>
      </w:r>
      <w:r w:rsidRPr="008F4F73">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8F4F73">
        <w:rPr>
          <w:rStyle w:val="FootnoteReference"/>
        </w:rPr>
        <w:footnoteReference w:id="991"/>
      </w:r>
    </w:p>
    <w:p w:rsidR="008F4F73" w:rsidRPr="008F4F73" w:rsidRDefault="008F4F73" w:rsidP="008F4F73">
      <w:pPr>
        <w:pStyle w:val="AERquote"/>
      </w:pPr>
      <w:r w:rsidRPr="008F4F73">
        <w:t>Variation through time, however, needs to be interpreted with caution given our comments about the size of year by year samples below and possible changes in the representativeness of the sample through time.</w:t>
      </w:r>
    </w:p>
    <w:p w:rsidR="008F4F73" w:rsidRPr="008F4F73" w:rsidRDefault="008F4F73" w:rsidP="008F4F73">
      <w:r w:rsidRPr="008F4F73">
        <w:t>In any case, we consider that the analysis in our draft decision indicated that the market return estimated by the Sharpe-Lintner CAPM using our point estimate of the market risk premium is not inconsistent with the market returns estimated in valuation reports.</w:t>
      </w:r>
      <w:r w:rsidRPr="008F4F73">
        <w:rPr>
          <w:rStyle w:val="FootnoteReference"/>
        </w:rPr>
        <w:footnoteReference w:id="992"/>
      </w:r>
    </w:p>
    <w:p w:rsidR="008F4F73" w:rsidRPr="008F4F73" w:rsidRDefault="008F4F73" w:rsidP="008F4F73">
      <w:pPr>
        <w:pStyle w:val="Heading9"/>
      </w:pPr>
      <w:r w:rsidRPr="008F4F73">
        <w:t>Regression analyses by NERA and HoustonKemp</w:t>
      </w:r>
    </w:p>
    <w:p w:rsidR="008F4F73" w:rsidRPr="008F4F73" w:rsidRDefault="008F4F73" w:rsidP="008F4F73">
      <w:r w:rsidRPr="008F4F73">
        <w:t>We do not consider that, on the whole, there is sufficient evidence in the submissions by NERA and HoustonKemp to establish that the return on equity estimates in recent valuation reports support either:</w:t>
      </w:r>
    </w:p>
    <w:p w:rsidR="008F4F73" w:rsidRPr="008F4F73" w:rsidRDefault="008F4F73" w:rsidP="008F4F73">
      <w:pPr>
        <w:pStyle w:val="AERbulletlistfirststyle"/>
      </w:pPr>
      <w:r w:rsidRPr="008F4F73">
        <w:t>the use of a risk free rate in excess of the prevailing yield on Australian government securities; or</w:t>
      </w:r>
    </w:p>
    <w:p w:rsidR="008F4F73" w:rsidRPr="008F4F73" w:rsidRDefault="008F4F73" w:rsidP="008F4F73">
      <w:pPr>
        <w:pStyle w:val="AERbulletlistfirststyle"/>
      </w:pPr>
      <w:r w:rsidRPr="008F4F73">
        <w:t>an increased market risk premium when the yield on Australian government securities is relatively low (that is, an negative relationship between market risk premium and yields on Australian government securities).</w:t>
      </w:r>
    </w:p>
    <w:p w:rsidR="008F4F73" w:rsidRPr="008F4F73" w:rsidRDefault="008F4F73" w:rsidP="008F4F73">
      <w:r w:rsidRPr="008F4F73">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8F4F73">
        <w:rPr>
          <w:rStyle w:val="FootnoteReference"/>
        </w:rPr>
        <w:footnoteReference w:id="993"/>
      </w:r>
      <w:r w:rsidRPr="008F4F73">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8F4F73" w:rsidDel="005C404F">
        <w:t xml:space="preserve"> </w:t>
      </w:r>
      <w:r w:rsidRPr="008F4F73">
        <w:t>while some valuation reports used risk free rate estimates materially different from these yields.</w:t>
      </w:r>
      <w:r w:rsidRPr="008F4F73">
        <w:rPr>
          <w:rStyle w:val="FootnoteReference"/>
        </w:rPr>
        <w:footnoteReference w:id="994"/>
      </w:r>
      <w:r w:rsidRPr="008F4F73">
        <w:t xml:space="preserve"> As noted by Partington &amp; Satchell:</w:t>
      </w:r>
      <w:r w:rsidRPr="008F4F73">
        <w:rPr>
          <w:rStyle w:val="FootnoteReference"/>
        </w:rPr>
        <w:footnoteReference w:id="995"/>
      </w:r>
    </w:p>
    <w:p w:rsidR="008F4F73" w:rsidRPr="008F4F73" w:rsidRDefault="008F4F73" w:rsidP="008F4F73">
      <w:pPr>
        <w:pStyle w:val="AERquote"/>
      </w:pPr>
      <w:r w:rsidRPr="008F4F73">
        <w:t>Some of the experts clearly have a view that the risk free rate is substantially above the CGS rate, but on the basis of evidence it cannot be said that this is a consensus view.</w:t>
      </w:r>
    </w:p>
    <w:p w:rsidR="008F4F73" w:rsidRPr="008F4F73" w:rsidRDefault="008F4F73" w:rsidP="008F4F73">
      <w:r w:rsidRPr="008F4F73">
        <w:t>We note that HoustonKemp's observation of an uplifted risk free rate (above the CGS yield) by expert reports is largely driven by the use of a 'substantially increased risk free rate by some experts'.</w:t>
      </w:r>
      <w:r w:rsidRPr="008F4F73">
        <w:rPr>
          <w:rStyle w:val="FootnoteReference"/>
        </w:rPr>
        <w:footnoteReference w:id="996"/>
      </w:r>
      <w:r w:rsidRPr="008F4F73">
        <w:t xml:space="preserve"> </w:t>
      </w:r>
    </w:p>
    <w:p w:rsidR="008F4F73" w:rsidRPr="008F4F73" w:rsidRDefault="008F4F73" w:rsidP="008F4F73">
      <w:r w:rsidRPr="008F4F73">
        <w:t>Partington and Satchell noted that the concern is 'what weighting should be given to each expert firm': based on the number of reports or number of firms.</w:t>
      </w:r>
      <w:r w:rsidRPr="008F4F73">
        <w:rPr>
          <w:rStyle w:val="FootnoteReference"/>
        </w:rPr>
        <w:footnoteReference w:id="997"/>
      </w:r>
      <w:r w:rsidRPr="008F4F73">
        <w:t xml:space="preserve"> For example, if we construct the standard error based on the number of reports rather than two observations we form an erroneous belief in the accuracy of our estimates.</w:t>
      </w:r>
      <w:r w:rsidRPr="008F4F73">
        <w:rPr>
          <w:rStyle w:val="FootnoteReference"/>
        </w:rPr>
        <w:footnoteReference w:id="998"/>
      </w:r>
    </w:p>
    <w:p w:rsidR="008F4F73" w:rsidRPr="008F4F73" w:rsidRDefault="008F4F73" w:rsidP="008F4F73">
      <w:r w:rsidRPr="008F4F73">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8F4F73">
        <w:rPr>
          <w:rStyle w:val="FootnoteReference"/>
        </w:rPr>
        <w:footnoteReference w:id="999"/>
      </w:r>
      <w:r w:rsidRPr="008F4F73">
        <w:t xml:space="preserve"> </w:t>
      </w:r>
    </w:p>
    <w:p w:rsidR="008F4F73" w:rsidRPr="008F4F73" w:rsidRDefault="008F4F73" w:rsidP="008F4F73">
      <w:r w:rsidRPr="008F4F73">
        <w:t>Partington and Satchell has noted that it is the difference between the valuers' risk free rate estimates and prevailing yields on Australian government securities that drive the results of NERA's regressions.</w:t>
      </w:r>
      <w:r w:rsidRPr="008F4F73">
        <w:rPr>
          <w:rStyle w:val="FootnoteReference"/>
        </w:rPr>
        <w:footnoteReference w:id="1000"/>
      </w:r>
      <w:r w:rsidRPr="008F4F73">
        <w:t xml:space="preserve"> They noted that HoustonKemp's analysis faces the same issue.</w:t>
      </w:r>
      <w:r w:rsidRPr="008F4F73">
        <w:rPr>
          <w:rStyle w:val="FootnoteReference"/>
        </w:rPr>
        <w:footnoteReference w:id="1001"/>
      </w:r>
      <w:r w:rsidRPr="008F4F73">
        <w:t xml:space="preserve"> Partington and Satchell added that HoustonKemp's observation of a negative relationship between the risk free rate and the market risk premium from its regression is 'quite weak' for the following reason:</w:t>
      </w:r>
      <w:r w:rsidRPr="008F4F73">
        <w:rPr>
          <w:rStyle w:val="FootnoteReference"/>
        </w:rPr>
        <w:footnoteReference w:id="1002"/>
      </w:r>
    </w:p>
    <w:p w:rsidR="008F4F73" w:rsidRPr="008F4F73" w:rsidRDefault="008F4F73" w:rsidP="008F4F73">
      <w:pPr>
        <w:pStyle w:val="AERquote"/>
      </w:pPr>
      <w:r w:rsidRPr="008F4F73">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8F4F73" w:rsidRPr="008F4F73" w:rsidRDefault="008F4F73" w:rsidP="008F4F73">
      <w:r w:rsidRPr="008F4F73">
        <w:t>Partington and Satchell also advised that Houston Kemp's regression actually shows there is:</w:t>
      </w:r>
      <w:r w:rsidRPr="008F4F73">
        <w:rPr>
          <w:rStyle w:val="FootnoteReference"/>
        </w:rPr>
        <w:footnoteReference w:id="1003"/>
      </w:r>
      <w:r w:rsidRPr="008F4F73">
        <w:t xml:space="preserve"> </w:t>
      </w:r>
    </w:p>
    <w:p w:rsidR="008F4F73" w:rsidRPr="008F4F73" w:rsidRDefault="000667B3" w:rsidP="008F4F73">
      <w:pPr>
        <w:pStyle w:val="AERquote"/>
      </w:pPr>
      <w:r w:rsidRPr="000667B3">
        <w:t>no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w:t>
      </w:r>
      <w:r w:rsidR="00590BC4">
        <w:t>a</w:t>
      </w:r>
      <w:r w:rsidRPr="000667B3">
        <w:t>se in the risk premium that the experts were using.</w:t>
      </w:r>
    </w:p>
    <w:p w:rsidR="008F4F73" w:rsidRPr="008F4F73" w:rsidRDefault="008F4F73" w:rsidP="008F4F73">
      <w:r w:rsidRPr="008F4F73">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8F4F73" w:rsidRPr="008F4F73" w:rsidRDefault="008F4F73" w:rsidP="008F4F73">
      <w:r w:rsidRPr="008F4F73">
        <w:t>Further, it is not clear that uplifts separately applied to an initial return on equity or rate of return estimate (in contrast to an increased risk free rate estimate) should be attributed to the market risk premium or market return. In Table 4.2 of its report,</w:t>
      </w:r>
      <w:r w:rsidRPr="008F4F73">
        <w:rPr>
          <w:rStyle w:val="FootnoteReference"/>
        </w:rPr>
        <w:footnoteReference w:id="1004"/>
      </w:r>
      <w:r w:rsidRPr="008F4F73">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sidRPr="008F4F73">
        <w:rPr>
          <w:rStyle w:val="FootnoteReference"/>
        </w:rPr>
        <w:footnoteReference w:id="1005"/>
      </w:r>
      <w:r w:rsidRPr="008F4F73">
        <w:t xml:space="preserve"> We are not convinced that reliable inferences can be drawn from such highly-concentrated samples. As noted in </w:t>
      </w:r>
      <w:r w:rsidRPr="008F4F73">
        <w:fldChar w:fldCharType="begin"/>
      </w:r>
      <w:r w:rsidRPr="008F4F73">
        <w:instrText xml:space="preserve"> REF _Ref445927856 \h </w:instrText>
      </w:r>
      <w:r w:rsidRPr="008F4F73">
        <w:fldChar w:fldCharType="separate"/>
      </w:r>
      <w:r w:rsidR="000230CB" w:rsidRPr="008F4F73">
        <w:t xml:space="preserve">Table </w:t>
      </w:r>
      <w:r w:rsidR="000230CB">
        <w:rPr>
          <w:noProof/>
        </w:rPr>
        <w:t>3</w:t>
      </w:r>
      <w:r w:rsidR="000230CB" w:rsidRPr="008F4F73">
        <w:noBreakHyphen/>
      </w:r>
      <w:r w:rsidR="000230CB">
        <w:rPr>
          <w:noProof/>
        </w:rPr>
        <w:t>7</w:t>
      </w:r>
      <w:r w:rsidRPr="008F4F73">
        <w:fldChar w:fldCharType="end"/>
      </w:r>
      <w:r w:rsidRPr="008F4F73">
        <w:t>, it is not clear that uplifts to the risk free rate reflect efficient financing costs for a benchmark efficient entity.</w:t>
      </w:r>
      <w:r w:rsidRPr="008F4F73">
        <w:rPr>
          <w:rStyle w:val="FootnoteReference"/>
        </w:rPr>
        <w:footnoteReference w:id="1006"/>
      </w:r>
      <w:r w:rsidRPr="008F4F73">
        <w:t xml:space="preserve"> </w:t>
      </w:r>
    </w:p>
    <w:p w:rsidR="008F4F73" w:rsidRDefault="008F4F73" w:rsidP="00734DBF"/>
    <w:p w:rsidR="008577ED" w:rsidRDefault="008577ED" w:rsidP="008577ED">
      <w:pPr>
        <w:pStyle w:val="Heading7"/>
      </w:pPr>
      <w:bookmarkStart w:id="224" w:name="_Ref451692093"/>
      <w:bookmarkStart w:id="225" w:name="_Toc451943811"/>
      <w:r>
        <w:t>Empirical estimates of equity beta</w:t>
      </w:r>
      <w:bookmarkEnd w:id="224"/>
      <w:bookmarkEnd w:id="225"/>
    </w:p>
    <w:p w:rsidR="008577ED" w:rsidRDefault="008577ED" w:rsidP="008577ED">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07"/>
      </w:r>
      <w:r>
        <w:t xml:space="preserve"> </w:t>
      </w:r>
    </w:p>
    <w:p w:rsidR="008577ED" w:rsidRDefault="008577ED" w:rsidP="008577ED">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8577ED" w:rsidRDefault="008577ED" w:rsidP="008577ED">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AGN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8577ED" w:rsidRDefault="008577ED" w:rsidP="008577ED">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AGN in providing regulated services. We consider this information provides some support for an equity beta point estimate towards the upper end of the range.</w:t>
      </w:r>
    </w:p>
    <w:p w:rsidR="008577ED" w:rsidRDefault="008577ED" w:rsidP="008577ED">
      <w:pPr>
        <w:numPr>
          <w:ilvl w:val="0"/>
          <w:numId w:val="24"/>
        </w:numPr>
      </w:pPr>
      <w:r>
        <w:t>This appendix sets out:</w:t>
      </w:r>
    </w:p>
    <w:p w:rsidR="008577ED" w:rsidRDefault="008577ED" w:rsidP="008577ED">
      <w:pPr>
        <w:pStyle w:val="AERbulletlistfirststyle"/>
        <w:rPr>
          <w:rStyle w:val="AERbody"/>
        </w:rPr>
      </w:pPr>
      <w:r>
        <w:rPr>
          <w:rStyle w:val="AERbody"/>
        </w:rPr>
        <w:t>the Australian and international empirical estimates we consider in this decision</w:t>
      </w:r>
    </w:p>
    <w:p w:rsidR="008577ED" w:rsidRDefault="008577ED" w:rsidP="008577ED">
      <w:pPr>
        <w:pStyle w:val="AERbulletlistfirststyle"/>
        <w:rPr>
          <w:rStyle w:val="AERbody"/>
        </w:rPr>
      </w:pPr>
      <w:r>
        <w:rPr>
          <w:rStyle w:val="AERbody"/>
        </w:rPr>
        <w:t>the comparator set we use for our empirical analysis and our reasons for using this comparator set.</w:t>
      </w:r>
    </w:p>
    <w:p w:rsidR="008577ED" w:rsidRPr="008577ED" w:rsidRDefault="008577ED" w:rsidP="00EA4C63">
      <w:pPr>
        <w:pStyle w:val="Heading8"/>
        <w:numPr>
          <w:ilvl w:val="1"/>
          <w:numId w:val="50"/>
        </w:numPr>
      </w:pPr>
      <w:bookmarkStart w:id="226" w:name="_Ref446255169"/>
      <w:bookmarkStart w:id="227" w:name="_Toc451943812"/>
      <w:r>
        <w:t>Australian e</w:t>
      </w:r>
      <w:r w:rsidRPr="008577ED">
        <w:t>mpirical estimates from Henry's 2014 report</w:t>
      </w:r>
      <w:bookmarkEnd w:id="226"/>
      <w:bookmarkEnd w:id="227"/>
    </w:p>
    <w:p w:rsidR="008577ED" w:rsidRDefault="008577ED" w:rsidP="008577ED">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08"/>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09"/>
      </w:r>
    </w:p>
    <w:p w:rsidR="008577ED" w:rsidRPr="00C01E61" w:rsidRDefault="008577ED" w:rsidP="008577ED">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0230CB">
        <w:t>G.4.1</w:t>
      </w:r>
      <w:r>
        <w:fldChar w:fldCharType="end"/>
      </w:r>
      <w:r>
        <w:t>)</w:t>
      </w:r>
      <w:r w:rsidRPr="00C01E61">
        <w:t xml:space="preserve">, using </w:t>
      </w:r>
      <w:r>
        <w:t xml:space="preserve">available </w:t>
      </w:r>
      <w:r w:rsidRPr="00C01E61">
        <w:t>data from 29 May 1992 to 28 June 2013.</w:t>
      </w:r>
      <w:r>
        <w:rPr>
          <w:rStyle w:val="FootnoteReference"/>
        </w:rPr>
        <w:footnoteReference w:id="1010"/>
      </w:r>
      <w:r w:rsidRPr="00C01E61">
        <w:t xml:space="preserve"> </w:t>
      </w:r>
      <w:r>
        <w:t>Based on our detailed discussion of methodological choices in recent decisions,</w:t>
      </w:r>
      <w:r>
        <w:rPr>
          <w:rStyle w:val="FootnoteReference"/>
        </w:rPr>
        <w:footnoteReference w:id="1011"/>
      </w:r>
      <w:r>
        <w:t xml:space="preserve"> w</w:t>
      </w:r>
      <w:r w:rsidRPr="00C01E61">
        <w:t>e consider the most useful empirical estimates:</w:t>
      </w:r>
    </w:p>
    <w:p w:rsidR="008577ED" w:rsidRPr="008577ED" w:rsidRDefault="008577ED" w:rsidP="008577ED">
      <w:pPr>
        <w:pStyle w:val="AERbulletlistfirststyle"/>
      </w:pPr>
      <w:r>
        <w:t>use the Ordinary Least Squares (OLS)</w:t>
      </w:r>
      <w:r w:rsidRPr="008577ED">
        <w:t xml:space="preserve"> estimator (with the Least Absolute Deviation (LAD) estimator used as a robustness check for outliers in the underlying data)</w:t>
      </w:r>
    </w:p>
    <w:p w:rsidR="008577ED" w:rsidRPr="008577ED" w:rsidRDefault="008577ED" w:rsidP="008577ED">
      <w:pPr>
        <w:pStyle w:val="AERbulletlistfirststyle"/>
      </w:pPr>
      <w:r w:rsidRPr="00517D1B">
        <w:t>are measured over multiple estimation periods</w:t>
      </w:r>
      <w:r w:rsidRPr="008577ED">
        <w:t xml:space="preserve"> </w:t>
      </w:r>
    </w:p>
    <w:p w:rsidR="008577ED" w:rsidRPr="008577ED" w:rsidRDefault="008577ED" w:rsidP="008577ED">
      <w:pPr>
        <w:pStyle w:val="AERbulletlistfirststyle"/>
      </w:pPr>
      <w:r w:rsidRPr="00517D1B">
        <w:t>use weekly return intervals (with monthly returns used as a robustness check)</w:t>
      </w:r>
    </w:p>
    <w:p w:rsidR="008577ED" w:rsidRPr="008577ED" w:rsidRDefault="008577ED" w:rsidP="008577ED">
      <w:pPr>
        <w:pStyle w:val="AERbulletlistfirststyle"/>
      </w:pPr>
      <w:r>
        <w:t>use the Brealey–Myers formula</w:t>
      </w:r>
      <w:r w:rsidRPr="008577ED">
        <w:t xml:space="preserve"> to de- and re-lever raw</w:t>
      </w:r>
      <w:r w:rsidRPr="008577ED">
        <w:rPr>
          <w:rStyle w:val="FootnoteReference"/>
        </w:rPr>
        <w:footnoteReference w:id="1012"/>
      </w:r>
      <w:r w:rsidRPr="008577ED">
        <w:t xml:space="preserve"> estimates to a benchmark gearing of 60 per cent, although we consider both raw and re-levered estimates </w:t>
      </w:r>
    </w:p>
    <w:p w:rsidR="008577ED" w:rsidRPr="008577ED" w:rsidRDefault="008577ED" w:rsidP="008577ED">
      <w:pPr>
        <w:pStyle w:val="AERbulletlistfirststyle"/>
      </w:pPr>
      <w:r w:rsidRPr="00517D1B">
        <w:t>are based on averages of individual firm estimates and fixed weight portfolios (equal weighting and value weighting)</w:t>
      </w:r>
    </w:p>
    <w:p w:rsidR="008577ED" w:rsidRPr="008577ED" w:rsidRDefault="008577ED" w:rsidP="008577ED">
      <w:pPr>
        <w:pStyle w:val="AERbulletlistfirststyle"/>
      </w:pPr>
      <w:r w:rsidRPr="00517D1B">
        <w:t>do not apply a Blume or Vasicek adjustment</w:t>
      </w:r>
      <w:r w:rsidRPr="008577ED">
        <w:t>.</w:t>
      </w:r>
      <w:r w:rsidRPr="008577ED">
        <w:rPr>
          <w:rStyle w:val="FootnoteReference"/>
        </w:rPr>
        <w:footnoteReference w:id="1013"/>
      </w:r>
    </w:p>
    <w:p w:rsidR="008577ED" w:rsidRPr="00D70AB3" w:rsidRDefault="008577ED" w:rsidP="008577ED">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0230CB">
        <w:t xml:space="preserve">Table </w:t>
      </w:r>
      <w:r w:rsidR="000230CB">
        <w:rPr>
          <w:noProof/>
        </w:rPr>
        <w:t>3</w:t>
      </w:r>
      <w:r w:rsidR="000230CB">
        <w:noBreakHyphen/>
      </w:r>
      <w:r w:rsidR="000230CB">
        <w:rPr>
          <w:noProof/>
        </w:rPr>
        <w:t>35</w:t>
      </w:r>
      <w:r>
        <w:fldChar w:fldCharType="end"/>
      </w:r>
      <w:r>
        <w:t xml:space="preserve"> and </w:t>
      </w:r>
      <w:r>
        <w:fldChar w:fldCharType="begin"/>
      </w:r>
      <w:r>
        <w:instrText xml:space="preserve"> REF  _Ref446197176 \* Lower \h </w:instrText>
      </w:r>
      <w:r>
        <w:fldChar w:fldCharType="separate"/>
      </w:r>
      <w:r w:rsidR="000230CB">
        <w:t xml:space="preserve">table </w:t>
      </w:r>
      <w:r w:rsidR="000230CB">
        <w:rPr>
          <w:noProof/>
        </w:rPr>
        <w:t>3</w:t>
      </w:r>
      <w:r w:rsidR="000230CB">
        <w:noBreakHyphen/>
      </w:r>
      <w:r w:rsidR="000230CB">
        <w:rPr>
          <w:noProof/>
        </w:rPr>
        <w:t>36</w:t>
      </w:r>
      <w:r>
        <w:fldChar w:fldCharType="end"/>
      </w:r>
      <w:r>
        <w:t xml:space="preserve"> set out </w:t>
      </w:r>
      <w:r w:rsidRPr="00D70AB3">
        <w:t>Henry's re-levered OLS equity beta estimates for the individual comparator firms (averaged across firms) and fixed weight portfolios respectively. The results show that:</w:t>
      </w:r>
    </w:p>
    <w:p w:rsidR="008577ED" w:rsidRPr="008577ED" w:rsidRDefault="008577ED" w:rsidP="008577ED">
      <w:pPr>
        <w:pStyle w:val="AERbulletlistfirststyle"/>
      </w:pPr>
      <w:r>
        <w:t>The re-levered individual firm estimates (averaged across firms) range from 0.46 to 0.56. The corresponding raw (that is, observed market gearing level) estimates range from 0.48 to 0.50.</w:t>
      </w:r>
      <w:r w:rsidRPr="008577ED">
        <w:rPr>
          <w:rStyle w:val="FootnoteReference"/>
        </w:rPr>
        <w:footnoteReference w:id="1014"/>
      </w:r>
      <w:r w:rsidRPr="008577ED">
        <w:t xml:space="preserve"> </w:t>
      </w:r>
    </w:p>
    <w:p w:rsidR="008577ED" w:rsidRPr="008577ED" w:rsidRDefault="008577ED" w:rsidP="008577ED">
      <w:pPr>
        <w:pStyle w:val="AERbulletlistfirststyle"/>
      </w:pPr>
      <w:r>
        <w:t>The re-levered fixed weight portfolio estimates range from 0.39 to 0.70.</w:t>
      </w:r>
      <w:r w:rsidRPr="008577ED">
        <w:t xml:space="preserve"> The corresponding raw estimates range from 0.42 to 0.58.</w:t>
      </w:r>
      <w:r w:rsidRPr="008577ED">
        <w:rPr>
          <w:rStyle w:val="FootnoteReference"/>
        </w:rPr>
        <w:footnoteReference w:id="1015"/>
      </w:r>
    </w:p>
    <w:p w:rsidR="008577ED" w:rsidRDefault="008577ED" w:rsidP="005506D5">
      <w:pPr>
        <w:pStyle w:val="Caption"/>
      </w:pPr>
      <w:bookmarkStart w:id="228" w:name="_Ref446197185"/>
      <w:r>
        <w:t xml:space="preserve">Table </w:t>
      </w:r>
      <w:r w:rsidRPr="00AC3F76">
        <w:fldChar w:fldCharType="begin"/>
      </w:r>
      <w:r>
        <w:instrText xml:space="preserve"> STYLEREF 1 \s </w:instrText>
      </w:r>
      <w:r w:rsidRPr="00AC3F76">
        <w:fldChar w:fldCharType="separate"/>
      </w:r>
      <w:r w:rsidR="000230C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0230CB">
        <w:rPr>
          <w:noProof/>
        </w:rPr>
        <w:t>35</w:t>
      </w:r>
      <w:r w:rsidRPr="00AC3F76">
        <w:fldChar w:fldCharType="end"/>
      </w:r>
      <w:bookmarkEnd w:id="228"/>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8577ED" w:rsidTr="009A39AD">
        <w:trPr>
          <w:cnfStyle w:val="100000000000" w:firstRow="1" w:lastRow="0" w:firstColumn="0" w:lastColumn="0" w:oddVBand="0" w:evenVBand="0" w:oddHBand="0" w:evenHBand="0" w:firstRowFirstColumn="0" w:firstRowLastColumn="0" w:lastRowFirstColumn="0" w:lastRowLastColumn="0"/>
        </w:trPr>
        <w:tc>
          <w:tcPr>
            <w:tcW w:w="2093" w:type="dxa"/>
          </w:tcPr>
          <w:p w:rsidR="008577ED" w:rsidRPr="008577ED" w:rsidRDefault="008577ED" w:rsidP="00DB4FCE">
            <w:pPr>
              <w:keepNext/>
            </w:pPr>
            <w:r>
              <w:t>Issue</w:t>
            </w:r>
          </w:p>
        </w:tc>
        <w:tc>
          <w:tcPr>
            <w:tcW w:w="2360" w:type="dxa"/>
          </w:tcPr>
          <w:p w:rsidR="008577ED" w:rsidRPr="008577ED" w:rsidRDefault="008577ED" w:rsidP="00DB4FCE">
            <w:pPr>
              <w:keepNext/>
            </w:pPr>
            <w:r>
              <w:t>Longest available period</w:t>
            </w:r>
          </w:p>
        </w:tc>
        <w:tc>
          <w:tcPr>
            <w:tcW w:w="2459" w:type="dxa"/>
          </w:tcPr>
          <w:p w:rsidR="008577ED" w:rsidRPr="008577ED" w:rsidRDefault="008577ED" w:rsidP="00DB4FCE">
            <w:pPr>
              <w:keepNext/>
            </w:pPr>
            <w:r>
              <w:t>2002 to 2013 (excluding GFC)</w:t>
            </w:r>
          </w:p>
        </w:tc>
        <w:tc>
          <w:tcPr>
            <w:tcW w:w="1781" w:type="dxa"/>
          </w:tcPr>
          <w:p w:rsidR="008577ED" w:rsidRPr="008577ED" w:rsidRDefault="008577ED" w:rsidP="00DB4FCE">
            <w:pPr>
              <w:keepNext/>
            </w:pPr>
            <w:r>
              <w:t xml:space="preserve">Last five years </w:t>
            </w:r>
            <w:r w:rsidRPr="008577ED">
              <w:rPr>
                <w:rStyle w:val="FootnoteReference"/>
              </w:rPr>
              <w:t>(a)</w:t>
            </w:r>
          </w:p>
        </w:tc>
      </w:tr>
      <w:tr w:rsidR="008577ED" w:rsidTr="009A39AD">
        <w:tc>
          <w:tcPr>
            <w:tcW w:w="2093" w:type="dxa"/>
          </w:tcPr>
          <w:p w:rsidR="008577ED" w:rsidRPr="008577ED" w:rsidRDefault="008577ED" w:rsidP="00DB4FCE">
            <w:pPr>
              <w:keepNext/>
            </w:pPr>
            <w:r>
              <w:t>Re-levered OLS estimates</w:t>
            </w:r>
          </w:p>
        </w:tc>
        <w:tc>
          <w:tcPr>
            <w:tcW w:w="2360" w:type="dxa"/>
          </w:tcPr>
          <w:p w:rsidR="008577ED" w:rsidRPr="008577ED" w:rsidRDefault="008577ED" w:rsidP="00DB4FCE">
            <w:pPr>
              <w:keepNext/>
            </w:pPr>
            <w:r>
              <w:t>0.52</w:t>
            </w:r>
          </w:p>
        </w:tc>
        <w:tc>
          <w:tcPr>
            <w:tcW w:w="2459" w:type="dxa"/>
          </w:tcPr>
          <w:p w:rsidR="008577ED" w:rsidRPr="008577ED" w:rsidRDefault="008577ED" w:rsidP="00DB4FCE">
            <w:pPr>
              <w:keepNext/>
            </w:pPr>
            <w:r>
              <w:t>0.56</w:t>
            </w:r>
          </w:p>
        </w:tc>
        <w:tc>
          <w:tcPr>
            <w:tcW w:w="1781" w:type="dxa"/>
          </w:tcPr>
          <w:p w:rsidR="008577ED" w:rsidRPr="008577ED" w:rsidRDefault="008577ED" w:rsidP="00DB4FCE">
            <w:pPr>
              <w:keepNext/>
            </w:pPr>
            <w:r>
              <w:t>0.46</w:t>
            </w:r>
          </w:p>
        </w:tc>
      </w:tr>
    </w:tbl>
    <w:p w:rsidR="008577ED" w:rsidRPr="00EB6387" w:rsidRDefault="008577ED" w:rsidP="00DB4FCE">
      <w:pPr>
        <w:pStyle w:val="AERtablesource"/>
        <w:keepNext/>
      </w:pPr>
      <w:r w:rsidRPr="00C01E61">
        <w:t>Source:</w:t>
      </w:r>
      <w:r w:rsidRPr="00C01E61">
        <w:tab/>
      </w:r>
      <w:r w:rsidRPr="00EB6387">
        <w:t xml:space="preserve">AER analysis; Henry, </w:t>
      </w:r>
      <w:r w:rsidRPr="00EB6387">
        <w:rPr>
          <w:rStyle w:val="AERtextitalic"/>
        </w:rPr>
        <w:t>Estimating β: An update</w:t>
      </w:r>
      <w:r w:rsidRPr="00EB6387">
        <w:t>, April 2014.</w:t>
      </w:r>
    </w:p>
    <w:p w:rsidR="008577ED" w:rsidRDefault="008577ED" w:rsidP="00DB4FCE">
      <w:pPr>
        <w:pStyle w:val="AERtablesource"/>
        <w:keepNext/>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8577ED" w:rsidRDefault="008577ED" w:rsidP="008577ED">
      <w:pPr>
        <w:pStyle w:val="Caption"/>
      </w:pPr>
      <w:bookmarkStart w:id="229" w:name="_Ref446197176"/>
      <w:r>
        <w:t xml:space="preserve">Table </w:t>
      </w:r>
      <w:r w:rsidRPr="00AC3F76">
        <w:fldChar w:fldCharType="begin"/>
      </w:r>
      <w:r>
        <w:instrText xml:space="preserve"> STYLEREF 1 \s </w:instrText>
      </w:r>
      <w:r w:rsidRPr="00AC3F76">
        <w:fldChar w:fldCharType="separate"/>
      </w:r>
      <w:r w:rsidR="000230C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0230CB">
        <w:rPr>
          <w:noProof/>
        </w:rPr>
        <w:t>36</w:t>
      </w:r>
      <w:r w:rsidRPr="00AC3F76">
        <w:fldChar w:fldCharType="end"/>
      </w:r>
      <w:bookmarkEnd w:id="229"/>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8577ED" w:rsidTr="009A3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577ED" w:rsidRPr="009279A1" w:rsidRDefault="008577ED" w:rsidP="008577ED"/>
        </w:tc>
        <w:tc>
          <w:tcPr>
            <w:tcW w:w="1320" w:type="dxa"/>
          </w:tcPr>
          <w:p w:rsidR="008577ED" w:rsidRPr="008577ED" w:rsidRDefault="008577ED" w:rsidP="008577ED">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8577ED" w:rsidRPr="008577ED" w:rsidRDefault="008577ED" w:rsidP="008577ED">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8577ED" w:rsidRPr="008577ED" w:rsidRDefault="008577ED" w:rsidP="008577ED">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8577ED" w:rsidRPr="008577ED" w:rsidRDefault="008577ED" w:rsidP="008577ED">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8577ED" w:rsidRPr="008577ED" w:rsidRDefault="008577ED" w:rsidP="008577ED">
            <w:pPr>
              <w:cnfStyle w:val="100000000000" w:firstRow="1" w:lastRow="0" w:firstColumn="0" w:lastColumn="0" w:oddVBand="0" w:evenVBand="0" w:oddHBand="0" w:evenHBand="0" w:firstRowFirstColumn="0" w:firstRowLastColumn="0" w:lastRowFirstColumn="0" w:lastRowLastColumn="0"/>
            </w:pPr>
            <w:r>
              <w:t>P5</w:t>
            </w:r>
          </w:p>
        </w:tc>
      </w:tr>
      <w:tr w:rsidR="008577ED" w:rsidTr="009A39AD">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r>
              <w:t>Firms</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APA, DUE, ENV, SKI, SPN</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pPr>
              <w:rPr>
                <w:rStyle w:val="AERtextitalic"/>
              </w:rPr>
            </w:pPr>
            <w:r w:rsidRPr="00514842">
              <w:rPr>
                <w:rStyle w:val="AERtextitalic"/>
              </w:rPr>
              <w:t>Equal weighted</w:t>
            </w:r>
          </w:p>
        </w:tc>
        <w:tc>
          <w:tcPr>
            <w:tcW w:w="1320" w:type="dxa"/>
          </w:tcPr>
          <w:p w:rsidR="008577ED" w:rsidRPr="009279A1" w:rsidRDefault="008577ED" w:rsidP="008577ED">
            <w:pPr>
              <w:cnfStyle w:val="000000010000" w:firstRow="0" w:lastRow="0" w:firstColumn="0" w:lastColumn="0" w:oddVBand="0" w:evenVBand="0" w:oddHBand="0" w:evenHBand="1" w:firstRowFirstColumn="0" w:firstRowLastColumn="0" w:lastRowFirstColumn="0" w:lastRowLastColumn="0"/>
            </w:pPr>
          </w:p>
        </w:tc>
        <w:tc>
          <w:tcPr>
            <w:tcW w:w="1320" w:type="dxa"/>
          </w:tcPr>
          <w:p w:rsidR="008577ED" w:rsidRPr="009279A1" w:rsidRDefault="008577ED" w:rsidP="008577ED">
            <w:pPr>
              <w:cnfStyle w:val="000000010000" w:firstRow="0" w:lastRow="0" w:firstColumn="0" w:lastColumn="0" w:oddVBand="0" w:evenVBand="0" w:oddHBand="0" w:evenHBand="1" w:firstRowFirstColumn="0" w:firstRowLastColumn="0" w:lastRowFirstColumn="0" w:lastRowLastColumn="0"/>
            </w:pPr>
          </w:p>
        </w:tc>
        <w:tc>
          <w:tcPr>
            <w:tcW w:w="1320" w:type="dxa"/>
          </w:tcPr>
          <w:p w:rsidR="008577ED" w:rsidRPr="009279A1" w:rsidRDefault="008577ED" w:rsidP="008577ED">
            <w:pPr>
              <w:cnfStyle w:val="000000010000" w:firstRow="0" w:lastRow="0" w:firstColumn="0" w:lastColumn="0" w:oddVBand="0" w:evenVBand="0" w:oddHBand="0" w:evenHBand="1" w:firstRowFirstColumn="0" w:firstRowLastColumn="0" w:lastRowFirstColumn="0" w:lastRowLastColumn="0"/>
            </w:pPr>
          </w:p>
        </w:tc>
        <w:tc>
          <w:tcPr>
            <w:tcW w:w="1320" w:type="dxa"/>
          </w:tcPr>
          <w:p w:rsidR="008577ED" w:rsidRPr="009279A1" w:rsidRDefault="008577ED" w:rsidP="008577ED">
            <w:pPr>
              <w:cnfStyle w:val="000000010000" w:firstRow="0" w:lastRow="0" w:firstColumn="0" w:lastColumn="0" w:oddVBand="0" w:evenVBand="0" w:oddHBand="0" w:evenHBand="1" w:firstRowFirstColumn="0" w:firstRowLastColumn="0" w:lastRowFirstColumn="0" w:lastRowLastColumn="0"/>
            </w:pPr>
          </w:p>
        </w:tc>
        <w:tc>
          <w:tcPr>
            <w:tcW w:w="1320" w:type="dxa"/>
          </w:tcPr>
          <w:p w:rsidR="008577ED" w:rsidRPr="009279A1" w:rsidRDefault="008577ED" w:rsidP="008577ED">
            <w:pPr>
              <w:cnfStyle w:val="000000010000" w:firstRow="0" w:lastRow="0" w:firstColumn="0" w:lastColumn="0" w:oddVBand="0" w:evenVBand="0" w:oddHBand="0" w:evenHBand="1" w:firstRowFirstColumn="0" w:firstRowLastColumn="0" w:lastRowFirstColumn="0" w:lastRowLastColumn="0"/>
            </w:pPr>
          </w:p>
        </w:tc>
      </w:tr>
      <w:tr w:rsidR="008577ED" w:rsidTr="009A39AD">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r w:rsidRPr="00D20501">
              <w:t xml:space="preserve">Longest available </w:t>
            </w:r>
            <w:r w:rsidRPr="008577ED">
              <w:t>period</w:t>
            </w:r>
            <w:r w:rsidRPr="008577ED">
              <w:rPr>
                <w:rStyle w:val="AERsuperscript"/>
              </w:rPr>
              <w:t>(a)</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0.39</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r>
              <w:t>Longest peri</w:t>
            </w:r>
            <w:r w:rsidRPr="008577ED">
              <w:t>od available (excl. tech boom &amp; GFC)</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0.45</w:t>
            </w:r>
          </w:p>
        </w:tc>
      </w:tr>
      <w:tr w:rsidR="008577ED" w:rsidTr="009A39AD">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pPr>
              <w:rPr>
                <w:rStyle w:val="AERtextitalic"/>
              </w:rPr>
            </w:pPr>
            <w:r w:rsidRPr="00514842">
              <w:rPr>
                <w:rStyle w:val="AERtextitalic"/>
              </w:rPr>
              <w:t>Value weighted</w:t>
            </w:r>
          </w:p>
        </w:tc>
        <w:tc>
          <w:tcPr>
            <w:tcW w:w="1320" w:type="dxa"/>
          </w:tcPr>
          <w:p w:rsidR="008577ED" w:rsidRPr="009279A1" w:rsidRDefault="008577ED" w:rsidP="008577ED">
            <w:pPr>
              <w:cnfStyle w:val="000000000000" w:firstRow="0" w:lastRow="0" w:firstColumn="0" w:lastColumn="0" w:oddVBand="0" w:evenVBand="0" w:oddHBand="0" w:evenHBand="0" w:firstRowFirstColumn="0" w:firstRowLastColumn="0" w:lastRowFirstColumn="0" w:lastRowLastColumn="0"/>
            </w:pPr>
          </w:p>
        </w:tc>
        <w:tc>
          <w:tcPr>
            <w:tcW w:w="1320" w:type="dxa"/>
          </w:tcPr>
          <w:p w:rsidR="008577ED" w:rsidRPr="009279A1" w:rsidRDefault="008577ED" w:rsidP="008577ED">
            <w:pPr>
              <w:cnfStyle w:val="000000000000" w:firstRow="0" w:lastRow="0" w:firstColumn="0" w:lastColumn="0" w:oddVBand="0" w:evenVBand="0" w:oddHBand="0" w:evenHBand="0" w:firstRowFirstColumn="0" w:firstRowLastColumn="0" w:lastRowFirstColumn="0" w:lastRowLastColumn="0"/>
            </w:pPr>
          </w:p>
        </w:tc>
        <w:tc>
          <w:tcPr>
            <w:tcW w:w="1320" w:type="dxa"/>
          </w:tcPr>
          <w:p w:rsidR="008577ED" w:rsidRPr="009279A1" w:rsidRDefault="008577ED" w:rsidP="008577ED">
            <w:pPr>
              <w:cnfStyle w:val="000000000000" w:firstRow="0" w:lastRow="0" w:firstColumn="0" w:lastColumn="0" w:oddVBand="0" w:evenVBand="0" w:oddHBand="0" w:evenHBand="0" w:firstRowFirstColumn="0" w:firstRowLastColumn="0" w:lastRowFirstColumn="0" w:lastRowLastColumn="0"/>
            </w:pPr>
          </w:p>
        </w:tc>
        <w:tc>
          <w:tcPr>
            <w:tcW w:w="1320" w:type="dxa"/>
          </w:tcPr>
          <w:p w:rsidR="008577ED" w:rsidRPr="009279A1" w:rsidRDefault="008577ED" w:rsidP="008577ED">
            <w:pPr>
              <w:cnfStyle w:val="000000000000" w:firstRow="0" w:lastRow="0" w:firstColumn="0" w:lastColumn="0" w:oddVBand="0" w:evenVBand="0" w:oddHBand="0" w:evenHBand="0" w:firstRowFirstColumn="0" w:firstRowLastColumn="0" w:lastRowFirstColumn="0" w:lastRowLastColumn="0"/>
            </w:pPr>
          </w:p>
        </w:tc>
        <w:tc>
          <w:tcPr>
            <w:tcW w:w="1320" w:type="dxa"/>
          </w:tcPr>
          <w:p w:rsidR="008577ED" w:rsidRPr="009279A1" w:rsidRDefault="008577ED" w:rsidP="008577ED">
            <w:pPr>
              <w:cnfStyle w:val="000000000000" w:firstRow="0" w:lastRow="0" w:firstColumn="0" w:lastColumn="0" w:oddVBand="0" w:evenVBand="0" w:oddHBand="0" w:evenHBand="0" w:firstRowFirstColumn="0" w:firstRowLastColumn="0" w:lastRowFirstColumn="0" w:lastRowLastColumn="0"/>
            </w:pPr>
          </w:p>
        </w:tc>
      </w:tr>
      <w:tr w:rsidR="008577ED" w:rsidTr="009A3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r w:rsidRPr="00D20501">
              <w:t>Longest available period</w:t>
            </w:r>
            <w:r w:rsidRPr="008577ED">
              <w:rPr>
                <w:rStyle w:val="AERsuperscript"/>
              </w:rPr>
              <w:t>(a)</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8577ED" w:rsidRPr="008577ED" w:rsidRDefault="008577ED" w:rsidP="008577ED">
            <w:pPr>
              <w:cnfStyle w:val="000000010000" w:firstRow="0" w:lastRow="0" w:firstColumn="0" w:lastColumn="0" w:oddVBand="0" w:evenVBand="0" w:oddHBand="0" w:evenHBand="1" w:firstRowFirstColumn="0" w:firstRowLastColumn="0" w:lastRowFirstColumn="0" w:lastRowLastColumn="0"/>
            </w:pPr>
            <w:r>
              <w:t>0.39</w:t>
            </w:r>
          </w:p>
        </w:tc>
      </w:tr>
      <w:tr w:rsidR="008577ED" w:rsidTr="009A39AD">
        <w:tc>
          <w:tcPr>
            <w:cnfStyle w:val="001000000000" w:firstRow="0" w:lastRow="0" w:firstColumn="1" w:lastColumn="0" w:oddVBand="0" w:evenVBand="0" w:oddHBand="0" w:evenHBand="0" w:firstRowFirstColumn="0" w:firstRowLastColumn="0" w:lastRowFirstColumn="0" w:lastRowLastColumn="0"/>
            <w:tcW w:w="2093" w:type="dxa"/>
          </w:tcPr>
          <w:p w:rsidR="008577ED" w:rsidRPr="008577ED" w:rsidRDefault="008577ED" w:rsidP="008577ED">
            <w:r>
              <w:t>Longest peri</w:t>
            </w:r>
            <w:r w:rsidRPr="008577ED">
              <w:t>od available (excl. tech boom &amp; GFC)</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8577ED" w:rsidRPr="008577ED" w:rsidRDefault="008577ED" w:rsidP="008577ED">
            <w:pPr>
              <w:cnfStyle w:val="000000000000" w:firstRow="0" w:lastRow="0" w:firstColumn="0" w:lastColumn="0" w:oddVBand="0" w:evenVBand="0" w:oddHBand="0" w:evenHBand="0" w:firstRowFirstColumn="0" w:firstRowLastColumn="0" w:lastRowFirstColumn="0" w:lastRowLastColumn="0"/>
            </w:pPr>
            <w:r>
              <w:t>0.48</w:t>
            </w:r>
          </w:p>
        </w:tc>
      </w:tr>
    </w:tbl>
    <w:p w:rsidR="008577ED" w:rsidRPr="00C01E61" w:rsidRDefault="008577ED" w:rsidP="008577ED">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8577ED" w:rsidRPr="006460A6" w:rsidRDefault="008577ED" w:rsidP="008577ED">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AGN's draft decision</w:t>
      </w:r>
      <w:r w:rsidRPr="006460A6">
        <w:t>.</w:t>
      </w:r>
    </w:p>
    <w:p w:rsidR="008577ED" w:rsidRPr="006460A6" w:rsidRDefault="008577ED" w:rsidP="008577ED">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8577ED" w:rsidRDefault="008577ED" w:rsidP="008577ED">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16"/>
      </w:r>
      <w:r>
        <w:t xml:space="preserve"> The results are as follows:</w:t>
      </w:r>
      <w:r>
        <w:rPr>
          <w:rStyle w:val="FootnoteReference"/>
        </w:rPr>
        <w:footnoteReference w:id="1017"/>
      </w:r>
    </w:p>
    <w:p w:rsidR="008577ED" w:rsidRPr="008577ED" w:rsidRDefault="008577ED" w:rsidP="008577ED">
      <w:pPr>
        <w:pStyle w:val="AERbulletlistfirststyle"/>
      </w:pPr>
      <w:r w:rsidRPr="00CA72A5">
        <w:t>the re-levered LAD estimates range from 0.38 to 0.58 and the raw LAD estimates range from 0.31 to 0.60.</w:t>
      </w:r>
      <w:r w:rsidRPr="008577ED">
        <w:rPr>
          <w:rStyle w:val="FootnoteReference"/>
        </w:rPr>
        <w:footnoteReference w:id="1018"/>
      </w:r>
    </w:p>
    <w:p w:rsidR="008577ED" w:rsidRPr="008577ED" w:rsidRDefault="008577ED" w:rsidP="008577ED">
      <w:pPr>
        <w:pStyle w:val="AERbulletlistfirststyle"/>
      </w:pPr>
      <w:r w:rsidRPr="00CA72A5">
        <w:t>the OLS estimates using monthly return intervals range from 0.37 to 0.58.</w:t>
      </w:r>
      <w:r w:rsidRPr="008577ED">
        <w:rPr>
          <w:rStyle w:val="FootnoteReference"/>
        </w:rPr>
        <w:footnoteReference w:id="1019"/>
      </w:r>
      <w:r w:rsidRPr="008577ED">
        <w:t xml:space="preserve"> </w:t>
      </w:r>
    </w:p>
    <w:p w:rsidR="008577ED" w:rsidRDefault="008577ED" w:rsidP="008577ED">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20"/>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21"/>
      </w:r>
    </w:p>
    <w:p w:rsidR="008577ED" w:rsidRDefault="008577ED" w:rsidP="008577ED">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8577ED" w:rsidRDefault="008577ED" w:rsidP="008577ED">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0230CB">
        <w:t xml:space="preserve">figure </w:t>
      </w:r>
      <w:r w:rsidR="000230CB">
        <w:rPr>
          <w:noProof/>
        </w:rPr>
        <w:t>3</w:t>
      </w:r>
      <w:r w:rsidR="000230CB">
        <w:noBreakHyphen/>
      </w:r>
      <w:r w:rsidR="000230CB">
        <w:rPr>
          <w:noProof/>
        </w:rPr>
        <w:t>18</w:t>
      </w:r>
      <w:r>
        <w:fldChar w:fldCharType="end"/>
      </w:r>
      <w:r>
        <w:t>.</w:t>
      </w:r>
    </w:p>
    <w:p w:rsidR="008577ED" w:rsidRDefault="008577ED" w:rsidP="008577ED">
      <w:pPr>
        <w:pStyle w:val="Caption"/>
      </w:pPr>
      <w:bookmarkStart w:id="230" w:name="_Ref446243940"/>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18</w:t>
      </w:r>
      <w:r w:rsidR="00527450">
        <w:rPr>
          <w:noProof/>
        </w:rPr>
        <w:fldChar w:fldCharType="end"/>
      </w:r>
      <w:bookmarkEnd w:id="230"/>
      <w:r>
        <w:tab/>
        <w:t>Equity beta estimates from Henry's 2014 report (average of individual firm estimates and fixed weight portfolio estimates)</w:t>
      </w:r>
    </w:p>
    <w:p w:rsidR="008577ED" w:rsidRDefault="008577ED" w:rsidP="008577ED">
      <w:pPr>
        <w:numPr>
          <w:ilvl w:val="0"/>
          <w:numId w:val="24"/>
        </w:numPr>
      </w:pPr>
      <w:r w:rsidRPr="00AC3F76">
        <w:rPr>
          <w:noProof/>
          <w:lang w:eastAsia="en-AU"/>
        </w:rPr>
        <w:drawing>
          <wp:inline distT="0" distB="0" distL="0" distR="0" wp14:anchorId="59DDE1DF" wp14:editId="302F1063">
            <wp:extent cx="5472000" cy="329052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8577ED" w:rsidRPr="00812C81" w:rsidRDefault="008577ED" w:rsidP="008577ED">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8577ED" w:rsidRDefault="008577ED" w:rsidP="008577ED">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8577ED" w:rsidRPr="00345FC0" w:rsidRDefault="008577ED" w:rsidP="008577ED">
      <w:pPr>
        <w:pStyle w:val="Heading8"/>
      </w:pPr>
      <w:bookmarkStart w:id="231" w:name="_Ref446255164"/>
      <w:bookmarkStart w:id="232" w:name="_Toc451943813"/>
      <w:bookmarkStart w:id="233" w:name="_Ref401311140"/>
      <w:bookmarkStart w:id="234" w:name="_Toc401315943"/>
      <w:bookmarkStart w:id="235" w:name="_Toc403990360"/>
      <w:bookmarkStart w:id="236" w:name="_Toc404643523"/>
      <w:bookmarkStart w:id="237" w:name="_Toc415561729"/>
      <w:bookmarkStart w:id="238" w:name="_Toc417396119"/>
      <w:bookmarkStart w:id="239" w:name="_Toc418006918"/>
      <w:bookmarkStart w:id="240" w:name="_Toc431206901"/>
      <w:bookmarkStart w:id="241" w:name="_Toc443584848"/>
      <w:r>
        <w:t>Australian e</w:t>
      </w:r>
      <w:r w:rsidRPr="00345FC0">
        <w:t>mpirical estimates</w:t>
      </w:r>
      <w:r>
        <w:t xml:space="preserve"> from other studies</w:t>
      </w:r>
      <w:bookmarkEnd w:id="231"/>
      <w:bookmarkEnd w:id="232"/>
    </w:p>
    <w:bookmarkEnd w:id="233"/>
    <w:bookmarkEnd w:id="234"/>
    <w:bookmarkEnd w:id="235"/>
    <w:bookmarkEnd w:id="236"/>
    <w:bookmarkEnd w:id="237"/>
    <w:bookmarkEnd w:id="238"/>
    <w:bookmarkEnd w:id="239"/>
    <w:bookmarkEnd w:id="240"/>
    <w:bookmarkEnd w:id="241"/>
    <w:p w:rsidR="008577ED" w:rsidRDefault="008577ED" w:rsidP="008577ED">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0230CB">
        <w:t xml:space="preserve">table </w:t>
      </w:r>
      <w:r w:rsidR="000230CB">
        <w:rPr>
          <w:noProof/>
        </w:rPr>
        <w:t>3</w:t>
      </w:r>
      <w:r w:rsidR="000230CB">
        <w:noBreakHyphen/>
      </w:r>
      <w:r w:rsidR="000230CB">
        <w:rPr>
          <w:noProof/>
        </w:rPr>
        <w:t>37</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22"/>
      </w:r>
      <w:r>
        <w:t xml:space="preserve"> Nonetheless, the empirical estimates presented give us confidence that there is an extensive pattern of support for an empirical equity beta within a range of 0.4 to 0.7.</w:t>
      </w:r>
    </w:p>
    <w:p w:rsidR="005506D5" w:rsidRDefault="005506D5" w:rsidP="00DB4FCE"/>
    <w:p w:rsidR="005506D5" w:rsidRDefault="005506D5" w:rsidP="00DB4FCE"/>
    <w:p w:rsidR="008577ED" w:rsidRDefault="008577ED" w:rsidP="008577ED">
      <w:pPr>
        <w:pStyle w:val="Caption"/>
      </w:pPr>
      <w:bookmarkStart w:id="242" w:name="_Ref446197667"/>
      <w:r>
        <w:t xml:space="preserve">Table </w:t>
      </w:r>
      <w:r w:rsidRPr="00AC3F76">
        <w:fldChar w:fldCharType="begin"/>
      </w:r>
      <w:r>
        <w:instrText xml:space="preserve"> STYLEREF 1 \s </w:instrText>
      </w:r>
      <w:r w:rsidRPr="00AC3F76">
        <w:fldChar w:fldCharType="separate"/>
      </w:r>
      <w:r w:rsidR="000230CB">
        <w:rPr>
          <w:noProof/>
        </w:rPr>
        <w:t>3</w:t>
      </w:r>
      <w:r w:rsidRPr="00AC3F76">
        <w:fldChar w:fldCharType="end"/>
      </w:r>
      <w:r>
        <w:noBreakHyphen/>
      </w:r>
      <w:r w:rsidRPr="00AC3F76">
        <w:fldChar w:fldCharType="begin"/>
      </w:r>
      <w:r>
        <w:instrText xml:space="preserve"> SEQ Table \* ARABIC \s 1 </w:instrText>
      </w:r>
      <w:r w:rsidRPr="00AC3F76">
        <w:fldChar w:fldCharType="separate"/>
      </w:r>
      <w:r w:rsidR="000230CB">
        <w:rPr>
          <w:noProof/>
        </w:rPr>
        <w:t>37</w:t>
      </w:r>
      <w:r w:rsidRPr="00AC3F76">
        <w:fldChar w:fldCharType="end"/>
      </w:r>
      <w:bookmarkEnd w:id="242"/>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8577ED" w:rsidTr="009A39AD">
        <w:trPr>
          <w:cnfStyle w:val="100000000000" w:firstRow="1" w:lastRow="0" w:firstColumn="0" w:lastColumn="0" w:oddVBand="0" w:evenVBand="0" w:oddHBand="0" w:evenHBand="0" w:firstRowFirstColumn="0" w:firstRowLastColumn="0" w:lastRowFirstColumn="0" w:lastRowLastColumn="0"/>
        </w:trPr>
        <w:tc>
          <w:tcPr>
            <w:tcW w:w="1101" w:type="dxa"/>
          </w:tcPr>
          <w:p w:rsidR="008577ED" w:rsidRPr="008577ED" w:rsidRDefault="008577ED" w:rsidP="008577ED">
            <w:r>
              <w:t>Source</w:t>
            </w:r>
          </w:p>
        </w:tc>
        <w:tc>
          <w:tcPr>
            <w:tcW w:w="850" w:type="dxa"/>
          </w:tcPr>
          <w:p w:rsidR="008577ED" w:rsidRPr="008577ED" w:rsidRDefault="008577ED" w:rsidP="008577ED">
            <w:r>
              <w:t xml:space="preserve">Time </w:t>
            </w:r>
            <w:r w:rsidRPr="008577ED">
              <w:t>period</w:t>
            </w:r>
          </w:p>
        </w:tc>
        <w:tc>
          <w:tcPr>
            <w:tcW w:w="992" w:type="dxa"/>
          </w:tcPr>
          <w:p w:rsidR="008577ED" w:rsidRPr="008577ED" w:rsidRDefault="008577ED" w:rsidP="008577ED">
            <w:r>
              <w:t>Individual firm averages</w:t>
            </w:r>
          </w:p>
        </w:tc>
        <w:tc>
          <w:tcPr>
            <w:tcW w:w="993" w:type="dxa"/>
          </w:tcPr>
          <w:p w:rsidR="008577ED" w:rsidRPr="008577ED" w:rsidRDefault="008577ED" w:rsidP="008577ED">
            <w:r>
              <w:t>Fixed portfolios</w:t>
            </w:r>
          </w:p>
        </w:tc>
        <w:tc>
          <w:tcPr>
            <w:tcW w:w="992" w:type="dxa"/>
          </w:tcPr>
          <w:p w:rsidR="008577ED" w:rsidRPr="008577ED" w:rsidRDefault="008577ED" w:rsidP="008577ED">
            <w:r>
              <w:t>Varying portfolios</w:t>
            </w:r>
          </w:p>
        </w:tc>
        <w:tc>
          <w:tcPr>
            <w:tcW w:w="3765" w:type="dxa"/>
          </w:tcPr>
          <w:p w:rsidR="008577ED" w:rsidRPr="008577ED" w:rsidRDefault="008577ED" w:rsidP="008577ED">
            <w:r>
              <w:t>Summary of regression permutations</w:t>
            </w:r>
          </w:p>
        </w:tc>
      </w:tr>
      <w:tr w:rsidR="008577ED" w:rsidTr="009A39AD">
        <w:tc>
          <w:tcPr>
            <w:tcW w:w="1101" w:type="dxa"/>
          </w:tcPr>
          <w:p w:rsidR="008577ED" w:rsidRPr="008577ED" w:rsidRDefault="008577ED" w:rsidP="008577ED">
            <w:r>
              <w:t>Henry 2014</w:t>
            </w:r>
          </w:p>
        </w:tc>
        <w:tc>
          <w:tcPr>
            <w:tcW w:w="850" w:type="dxa"/>
          </w:tcPr>
          <w:p w:rsidR="008577ED" w:rsidRPr="008577ED" w:rsidRDefault="008577ED" w:rsidP="008577ED">
            <w:r>
              <w:t>1992–2013</w:t>
            </w:r>
          </w:p>
        </w:tc>
        <w:tc>
          <w:tcPr>
            <w:tcW w:w="992" w:type="dxa"/>
          </w:tcPr>
          <w:p w:rsidR="008577ED" w:rsidRPr="008577ED" w:rsidRDefault="008577ED" w:rsidP="008577ED">
            <w:r>
              <w:t>0.37–0.56</w:t>
            </w:r>
          </w:p>
        </w:tc>
        <w:tc>
          <w:tcPr>
            <w:tcW w:w="993" w:type="dxa"/>
          </w:tcPr>
          <w:p w:rsidR="008577ED" w:rsidRPr="008577ED" w:rsidRDefault="008577ED" w:rsidP="008577ED">
            <w:r>
              <w:t>0.31–0.70</w:t>
            </w:r>
            <w:r w:rsidRPr="008577ED">
              <w:rPr>
                <w:rStyle w:val="AERsuperscript"/>
              </w:rPr>
              <w:t>(b)</w:t>
            </w:r>
          </w:p>
        </w:tc>
        <w:tc>
          <w:tcPr>
            <w:tcW w:w="992" w:type="dxa"/>
          </w:tcPr>
          <w:p w:rsidR="008577ED" w:rsidRPr="008577ED" w:rsidRDefault="008577ED" w:rsidP="008577ED">
            <w:r>
              <w:t>0.39–0.53</w:t>
            </w:r>
          </w:p>
        </w:tc>
        <w:tc>
          <w:tcPr>
            <w:tcW w:w="3765" w:type="dxa"/>
          </w:tcPr>
          <w:p w:rsidR="008577ED" w:rsidRPr="008577ED" w:rsidRDefault="008577ED" w:rsidP="008577ED">
            <w:r w:rsidRPr="001F00F1">
              <w:t xml:space="preserve">weekly/monthly return intervals, multiple estimation periods, OLS/LAD regressions, value/equal weight fixed portfolios, average/median varying portfolios, </w:t>
            </w:r>
            <w:r w:rsidRPr="008577ED">
              <w:t>raw/re-levered estimates, 9 comparators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101" w:type="dxa"/>
          </w:tcPr>
          <w:p w:rsidR="008577ED" w:rsidRPr="008577ED" w:rsidRDefault="008577ED" w:rsidP="008577ED">
            <w:r>
              <w:t>Grant Samuel 2014</w:t>
            </w:r>
          </w:p>
        </w:tc>
        <w:tc>
          <w:tcPr>
            <w:tcW w:w="850" w:type="dxa"/>
          </w:tcPr>
          <w:p w:rsidR="008577ED" w:rsidRPr="008577ED" w:rsidRDefault="008577ED" w:rsidP="008577ED">
            <w:r>
              <w:t>2009–2014</w:t>
            </w:r>
            <w:r w:rsidRPr="008577ED">
              <w:rPr>
                <w:rStyle w:val="AERsuperscript"/>
              </w:rPr>
              <w:t>(c)</w:t>
            </w:r>
          </w:p>
        </w:tc>
        <w:tc>
          <w:tcPr>
            <w:tcW w:w="992" w:type="dxa"/>
          </w:tcPr>
          <w:p w:rsidR="008577ED" w:rsidRPr="008577ED" w:rsidRDefault="008577ED" w:rsidP="008577ED">
            <w:r>
              <w:t>0.42–0.64</w:t>
            </w:r>
          </w:p>
        </w:tc>
        <w:tc>
          <w:tcPr>
            <w:tcW w:w="993" w:type="dxa"/>
          </w:tcPr>
          <w:p w:rsidR="008577ED" w:rsidRPr="008577ED" w:rsidRDefault="008577ED" w:rsidP="008577ED">
            <w:r>
              <w:t>n/a</w:t>
            </w:r>
          </w:p>
        </w:tc>
        <w:tc>
          <w:tcPr>
            <w:tcW w:w="992" w:type="dxa"/>
          </w:tcPr>
          <w:p w:rsidR="008577ED" w:rsidRPr="008577ED" w:rsidRDefault="008577ED" w:rsidP="008577ED">
            <w:r>
              <w:t>n/a</w:t>
            </w:r>
          </w:p>
        </w:tc>
        <w:tc>
          <w:tcPr>
            <w:tcW w:w="3765" w:type="dxa"/>
          </w:tcPr>
          <w:p w:rsidR="008577ED" w:rsidRPr="008577ED" w:rsidRDefault="008577ED" w:rsidP="008577ED">
            <w:r w:rsidRPr="001F00F1">
              <w:t xml:space="preserve">weekly/monthly </w:t>
            </w:r>
            <w:r w:rsidRPr="008577ED">
              <w:t>return intervals, multiple estimation periods, OLS regressions, Bloomberg adjusted betas, raw estimates, 5 comparators</w:t>
            </w:r>
          </w:p>
        </w:tc>
      </w:tr>
      <w:tr w:rsidR="008577ED" w:rsidTr="009A39AD">
        <w:tc>
          <w:tcPr>
            <w:tcW w:w="1101" w:type="dxa"/>
          </w:tcPr>
          <w:p w:rsidR="008577ED" w:rsidRPr="008577ED" w:rsidRDefault="008577ED" w:rsidP="008577ED">
            <w:r>
              <w:t>ERA 2013</w:t>
            </w:r>
          </w:p>
        </w:tc>
        <w:tc>
          <w:tcPr>
            <w:tcW w:w="850" w:type="dxa"/>
          </w:tcPr>
          <w:p w:rsidR="008577ED" w:rsidRPr="008577ED" w:rsidRDefault="008577ED" w:rsidP="008577ED">
            <w:r>
              <w:t>2002–2013</w:t>
            </w:r>
          </w:p>
        </w:tc>
        <w:tc>
          <w:tcPr>
            <w:tcW w:w="992" w:type="dxa"/>
          </w:tcPr>
          <w:p w:rsidR="008577ED" w:rsidRPr="008577ED" w:rsidRDefault="008577ED" w:rsidP="008577ED">
            <w:r>
              <w:t>0.48–0.52</w:t>
            </w:r>
          </w:p>
        </w:tc>
        <w:tc>
          <w:tcPr>
            <w:tcW w:w="993" w:type="dxa"/>
          </w:tcPr>
          <w:p w:rsidR="008577ED" w:rsidRPr="008577ED" w:rsidRDefault="008577ED" w:rsidP="008577ED">
            <w:r>
              <w:t>0.39–0.59</w:t>
            </w:r>
          </w:p>
        </w:tc>
        <w:tc>
          <w:tcPr>
            <w:tcW w:w="992" w:type="dxa"/>
          </w:tcPr>
          <w:p w:rsidR="008577ED" w:rsidRPr="008577ED" w:rsidRDefault="008577ED" w:rsidP="008577ED">
            <w:r>
              <w:t>n/a</w:t>
            </w:r>
          </w:p>
        </w:tc>
        <w:tc>
          <w:tcPr>
            <w:tcW w:w="3765" w:type="dxa"/>
          </w:tcPr>
          <w:p w:rsidR="008577ED" w:rsidRPr="008577ED" w:rsidRDefault="008577ED" w:rsidP="008577ED">
            <w:r w:rsidRPr="001F00F1">
              <w:t xml:space="preserve">weekly return intervals, OLS/LAD/MM/TS regressions, value/equal weight fixed portfolios, </w:t>
            </w:r>
            <w:r w:rsidRPr="008577ED">
              <w:t>multiple estimation periods, re-levered estimates, 6 comparators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101" w:type="dxa"/>
          </w:tcPr>
          <w:p w:rsidR="008577ED" w:rsidRPr="008577ED" w:rsidRDefault="008577ED" w:rsidP="008577ED">
            <w:r>
              <w:t>SFG 2013</w:t>
            </w:r>
          </w:p>
        </w:tc>
        <w:tc>
          <w:tcPr>
            <w:tcW w:w="850" w:type="dxa"/>
          </w:tcPr>
          <w:p w:rsidR="008577ED" w:rsidRPr="008577ED" w:rsidRDefault="008577ED" w:rsidP="008577ED">
            <w:r>
              <w:t>2002–2013</w:t>
            </w:r>
          </w:p>
        </w:tc>
        <w:tc>
          <w:tcPr>
            <w:tcW w:w="992" w:type="dxa"/>
          </w:tcPr>
          <w:p w:rsidR="008577ED" w:rsidRPr="008577ED" w:rsidRDefault="008577ED" w:rsidP="008577ED">
            <w:r>
              <w:t>0.60</w:t>
            </w:r>
          </w:p>
        </w:tc>
        <w:tc>
          <w:tcPr>
            <w:tcW w:w="993" w:type="dxa"/>
          </w:tcPr>
          <w:p w:rsidR="008577ED" w:rsidRPr="008577ED" w:rsidRDefault="008577ED" w:rsidP="008577ED">
            <w:r>
              <w:t>n/a</w:t>
            </w:r>
          </w:p>
        </w:tc>
        <w:tc>
          <w:tcPr>
            <w:tcW w:w="992" w:type="dxa"/>
          </w:tcPr>
          <w:p w:rsidR="008577ED" w:rsidRPr="008577ED" w:rsidRDefault="008577ED" w:rsidP="008577ED">
            <w:r>
              <w:t>0.55</w:t>
            </w:r>
          </w:p>
        </w:tc>
        <w:tc>
          <w:tcPr>
            <w:tcW w:w="3765" w:type="dxa"/>
          </w:tcPr>
          <w:p w:rsidR="008577ED" w:rsidRPr="008577ED" w:rsidRDefault="008577ED" w:rsidP="008577ED">
            <w:r w:rsidRPr="001F00F1">
              <w:t>OLS regressions, four weekly repeat sampling, Vasicek</w:t>
            </w:r>
            <w:r w:rsidRPr="008577ED">
              <w:t xml:space="preserve"> adjustment, re-levered estimates, 9 comparators</w:t>
            </w:r>
          </w:p>
        </w:tc>
      </w:tr>
      <w:tr w:rsidR="008577ED" w:rsidTr="009A39AD">
        <w:tc>
          <w:tcPr>
            <w:tcW w:w="1101" w:type="dxa"/>
          </w:tcPr>
          <w:p w:rsidR="008577ED" w:rsidRPr="008577ED" w:rsidRDefault="008577ED" w:rsidP="008577ED">
            <w:r>
              <w:t>ERA 2012</w:t>
            </w:r>
          </w:p>
        </w:tc>
        <w:tc>
          <w:tcPr>
            <w:tcW w:w="850" w:type="dxa"/>
          </w:tcPr>
          <w:p w:rsidR="008577ED" w:rsidRPr="008577ED" w:rsidRDefault="008577ED" w:rsidP="008577ED">
            <w:r>
              <w:t>2002–2011</w:t>
            </w:r>
          </w:p>
        </w:tc>
        <w:tc>
          <w:tcPr>
            <w:tcW w:w="992" w:type="dxa"/>
          </w:tcPr>
          <w:p w:rsidR="008577ED" w:rsidRPr="008577ED" w:rsidRDefault="008577ED" w:rsidP="008577ED">
            <w:r>
              <w:t>0.44–0.60</w:t>
            </w:r>
          </w:p>
        </w:tc>
        <w:tc>
          <w:tcPr>
            <w:tcW w:w="993" w:type="dxa"/>
          </w:tcPr>
          <w:p w:rsidR="008577ED" w:rsidRPr="008577ED" w:rsidRDefault="008577ED" w:rsidP="008577ED">
            <w:r>
              <w:t>n/a</w:t>
            </w:r>
          </w:p>
        </w:tc>
        <w:tc>
          <w:tcPr>
            <w:tcW w:w="992" w:type="dxa"/>
          </w:tcPr>
          <w:p w:rsidR="008577ED" w:rsidRPr="008577ED" w:rsidRDefault="008577ED" w:rsidP="008577ED">
            <w:r>
              <w:t>n/a</w:t>
            </w:r>
          </w:p>
        </w:tc>
        <w:tc>
          <w:tcPr>
            <w:tcW w:w="3765" w:type="dxa"/>
          </w:tcPr>
          <w:p w:rsidR="008577ED" w:rsidRPr="008577ED" w:rsidRDefault="008577ED" w:rsidP="008577ED">
            <w:r w:rsidRPr="001F00F1">
              <w:t xml:space="preserve">weekly/monthly </w:t>
            </w:r>
            <w:r w:rsidRPr="008577ED">
              <w:t>return intervals, OLS/LAD regressions, re-levered estimates, 9 comparators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101" w:type="dxa"/>
          </w:tcPr>
          <w:p w:rsidR="008577ED" w:rsidRPr="008577ED" w:rsidRDefault="008577ED" w:rsidP="008577ED">
            <w:r>
              <w:t>Henry 2009</w:t>
            </w:r>
          </w:p>
        </w:tc>
        <w:tc>
          <w:tcPr>
            <w:tcW w:w="850" w:type="dxa"/>
          </w:tcPr>
          <w:p w:rsidR="008577ED" w:rsidRPr="008577ED" w:rsidRDefault="008577ED" w:rsidP="008577ED">
            <w:r>
              <w:t>2002–2008</w:t>
            </w:r>
          </w:p>
        </w:tc>
        <w:tc>
          <w:tcPr>
            <w:tcW w:w="992" w:type="dxa"/>
          </w:tcPr>
          <w:p w:rsidR="008577ED" w:rsidRPr="008577ED" w:rsidRDefault="008577ED" w:rsidP="008577ED">
            <w:r>
              <w:t>0.45–0.71</w:t>
            </w:r>
          </w:p>
        </w:tc>
        <w:tc>
          <w:tcPr>
            <w:tcW w:w="993" w:type="dxa"/>
          </w:tcPr>
          <w:p w:rsidR="008577ED" w:rsidRPr="008577ED" w:rsidRDefault="008577ED" w:rsidP="008577ED">
            <w:r>
              <w:t>0.35–0.94</w:t>
            </w:r>
            <w:r w:rsidRPr="008577ED">
              <w:rPr>
                <w:rStyle w:val="AERsuperscript"/>
              </w:rPr>
              <w:t>(d)</w:t>
            </w:r>
          </w:p>
        </w:tc>
        <w:tc>
          <w:tcPr>
            <w:tcW w:w="992" w:type="dxa"/>
          </w:tcPr>
          <w:p w:rsidR="008577ED" w:rsidRPr="008577ED" w:rsidRDefault="008577ED" w:rsidP="008577ED">
            <w:r>
              <w:t>0.41</w:t>
            </w:r>
            <w:r>
              <w:softHyphen/>
              <w:t>–0.78</w:t>
            </w:r>
          </w:p>
        </w:tc>
        <w:tc>
          <w:tcPr>
            <w:tcW w:w="3765" w:type="dxa"/>
          </w:tcPr>
          <w:p w:rsidR="008577ED" w:rsidRPr="008577ED" w:rsidRDefault="008577ED" w:rsidP="008577ED">
            <w:r w:rsidRPr="001F00F1">
              <w:t xml:space="preserve">weekly/monthly return </w:t>
            </w:r>
            <w:r w:rsidRPr="008577ED">
              <w:t>intervals, various estimation periods, OLS/LAD regressions, value/equal weight fixed portfolios, average/median varying portfolios, re-levered estimates, 9 comparators</w:t>
            </w:r>
          </w:p>
        </w:tc>
      </w:tr>
      <w:tr w:rsidR="008577ED" w:rsidTr="009A39AD">
        <w:tc>
          <w:tcPr>
            <w:tcW w:w="1101" w:type="dxa"/>
          </w:tcPr>
          <w:p w:rsidR="008577ED" w:rsidRPr="008577ED" w:rsidRDefault="008577ED" w:rsidP="008577ED">
            <w:r>
              <w:t>ACG 2009</w:t>
            </w:r>
          </w:p>
        </w:tc>
        <w:tc>
          <w:tcPr>
            <w:tcW w:w="850" w:type="dxa"/>
          </w:tcPr>
          <w:p w:rsidR="008577ED" w:rsidRPr="008577ED" w:rsidRDefault="008577ED" w:rsidP="008577ED">
            <w:r>
              <w:t>1990–2008</w:t>
            </w:r>
          </w:p>
        </w:tc>
        <w:tc>
          <w:tcPr>
            <w:tcW w:w="992" w:type="dxa"/>
          </w:tcPr>
          <w:p w:rsidR="008577ED" w:rsidRPr="008577ED" w:rsidRDefault="008577ED" w:rsidP="008577ED">
            <w:r>
              <w:t>0.50–0.58</w:t>
            </w:r>
          </w:p>
        </w:tc>
        <w:tc>
          <w:tcPr>
            <w:tcW w:w="993" w:type="dxa"/>
          </w:tcPr>
          <w:p w:rsidR="008577ED" w:rsidRPr="008577ED" w:rsidRDefault="008577ED" w:rsidP="008577ED">
            <w:r>
              <w:t>n/a</w:t>
            </w:r>
          </w:p>
        </w:tc>
        <w:tc>
          <w:tcPr>
            <w:tcW w:w="992" w:type="dxa"/>
          </w:tcPr>
          <w:p w:rsidR="008577ED" w:rsidRPr="008577ED" w:rsidRDefault="008577ED" w:rsidP="008577ED">
            <w:r>
              <w:t>0.69–0.91</w:t>
            </w:r>
          </w:p>
        </w:tc>
        <w:tc>
          <w:tcPr>
            <w:tcW w:w="3765" w:type="dxa"/>
          </w:tcPr>
          <w:p w:rsidR="008577ED" w:rsidRPr="008577ED" w:rsidRDefault="008577ED" w:rsidP="008577ED">
            <w:r w:rsidRPr="001F00F1">
              <w:t>monthly return intervals, OLS/LAD regressions, multiple estimation periods, raw/re-levered estimates, average/median varying portfolios, 9 comparators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101" w:type="dxa"/>
          </w:tcPr>
          <w:p w:rsidR="008577ED" w:rsidRPr="008577ED" w:rsidRDefault="008577ED" w:rsidP="008577ED">
            <w:r>
              <w:t>Henry 2008</w:t>
            </w:r>
          </w:p>
        </w:tc>
        <w:tc>
          <w:tcPr>
            <w:tcW w:w="850" w:type="dxa"/>
          </w:tcPr>
          <w:p w:rsidR="008577ED" w:rsidRPr="008577ED" w:rsidRDefault="008577ED" w:rsidP="008577ED">
            <w:r>
              <w:t>2002–2008</w:t>
            </w:r>
          </w:p>
        </w:tc>
        <w:tc>
          <w:tcPr>
            <w:tcW w:w="992" w:type="dxa"/>
          </w:tcPr>
          <w:p w:rsidR="008577ED" w:rsidRPr="008577ED" w:rsidRDefault="008577ED" w:rsidP="008577ED">
            <w:r>
              <w:t>0.35–0.67</w:t>
            </w:r>
          </w:p>
        </w:tc>
        <w:tc>
          <w:tcPr>
            <w:tcW w:w="993" w:type="dxa"/>
          </w:tcPr>
          <w:p w:rsidR="008577ED" w:rsidRPr="008577ED" w:rsidRDefault="008577ED" w:rsidP="008577ED">
            <w:r>
              <w:t>0.31–0.77</w:t>
            </w:r>
            <w:r w:rsidRPr="008577ED">
              <w:rPr>
                <w:rStyle w:val="AERsuperscript"/>
              </w:rPr>
              <w:t>(e)</w:t>
            </w:r>
          </w:p>
        </w:tc>
        <w:tc>
          <w:tcPr>
            <w:tcW w:w="992" w:type="dxa"/>
          </w:tcPr>
          <w:p w:rsidR="008577ED" w:rsidRPr="008577ED" w:rsidRDefault="008577ED" w:rsidP="008577ED">
            <w:r>
              <w:t>n/a</w:t>
            </w:r>
          </w:p>
        </w:tc>
        <w:tc>
          <w:tcPr>
            <w:tcW w:w="3765" w:type="dxa"/>
          </w:tcPr>
          <w:p w:rsidR="008577ED" w:rsidRPr="008577ED" w:rsidRDefault="008577ED" w:rsidP="008577ED">
            <w:r w:rsidRPr="001F00F1">
              <w:t xml:space="preserve">daily/weekly/monthly return intervals, discrete/continuous returns, various estimation periods, OLS/LAD regressions, value/equal weight portfolios, raw/re-levered estimates, no adjustment/Vasicek/Blume, 10 comparators </w:t>
            </w:r>
          </w:p>
        </w:tc>
      </w:tr>
    </w:tbl>
    <w:p w:rsidR="008577ED" w:rsidRPr="00EB6387" w:rsidRDefault="008577ED" w:rsidP="008577ED">
      <w:pPr>
        <w:pStyle w:val="AERtablesource"/>
      </w:pPr>
      <w:r w:rsidRPr="00660C1E">
        <w:t>Source:</w:t>
      </w:r>
      <w:r w:rsidRPr="00660C1E">
        <w:tab/>
        <w:t>AER analysis</w:t>
      </w:r>
      <w:r w:rsidRPr="00EB6387">
        <w:t>.</w:t>
      </w:r>
      <w:r w:rsidRPr="00EB6387">
        <w:rPr>
          <w:rStyle w:val="FootnoteReference"/>
        </w:rPr>
        <w:footnoteReference w:id="1023"/>
      </w:r>
    </w:p>
    <w:p w:rsidR="008577ED" w:rsidRPr="00EB6387" w:rsidRDefault="008577ED" w:rsidP="008577ED">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8577ED" w:rsidRPr="00660C1E" w:rsidRDefault="008577ED" w:rsidP="008577ED">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8577ED" w:rsidRPr="00660C1E" w:rsidRDefault="008577ED" w:rsidP="008577ED">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8577ED" w:rsidRPr="00660C1E" w:rsidRDefault="008577ED" w:rsidP="008577ED">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8577ED" w:rsidRPr="00660C1E" w:rsidRDefault="008577ED" w:rsidP="008577ED">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8577ED" w:rsidRDefault="008577ED" w:rsidP="008577ED">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8577ED" w:rsidRPr="00345FC0" w:rsidRDefault="008577ED" w:rsidP="008577ED">
      <w:pPr>
        <w:pStyle w:val="Heading8"/>
      </w:pPr>
      <w:bookmarkStart w:id="243" w:name="_Toc451943814"/>
      <w:r>
        <w:t>International e</w:t>
      </w:r>
      <w:r w:rsidRPr="00345FC0">
        <w:t>mpirical estimates</w:t>
      </w:r>
      <w:bookmarkEnd w:id="243"/>
      <w:r>
        <w:t xml:space="preserve"> </w:t>
      </w:r>
    </w:p>
    <w:p w:rsidR="008577ED" w:rsidRDefault="008577ED" w:rsidP="008577ED">
      <w:r>
        <w:t xml:space="preserve">The international empirical estimates we consider in this decision are set out in </w:t>
      </w:r>
      <w:r>
        <w:fldChar w:fldCharType="begin"/>
      </w:r>
      <w:r>
        <w:instrText xml:space="preserve"> REF  _Ref446238074 \* Lower \h </w:instrText>
      </w:r>
      <w:r>
        <w:fldChar w:fldCharType="separate"/>
      </w:r>
      <w:r w:rsidR="000230CB">
        <w:t xml:space="preserve">table </w:t>
      </w:r>
      <w:r w:rsidR="000230CB">
        <w:rPr>
          <w:noProof/>
        </w:rPr>
        <w:t>3</w:t>
      </w:r>
      <w:r w:rsidR="000230CB">
        <w:noBreakHyphen/>
      </w:r>
      <w:r w:rsidR="000230CB">
        <w:rPr>
          <w:noProof/>
        </w:rPr>
        <w:t>38</w:t>
      </w:r>
      <w:r>
        <w:fldChar w:fldCharType="end"/>
      </w:r>
      <w:r>
        <w:t xml:space="preserve"> and range from 0.3 to 1.0.</w:t>
      </w:r>
      <w:r>
        <w:rPr>
          <w:rStyle w:val="FootnoteReference"/>
        </w:rPr>
        <w:footnoteReference w:id="1024"/>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AGN in providing regulated services (see section </w:t>
      </w:r>
      <w:r>
        <w:fldChar w:fldCharType="begin"/>
      </w:r>
      <w:r>
        <w:instrText xml:space="preserve"> REF _Ref446254445 \r \h </w:instrText>
      </w:r>
      <w:r>
        <w:fldChar w:fldCharType="separate"/>
      </w:r>
      <w:r w:rsidR="000230CB">
        <w:t>G.4.3</w:t>
      </w:r>
      <w:r>
        <w:fldChar w:fldCharType="end"/>
      </w:r>
      <w:r>
        <w:t>).</w:t>
      </w:r>
    </w:p>
    <w:p w:rsidR="008577ED" w:rsidRDefault="008577ED" w:rsidP="008577ED">
      <w:pPr>
        <w:pStyle w:val="Caption"/>
      </w:pPr>
      <w:bookmarkStart w:id="244" w:name="_Ref446238074"/>
      <w:r>
        <w:t xml:space="preserve">Table </w:t>
      </w:r>
      <w:r w:rsidRPr="00245C96">
        <w:fldChar w:fldCharType="begin"/>
      </w:r>
      <w:r>
        <w:instrText xml:space="preserve"> STYLEREF 1 \s </w:instrText>
      </w:r>
      <w:r w:rsidRPr="00245C96">
        <w:fldChar w:fldCharType="separate"/>
      </w:r>
      <w:r w:rsidR="000230CB">
        <w:rPr>
          <w:noProof/>
        </w:rPr>
        <w:t>3</w:t>
      </w:r>
      <w:r w:rsidRPr="00245C96">
        <w:fldChar w:fldCharType="end"/>
      </w:r>
      <w:r>
        <w:noBreakHyphen/>
      </w:r>
      <w:r w:rsidRPr="00245C96">
        <w:fldChar w:fldCharType="begin"/>
      </w:r>
      <w:r>
        <w:instrText xml:space="preserve"> SEQ Table \* ARABIC \s 1 </w:instrText>
      </w:r>
      <w:r w:rsidRPr="00245C96">
        <w:fldChar w:fldCharType="separate"/>
      </w:r>
      <w:r w:rsidR="000230CB">
        <w:rPr>
          <w:noProof/>
        </w:rPr>
        <w:t>38</w:t>
      </w:r>
      <w:r w:rsidRPr="00245C96">
        <w:fldChar w:fldCharType="end"/>
      </w:r>
      <w:bookmarkEnd w:id="244"/>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8577ED" w:rsidTr="00DB4FCE">
        <w:trPr>
          <w:cnfStyle w:val="100000000000" w:firstRow="1" w:lastRow="0" w:firstColumn="0" w:lastColumn="0" w:oddVBand="0" w:evenVBand="0" w:oddHBand="0" w:evenHBand="0" w:firstRowFirstColumn="0" w:firstRowLastColumn="0" w:lastRowFirstColumn="0" w:lastRowLastColumn="0"/>
          <w:tblHeader/>
        </w:trPr>
        <w:tc>
          <w:tcPr>
            <w:tcW w:w="1809" w:type="dxa"/>
          </w:tcPr>
          <w:p w:rsidR="008577ED" w:rsidRPr="008577ED" w:rsidRDefault="008577ED" w:rsidP="008577ED">
            <w:r>
              <w:t>Report</w:t>
            </w:r>
          </w:p>
        </w:tc>
        <w:tc>
          <w:tcPr>
            <w:tcW w:w="3969" w:type="dxa"/>
          </w:tcPr>
          <w:p w:rsidR="008577ED" w:rsidRPr="008577ED" w:rsidRDefault="008577ED" w:rsidP="008577ED">
            <w:r>
              <w:t>Details</w:t>
            </w:r>
          </w:p>
        </w:tc>
        <w:tc>
          <w:tcPr>
            <w:tcW w:w="1418" w:type="dxa"/>
          </w:tcPr>
          <w:p w:rsidR="008577ED" w:rsidRPr="008577ED" w:rsidRDefault="008577ED" w:rsidP="008577ED">
            <w:r>
              <w:t>Raw estimate</w:t>
            </w:r>
          </w:p>
        </w:tc>
        <w:tc>
          <w:tcPr>
            <w:tcW w:w="1497" w:type="dxa"/>
          </w:tcPr>
          <w:p w:rsidR="008577ED" w:rsidRPr="008577ED" w:rsidRDefault="008577ED" w:rsidP="008577ED">
            <w:r>
              <w:t xml:space="preserve">Re-levered estimate (to 60 per </w:t>
            </w:r>
            <w:r w:rsidRPr="008577ED">
              <w:t>cent gearing)</w:t>
            </w:r>
          </w:p>
        </w:tc>
      </w:tr>
      <w:tr w:rsidR="008577ED" w:rsidTr="009A39AD">
        <w:tc>
          <w:tcPr>
            <w:tcW w:w="1809" w:type="dxa"/>
          </w:tcPr>
          <w:p w:rsidR="008577ED" w:rsidRPr="008577ED" w:rsidRDefault="008577ED" w:rsidP="008577ED">
            <w:r>
              <w:t xml:space="preserve">SFG, </w:t>
            </w:r>
            <w:r w:rsidRPr="008577ED">
              <w:rPr>
                <w:rStyle w:val="AERtextitalic"/>
              </w:rPr>
              <w:t>Regression-based estimates of risk parameters</w:t>
            </w:r>
            <w:r w:rsidRPr="008577ED">
              <w:t>, June 2013, pp. 15, 19</w:t>
            </w:r>
          </w:p>
          <w:p w:rsidR="008577ED" w:rsidRPr="008577ED" w:rsidRDefault="008577ED" w:rsidP="008577ED">
            <w:pPr>
              <w:rPr>
                <w:rStyle w:val="AERtextsize8"/>
              </w:rPr>
            </w:pPr>
            <w:r w:rsidRPr="00707ABA">
              <w:t xml:space="preserve">CEG, </w:t>
            </w:r>
            <w:r w:rsidRPr="008577ED">
              <w:rPr>
                <w:rStyle w:val="AERtextitalic"/>
              </w:rPr>
              <w:t>Information on equity beta from US companies</w:t>
            </w:r>
            <w:r w:rsidRPr="008577ED">
              <w:t>, June 2013</w:t>
            </w:r>
          </w:p>
        </w:tc>
        <w:tc>
          <w:tcPr>
            <w:tcW w:w="3969" w:type="dxa"/>
          </w:tcPr>
          <w:p w:rsidR="008577ED" w:rsidRPr="008577ED" w:rsidRDefault="008577ED" w:rsidP="008577ED">
            <w:pPr>
              <w:rPr>
                <w:rStyle w:val="AERtextsize8"/>
              </w:rPr>
            </w:pPr>
            <w:r w:rsidRPr="00707ABA">
              <w:t xml:space="preserve">The CEG report prepared as a part of the ENA submission to </w:t>
            </w:r>
            <w:r w:rsidRPr="008577ED">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8577ED" w:rsidRPr="008577ED" w:rsidRDefault="008577ED" w:rsidP="008577ED">
            <w:r>
              <w:t>0.68</w:t>
            </w:r>
            <w:r w:rsidRPr="008577ED">
              <w:t xml:space="preserve">—average of individual firm estimates (0.67 without a </w:t>
            </w:r>
            <w:r w:rsidR="0095169E" w:rsidRPr="008577ED">
              <w:t>Vasicek</w:t>
            </w:r>
            <w:r w:rsidRPr="008577ED">
              <w:t xml:space="preserve"> adjustment)</w:t>
            </w:r>
          </w:p>
        </w:tc>
        <w:tc>
          <w:tcPr>
            <w:tcW w:w="1497" w:type="dxa"/>
          </w:tcPr>
          <w:p w:rsidR="008577ED" w:rsidRPr="008577ED" w:rsidRDefault="008577ED" w:rsidP="008577ED">
            <w:r>
              <w:t>0.88</w:t>
            </w:r>
            <w:r w:rsidRPr="008577ED">
              <w:t>—average of individual firm estimates</w:t>
            </w:r>
          </w:p>
          <w:p w:rsidR="008577ED" w:rsidRPr="008577ED" w:rsidRDefault="008577ED" w:rsidP="008577ED">
            <w:r>
              <w:t>0.91</w:t>
            </w:r>
            <w:r w:rsidRPr="008577ED">
              <w:t>—average equity beta of an equal–weighted index of firm returns</w:t>
            </w:r>
            <w:r w:rsidRPr="008577ED">
              <w:rPr>
                <w:rStyle w:val="FootnoteReference"/>
              </w:rPr>
              <w:footnoteReference w:id="1025"/>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809" w:type="dxa"/>
          </w:tcPr>
          <w:p w:rsidR="008577ED" w:rsidRPr="008577ED" w:rsidRDefault="008577ED" w:rsidP="008577ED">
            <w:pPr>
              <w:rPr>
                <w:rStyle w:val="AERtextsize8"/>
              </w:rPr>
            </w:pPr>
            <w:r w:rsidRPr="00E518CC">
              <w:t>Damodaran,</w:t>
            </w:r>
            <w:r w:rsidRPr="008577ED">
              <w:t xml:space="preserve"> </w:t>
            </w:r>
            <w:r w:rsidRPr="008577ED">
              <w:rPr>
                <w:rStyle w:val="AERtextitalic"/>
              </w:rPr>
              <w:t>Updated data: The Data page</w:t>
            </w:r>
            <w:r w:rsidRPr="008577ED">
              <w:t xml:space="preserve">, </w:t>
            </w:r>
            <w:r w:rsidRPr="008577ED">
              <w:rPr>
                <w:rStyle w:val="AERtextitalic"/>
              </w:rPr>
              <w:t>Levered and Unlevered Betas by Industry: Download detail</w:t>
            </w:r>
            <w:r w:rsidRPr="008577ED">
              <w:t>, Stern school of Business New York University, last updated 5 January 2016, viewed 18 March 2016</w:t>
            </w:r>
          </w:p>
        </w:tc>
        <w:tc>
          <w:tcPr>
            <w:tcW w:w="3969" w:type="dxa"/>
          </w:tcPr>
          <w:p w:rsidR="008577ED" w:rsidRPr="008577ED" w:rsidRDefault="008577ED" w:rsidP="008577ED">
            <w:pPr>
              <w:rPr>
                <w:rStyle w:val="AERtextsize8"/>
              </w:rPr>
            </w:pPr>
            <w:r w:rsidRPr="00900624">
              <w:rPr>
                <w:rStyle w:val="AERtextsize8"/>
              </w:rPr>
              <w:t xml:space="preserve">The Damodaran equity beta estimates </w:t>
            </w:r>
            <w:r w:rsidRPr="008577ED">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8577ED" w:rsidRPr="008577ED" w:rsidRDefault="008577ED" w:rsidP="008577ED">
            <w:pPr>
              <w:rPr>
                <w:rStyle w:val="AERtextsize8"/>
              </w:rPr>
            </w:pPr>
            <w:r>
              <w:rPr>
                <w:rStyle w:val="AERtextsize8"/>
              </w:rPr>
              <w:t>0.55</w:t>
            </w:r>
          </w:p>
        </w:tc>
        <w:tc>
          <w:tcPr>
            <w:tcW w:w="1497" w:type="dxa"/>
          </w:tcPr>
          <w:p w:rsidR="008577ED" w:rsidRPr="008577ED" w:rsidRDefault="008577ED" w:rsidP="008577ED">
            <w:pPr>
              <w:rPr>
                <w:rStyle w:val="AERtextsize8"/>
              </w:rPr>
            </w:pPr>
            <w:r>
              <w:rPr>
                <w:rStyle w:val="AERtextsize8"/>
              </w:rPr>
              <w:t>0.81</w:t>
            </w:r>
            <w:r w:rsidRPr="008577ED">
              <w:rPr>
                <w:rStyle w:val="AERtextsize8"/>
              </w:rPr>
              <w:t>*</w:t>
            </w:r>
          </w:p>
        </w:tc>
      </w:tr>
      <w:tr w:rsidR="008577ED" w:rsidTr="009A39AD">
        <w:tc>
          <w:tcPr>
            <w:tcW w:w="1809" w:type="dxa"/>
          </w:tcPr>
          <w:p w:rsidR="008577ED" w:rsidRPr="008577ED" w:rsidRDefault="008577ED" w:rsidP="008577ED">
            <w:pPr>
              <w:rPr>
                <w:rStyle w:val="AERtextsize8"/>
              </w:rPr>
            </w:pPr>
            <w:r>
              <w:t xml:space="preserve">FTI Consulting, </w:t>
            </w:r>
            <w:r w:rsidRPr="008577ED">
              <w:rPr>
                <w:rStyle w:val="AERtextitalic"/>
              </w:rPr>
              <w:t>Cost of capital study for the RIIO-T1 and GD1 price controls</w:t>
            </w:r>
            <w:r w:rsidRPr="008577ED">
              <w:t>, July 2012, p. 42</w:t>
            </w:r>
          </w:p>
        </w:tc>
        <w:tc>
          <w:tcPr>
            <w:tcW w:w="3969" w:type="dxa"/>
          </w:tcPr>
          <w:p w:rsidR="008577ED" w:rsidRPr="008577ED" w:rsidRDefault="008577ED" w:rsidP="008577ED">
            <w:pPr>
              <w:rPr>
                <w:rStyle w:val="AERtextsize8"/>
              </w:rPr>
            </w:pPr>
            <w:r>
              <w:t xml:space="preserve">This </w:t>
            </w:r>
            <w:r w:rsidRPr="008577ED">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8577ED" w:rsidRPr="008577ED" w:rsidRDefault="008577ED" w:rsidP="008577ED">
            <w:r>
              <w:t>0.45—over 10 May 2011 to 9 May 2012</w:t>
            </w:r>
          </w:p>
          <w:p w:rsidR="008577ED" w:rsidRPr="008577ED" w:rsidRDefault="008577ED" w:rsidP="008577ED">
            <w:pPr>
              <w:rPr>
                <w:rStyle w:val="AERtextsize8"/>
              </w:rPr>
            </w:pPr>
            <w:r>
              <w:t>0.48—</w:t>
            </w:r>
            <w:r w:rsidRPr="008577ED">
              <w:t>over 10 May 2010 to 9 May 2012</w:t>
            </w:r>
          </w:p>
        </w:tc>
        <w:tc>
          <w:tcPr>
            <w:tcW w:w="1497" w:type="dxa"/>
          </w:tcPr>
          <w:p w:rsidR="008577ED" w:rsidRPr="008577ED" w:rsidRDefault="008577ED" w:rsidP="008577ED">
            <w:pPr>
              <w:rPr>
                <w:rStyle w:val="AERtextsize8"/>
              </w:rPr>
            </w:pPr>
            <w:r>
              <w:t xml:space="preserve">We are not able to provide re-levered equity beta estimates because the report does </w:t>
            </w:r>
            <w:r w:rsidRPr="008577ED">
              <w:t>not provide the appropriate gearing data.</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809" w:type="dxa"/>
          </w:tcPr>
          <w:p w:rsidR="008577ED" w:rsidRPr="008577ED" w:rsidRDefault="008577ED" w:rsidP="008577ED">
            <w:pPr>
              <w:rPr>
                <w:rStyle w:val="AERtextsize8"/>
              </w:rPr>
            </w:pPr>
            <w:r>
              <w:t xml:space="preserve">Alberta Utilities Commission, </w:t>
            </w:r>
            <w:r w:rsidRPr="008577ED">
              <w:rPr>
                <w:rStyle w:val="AERtextitalic"/>
              </w:rPr>
              <w:t>2013 Generic Cost of Capital</w:t>
            </w:r>
            <w:r w:rsidRPr="008577ED">
              <w:t>, 23 March 2015, pp. 1, 24–26</w:t>
            </w:r>
          </w:p>
        </w:tc>
        <w:tc>
          <w:tcPr>
            <w:tcW w:w="3969" w:type="dxa"/>
          </w:tcPr>
          <w:p w:rsidR="008577ED" w:rsidRPr="008577ED" w:rsidRDefault="008577ED" w:rsidP="008577ED">
            <w:r>
              <w:t xml:space="preserve">This </w:t>
            </w:r>
            <w:r w:rsidRPr="008577ED">
              <w:t>2013 Generic Cost of Capital report sets out the AUC's approved return on equity for several utilities for the years 2013, 2014, and 2015. The AUC considered advice from the following experts on the equity beta based on estimates of Canadian utilities:</w:t>
            </w:r>
          </w:p>
          <w:p w:rsidR="008577ED" w:rsidRPr="008577ED" w:rsidRDefault="008577ED" w:rsidP="008577ED">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8577ED" w:rsidRPr="008577ED" w:rsidRDefault="008577ED" w:rsidP="008577ED">
            <w:pPr>
              <w:pStyle w:val="AERbulletlistfirststyle"/>
            </w:pPr>
            <w:r w:rsidRPr="00FF0D9F">
              <w:t xml:space="preserve">Dr Laurence Booth of the University of Toronto recommended an equity beta range of 0.45 to 0.55 for Canadian stand-alone utilities based on long run beta estimates. </w:t>
            </w:r>
          </w:p>
          <w:p w:rsidR="008577ED" w:rsidRPr="008577ED" w:rsidRDefault="008577ED" w:rsidP="008577ED">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8577ED" w:rsidRPr="008577ED" w:rsidRDefault="008577ED" w:rsidP="008577ED">
            <w:pPr>
              <w:rPr>
                <w:rStyle w:val="AERtextsize8"/>
              </w:rPr>
            </w:pPr>
            <w:r>
              <w:rPr>
                <w:rStyle w:val="AERtextsize8"/>
              </w:rPr>
              <w:t>0.3</w:t>
            </w:r>
            <w:r w:rsidRPr="008577ED">
              <w:rPr>
                <w:rStyle w:val="AERtextsize8"/>
              </w:rPr>
              <w:t>–0.7</w:t>
            </w:r>
          </w:p>
        </w:tc>
        <w:tc>
          <w:tcPr>
            <w:tcW w:w="1497" w:type="dxa"/>
          </w:tcPr>
          <w:p w:rsidR="008577ED" w:rsidRPr="008577ED" w:rsidRDefault="008577ED" w:rsidP="008577ED">
            <w:pPr>
              <w:rPr>
                <w:rStyle w:val="AERtextsize8"/>
              </w:rPr>
            </w:pPr>
            <w:r>
              <w:t>This report did not specify whether the equity betas were raw or re-levered to a benchmark gearing.</w:t>
            </w:r>
          </w:p>
        </w:tc>
      </w:tr>
      <w:tr w:rsidR="008577ED" w:rsidTr="009A39AD">
        <w:tc>
          <w:tcPr>
            <w:tcW w:w="1809" w:type="dxa"/>
          </w:tcPr>
          <w:p w:rsidR="008577ED" w:rsidRPr="008577ED" w:rsidRDefault="008577ED" w:rsidP="008577ED">
            <w:pPr>
              <w:rPr>
                <w:rStyle w:val="AERtextsize8"/>
              </w:rPr>
            </w:pPr>
            <w:r>
              <w:t xml:space="preserve">PwC, </w:t>
            </w:r>
            <w:r w:rsidRPr="008577ED">
              <w:rPr>
                <w:rStyle w:val="AERtextitalic"/>
              </w:rPr>
              <w:t>Appreciating Value New Zealand, Edition six</w:t>
            </w:r>
            <w:r w:rsidRPr="008577ED">
              <w:t>, March 2015, p. 20 (See also: http://www.pwc.co.nz/appreciating-value/pwc-wacc-formula)</w:t>
            </w:r>
            <w:r w:rsidRPr="008577ED">
              <w:rPr>
                <w:rStyle w:val="AERtextsize8"/>
              </w:rPr>
              <w:t xml:space="preserve"> </w:t>
            </w:r>
          </w:p>
        </w:tc>
        <w:tc>
          <w:tcPr>
            <w:tcW w:w="3969" w:type="dxa"/>
          </w:tcPr>
          <w:p w:rsidR="008577ED" w:rsidRPr="008577ED" w:rsidRDefault="008577ED" w:rsidP="008577ED">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8577ED">
              <w:t xml:space="preserve"> for two comparable firms (Horizon Energy Distribution Limited and Vector Limited). PwC's March 2015 report presents estimates as at 31 December 2014.</w:t>
            </w:r>
          </w:p>
        </w:tc>
        <w:tc>
          <w:tcPr>
            <w:tcW w:w="1418" w:type="dxa"/>
          </w:tcPr>
          <w:p w:rsidR="008577ED" w:rsidRPr="008577ED" w:rsidRDefault="008577ED" w:rsidP="008577ED">
            <w:pPr>
              <w:rPr>
                <w:rStyle w:val="AERtextsize8"/>
              </w:rPr>
            </w:pPr>
            <w:r w:rsidRPr="00217E7D">
              <w:t>0.6</w:t>
            </w:r>
            <w:r w:rsidRPr="008577ED">
              <w:t>—average of individual form estimates</w:t>
            </w:r>
          </w:p>
        </w:tc>
        <w:tc>
          <w:tcPr>
            <w:tcW w:w="1497" w:type="dxa"/>
          </w:tcPr>
          <w:p w:rsidR="008577ED" w:rsidRPr="008577ED" w:rsidRDefault="008577ED" w:rsidP="008577ED">
            <w:pPr>
              <w:rPr>
                <w:rStyle w:val="AERtextsize8"/>
              </w:rPr>
            </w:pPr>
            <w:r>
              <w:t>0.8</w:t>
            </w:r>
            <w:r w:rsidRPr="008577ED">
              <w:t>8—average of individual firm estimates*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1809" w:type="dxa"/>
          </w:tcPr>
          <w:p w:rsidR="008577ED" w:rsidRPr="008577ED" w:rsidRDefault="008577ED" w:rsidP="008577ED">
            <w:pPr>
              <w:rPr>
                <w:rStyle w:val="AERtextsize8"/>
              </w:rPr>
            </w:pPr>
            <w:r>
              <w:t xml:space="preserve">The Brattle Group, </w:t>
            </w:r>
            <w:r w:rsidRPr="008577ED">
              <w:rPr>
                <w:rStyle w:val="AERtextitalic"/>
              </w:rPr>
              <w:t>The WACC for the Dutch TSOs, DSOs, water companies and the Dutch pilotage organisation</w:t>
            </w:r>
            <w:r w:rsidRPr="008577ED">
              <w:t>, March 2013, pp. 16–18</w:t>
            </w:r>
          </w:p>
        </w:tc>
        <w:tc>
          <w:tcPr>
            <w:tcW w:w="3969" w:type="dxa"/>
          </w:tcPr>
          <w:p w:rsidR="008577ED" w:rsidRPr="008577ED" w:rsidRDefault="008577ED" w:rsidP="008577ED">
            <w:pPr>
              <w:rPr>
                <w:rStyle w:val="AERtextsize8"/>
              </w:rPr>
            </w:pPr>
            <w:r>
              <w:t xml:space="preserve">This </w:t>
            </w:r>
            <w:r w:rsidRPr="008577ED">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8577ED">
              <w:rPr>
                <w:rStyle w:val="FootnoteReference"/>
              </w:rPr>
              <w:footnoteReference w:id="1026"/>
            </w:r>
          </w:p>
        </w:tc>
        <w:tc>
          <w:tcPr>
            <w:tcW w:w="1418" w:type="dxa"/>
          </w:tcPr>
          <w:p w:rsidR="008577ED" w:rsidRPr="008577ED" w:rsidRDefault="008577ED" w:rsidP="008577ED">
            <w:r>
              <w:t>0.58</w:t>
            </w:r>
            <w:r w:rsidRPr="008577ED">
              <w:t>—average of European individual firm estimates</w:t>
            </w:r>
          </w:p>
          <w:p w:rsidR="008577ED" w:rsidRPr="008577ED" w:rsidRDefault="008577ED" w:rsidP="008577ED">
            <w:r>
              <w:t>0.60</w:t>
            </w:r>
            <w:r w:rsidRPr="008577ED">
              <w:t>—average of US individual firm estimates</w:t>
            </w:r>
          </w:p>
          <w:p w:rsidR="008577ED" w:rsidRPr="008577ED" w:rsidRDefault="008577ED" w:rsidP="008577ED">
            <w:pPr>
              <w:rPr>
                <w:rStyle w:val="AERtextsize8"/>
              </w:rPr>
            </w:pPr>
            <w:r>
              <w:t>0.5</w:t>
            </w:r>
            <w:r w:rsidRPr="008577ED">
              <w:t>8—average of European and US individual firm estimates</w:t>
            </w:r>
          </w:p>
        </w:tc>
        <w:tc>
          <w:tcPr>
            <w:tcW w:w="1497" w:type="dxa"/>
          </w:tcPr>
          <w:p w:rsidR="008577ED" w:rsidRPr="008577ED" w:rsidRDefault="008577ED" w:rsidP="008577ED">
            <w:r>
              <w:t>0.71</w:t>
            </w:r>
            <w:r w:rsidRPr="008577ED">
              <w:t>—average of European individual firm estimates*</w:t>
            </w:r>
          </w:p>
          <w:p w:rsidR="008577ED" w:rsidRPr="008577ED" w:rsidRDefault="008577ED" w:rsidP="008577ED">
            <w:r>
              <w:t>1.01</w:t>
            </w:r>
            <w:r w:rsidRPr="008577ED">
              <w:t>—average of US individual firm estimates*</w:t>
            </w:r>
          </w:p>
          <w:p w:rsidR="008577ED" w:rsidRPr="008577ED" w:rsidRDefault="008577ED" w:rsidP="008577ED">
            <w:pPr>
              <w:rPr>
                <w:rStyle w:val="AERtextsize8"/>
              </w:rPr>
            </w:pPr>
            <w:r>
              <w:t>0.80</w:t>
            </w:r>
            <w:r w:rsidRPr="008577ED">
              <w:t>—average of European and US individual firm estimates*</w:t>
            </w:r>
          </w:p>
        </w:tc>
      </w:tr>
      <w:tr w:rsidR="008577ED" w:rsidTr="009A39AD">
        <w:tc>
          <w:tcPr>
            <w:tcW w:w="1809" w:type="dxa"/>
          </w:tcPr>
          <w:p w:rsidR="008577ED" w:rsidRPr="00900624" w:rsidRDefault="008577ED" w:rsidP="008577ED">
            <w:pPr>
              <w:rPr>
                <w:rStyle w:val="AERtextsize8"/>
              </w:rPr>
            </w:pPr>
          </w:p>
        </w:tc>
        <w:tc>
          <w:tcPr>
            <w:tcW w:w="3969" w:type="dxa"/>
          </w:tcPr>
          <w:p w:rsidR="008577ED" w:rsidRDefault="008577ED" w:rsidP="008577ED">
            <w:pPr>
              <w:rPr>
                <w:rStyle w:val="AERtextsize8"/>
              </w:rPr>
            </w:pPr>
          </w:p>
        </w:tc>
        <w:tc>
          <w:tcPr>
            <w:tcW w:w="1418" w:type="dxa"/>
          </w:tcPr>
          <w:p w:rsidR="008577ED" w:rsidRDefault="008577ED" w:rsidP="008577ED">
            <w:pPr>
              <w:rPr>
                <w:rStyle w:val="AERtextsize8"/>
              </w:rPr>
            </w:pPr>
          </w:p>
        </w:tc>
        <w:tc>
          <w:tcPr>
            <w:tcW w:w="1497" w:type="dxa"/>
          </w:tcPr>
          <w:p w:rsidR="008577ED" w:rsidRDefault="008577ED" w:rsidP="008577ED">
            <w:pPr>
              <w:rPr>
                <w:rStyle w:val="AERtextsize8"/>
              </w:rPr>
            </w:pPr>
          </w:p>
        </w:tc>
      </w:tr>
    </w:tbl>
    <w:p w:rsidR="008577ED" w:rsidRPr="0078508E" w:rsidRDefault="008577ED" w:rsidP="008577ED">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8577ED" w:rsidRPr="00F87EA9" w:rsidRDefault="008577ED" w:rsidP="008577ED">
      <w:pPr>
        <w:pStyle w:val="Heading8"/>
      </w:pPr>
      <w:bookmarkStart w:id="245" w:name="_Ref446255536"/>
      <w:bookmarkStart w:id="246" w:name="_Toc451943815"/>
      <w:r>
        <w:t>Choice of comparator set</w:t>
      </w:r>
      <w:bookmarkEnd w:id="245"/>
      <w:bookmarkEnd w:id="246"/>
    </w:p>
    <w:p w:rsidR="008577ED" w:rsidRDefault="008577ED" w:rsidP="008577ED">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027"/>
      </w:r>
      <w:r>
        <w:t xml:space="preserve"> These concerns flow from their view that our comparator set of Australian energy network firms is too small to produce reliable equity beta estimates. These service providers and their consultants submitted that:</w:t>
      </w:r>
    </w:p>
    <w:p w:rsidR="008577ED" w:rsidRDefault="008577ED" w:rsidP="008577ED">
      <w:pPr>
        <w:pStyle w:val="AERbulletlistfirststyle"/>
      </w:pPr>
      <w:r>
        <w:t>equity beta estimates based on this comparator set are imprecise and unstable</w:t>
      </w:r>
    </w:p>
    <w:p w:rsidR="008577ED" w:rsidRDefault="008577ED" w:rsidP="008577ED">
      <w:pPr>
        <w:pStyle w:val="AERbulletlistfirststyle"/>
      </w:pPr>
      <w:r>
        <w:t>the estimates could be improved by including international energy firms in the comparator set</w:t>
      </w:r>
    </w:p>
    <w:p w:rsidR="008577ED" w:rsidRPr="008577ED" w:rsidRDefault="008577ED" w:rsidP="008577ED">
      <w:pPr>
        <w:pStyle w:val="AERbulletlistfirststyle"/>
      </w:pPr>
      <w:r>
        <w:t>the estimates could be improved by including</w:t>
      </w:r>
      <w:r w:rsidRPr="008577ED">
        <w:t xml:space="preserve"> Australian non-energy infrastructure firms in the comparator set—partly because they consider our comparator set should not be restricted to regulated energy network firms.</w:t>
      </w:r>
      <w:r w:rsidRPr="008577ED">
        <w:rPr>
          <w:rStyle w:val="FootnoteReference"/>
        </w:rPr>
        <w:footnoteReference w:id="1028"/>
      </w:r>
    </w:p>
    <w:p w:rsidR="008577ED" w:rsidRDefault="008577ED" w:rsidP="008577ED">
      <w:pPr>
        <w:numPr>
          <w:ilvl w:val="0"/>
          <w:numId w:val="24"/>
        </w:numPr>
      </w:pPr>
      <w:r>
        <w:t>We responded to many of these submissions in detail in our recent decisions.</w:t>
      </w:r>
      <w:r>
        <w:rPr>
          <w:rStyle w:val="FootnoteReference"/>
        </w:rPr>
        <w:footnoteReference w:id="1029"/>
      </w:r>
      <w:r>
        <w:t xml:space="preserve"> However, we reproduce our key conclusions in sections </w:t>
      </w:r>
      <w:r>
        <w:fldChar w:fldCharType="begin"/>
      </w:r>
      <w:r>
        <w:instrText xml:space="preserve"> REF _Ref446254453 \r \h </w:instrText>
      </w:r>
      <w:r>
        <w:fldChar w:fldCharType="separate"/>
      </w:r>
      <w:r w:rsidR="000230CB">
        <w:t>G.4.2</w:t>
      </w:r>
      <w:r>
        <w:fldChar w:fldCharType="end"/>
      </w:r>
      <w:r>
        <w:t xml:space="preserve">, </w:t>
      </w:r>
      <w:r>
        <w:fldChar w:fldCharType="begin"/>
      </w:r>
      <w:r>
        <w:instrText xml:space="preserve"> REF _Ref446254445 \r \h </w:instrText>
      </w:r>
      <w:r>
        <w:fldChar w:fldCharType="separate"/>
      </w:r>
      <w:r w:rsidR="000230CB">
        <w:t>G.4.3</w:t>
      </w:r>
      <w:r>
        <w:fldChar w:fldCharType="end"/>
      </w:r>
      <w:r>
        <w:t xml:space="preserve">, and </w:t>
      </w:r>
      <w:r>
        <w:fldChar w:fldCharType="begin"/>
      </w:r>
      <w:r>
        <w:instrText xml:space="preserve"> REF _Ref446254437 \r \h </w:instrText>
      </w:r>
      <w:r>
        <w:fldChar w:fldCharType="separate"/>
      </w:r>
      <w:r w:rsidR="000230CB">
        <w:t>G.4.4</w:t>
      </w:r>
      <w:r>
        <w:fldChar w:fldCharType="end"/>
      </w:r>
      <w:r>
        <w:t>, in response to new submissions and analysis.</w:t>
      </w:r>
    </w:p>
    <w:p w:rsidR="008577ED" w:rsidRDefault="008577ED" w:rsidP="008577ED">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AGN in providing regulated services.</w:t>
      </w:r>
      <w:r>
        <w:rPr>
          <w:rStyle w:val="FootnoteReference"/>
        </w:rPr>
        <w:footnoteReference w:id="1030"/>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8577ED" w:rsidRPr="0006373F" w:rsidRDefault="008577ED" w:rsidP="008577ED">
      <w:pPr>
        <w:pStyle w:val="Heading9"/>
      </w:pPr>
      <w:bookmarkStart w:id="247" w:name="_Ref447740508"/>
      <w:r w:rsidRPr="0006373F">
        <w:t>Comparator set for Australian empirical analysis</w:t>
      </w:r>
      <w:bookmarkEnd w:id="247"/>
    </w:p>
    <w:p w:rsidR="008577ED" w:rsidRPr="0048317B" w:rsidRDefault="008577ED" w:rsidP="008577ED">
      <w:pPr>
        <w:numPr>
          <w:ilvl w:val="0"/>
          <w:numId w:val="24"/>
        </w:numPr>
      </w:pPr>
      <w:r w:rsidRPr="0048317B">
        <w:t xml:space="preserve">We define </w:t>
      </w:r>
      <w:r>
        <w:t>a</w:t>
      </w:r>
      <w:r w:rsidRPr="0048317B">
        <w:t xml:space="preserve"> benchmark efficient entity </w:t>
      </w:r>
      <w:r>
        <w:t>with a similar degree of risk as AGN in providing regulated services</w:t>
      </w:r>
      <w:r w:rsidRPr="0048317B">
        <w:t xml:space="preserve"> as 'a pure play, regulated energy network business operating within Australia'.</w:t>
      </w:r>
      <w:r>
        <w:rPr>
          <w:rStyle w:val="FootnoteReference"/>
        </w:rPr>
        <w:footnoteReference w:id="1031"/>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8577ED" w:rsidRDefault="008577ED" w:rsidP="008577ED">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0230CB">
        <w:t xml:space="preserve">Table </w:t>
      </w:r>
      <w:r w:rsidR="000230CB">
        <w:rPr>
          <w:noProof/>
        </w:rPr>
        <w:t>3</w:t>
      </w:r>
      <w:r w:rsidR="000230CB">
        <w:noBreakHyphen/>
      </w:r>
      <w:r w:rsidR="000230CB">
        <w:rPr>
          <w:noProof/>
        </w:rPr>
        <w:t>39</w:t>
      </w:r>
      <w:r>
        <w:fldChar w:fldCharType="end"/>
      </w:r>
      <w:r>
        <w:t xml:space="preserve"> </w:t>
      </w:r>
      <w:r w:rsidRPr="0048317B">
        <w:t>sets out the details of these nine firms.</w:t>
      </w:r>
      <w:r>
        <w:rPr>
          <w:rStyle w:val="FootnoteReference"/>
        </w:rPr>
        <w:footnoteReference w:id="1032"/>
      </w:r>
      <w:r w:rsidRPr="0048317B">
        <w:t xml:space="preserve"> </w:t>
      </w:r>
    </w:p>
    <w:p w:rsidR="008577ED" w:rsidRDefault="008577ED" w:rsidP="008577ED">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033"/>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34"/>
      </w:r>
      <w:r w:rsidRPr="006558B8">
        <w:t xml:space="preserve"> </w:t>
      </w:r>
      <w:r>
        <w:t>We note that Envestra Ltd was delisted on 17 October 2014.</w:t>
      </w:r>
      <w:r>
        <w:rPr>
          <w:rStyle w:val="FootnoteReference"/>
        </w:rPr>
        <w:footnoteReference w:id="1035"/>
      </w:r>
      <w:r>
        <w:t xml:space="preserve"> </w:t>
      </w:r>
    </w:p>
    <w:p w:rsidR="005506D5" w:rsidRDefault="005506D5" w:rsidP="008577ED">
      <w:pPr>
        <w:numPr>
          <w:ilvl w:val="0"/>
          <w:numId w:val="24"/>
        </w:numPr>
      </w:pPr>
    </w:p>
    <w:p w:rsidR="008577ED" w:rsidRDefault="008577ED" w:rsidP="008577ED">
      <w:pPr>
        <w:pStyle w:val="Caption"/>
      </w:pPr>
      <w:bookmarkStart w:id="248" w:name="_Ref446240160"/>
      <w:r>
        <w:t xml:space="preserve">Table </w:t>
      </w:r>
      <w:r w:rsidRPr="00245C96">
        <w:fldChar w:fldCharType="begin"/>
      </w:r>
      <w:r>
        <w:instrText xml:space="preserve"> STYLEREF 1 \s </w:instrText>
      </w:r>
      <w:r w:rsidRPr="00245C96">
        <w:fldChar w:fldCharType="separate"/>
      </w:r>
      <w:r w:rsidR="000230CB">
        <w:rPr>
          <w:noProof/>
        </w:rPr>
        <w:t>3</w:t>
      </w:r>
      <w:r w:rsidRPr="00245C96">
        <w:fldChar w:fldCharType="end"/>
      </w:r>
      <w:r>
        <w:noBreakHyphen/>
      </w:r>
      <w:r w:rsidRPr="00245C96">
        <w:fldChar w:fldCharType="begin"/>
      </w:r>
      <w:r>
        <w:instrText xml:space="preserve"> SEQ Table \* ARABIC \s 1 </w:instrText>
      </w:r>
      <w:r w:rsidRPr="00245C96">
        <w:fldChar w:fldCharType="separate"/>
      </w:r>
      <w:r w:rsidR="000230CB">
        <w:rPr>
          <w:noProof/>
        </w:rPr>
        <w:t>39</w:t>
      </w:r>
      <w:r w:rsidRPr="00245C96">
        <w:fldChar w:fldCharType="end"/>
      </w:r>
      <w:bookmarkEnd w:id="248"/>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8577ED" w:rsidTr="009A39AD">
        <w:trPr>
          <w:cnfStyle w:val="100000000000" w:firstRow="1" w:lastRow="0" w:firstColumn="0" w:lastColumn="0" w:oddVBand="0" w:evenVBand="0" w:oddHBand="0" w:evenHBand="0" w:firstRowFirstColumn="0" w:firstRowLastColumn="0" w:lastRowFirstColumn="0" w:lastRowLastColumn="0"/>
        </w:trPr>
        <w:tc>
          <w:tcPr>
            <w:tcW w:w="4077" w:type="dxa"/>
          </w:tcPr>
          <w:p w:rsidR="008577ED" w:rsidRPr="008577ED" w:rsidRDefault="008577ED" w:rsidP="008577ED">
            <w:r>
              <w:t>Firm (ASX ticker)</w:t>
            </w:r>
          </w:p>
        </w:tc>
        <w:tc>
          <w:tcPr>
            <w:tcW w:w="2835" w:type="dxa"/>
          </w:tcPr>
          <w:p w:rsidR="008577ED" w:rsidRPr="008577ED" w:rsidRDefault="008577ED" w:rsidP="008577ED">
            <w:r>
              <w:t>Time / trading period</w:t>
            </w:r>
          </w:p>
        </w:tc>
        <w:tc>
          <w:tcPr>
            <w:tcW w:w="1701" w:type="dxa"/>
          </w:tcPr>
          <w:p w:rsidR="008577ED" w:rsidRPr="008577ED" w:rsidRDefault="008577ED" w:rsidP="008577ED">
            <w:r>
              <w:t>Sectors</w:t>
            </w:r>
          </w:p>
        </w:tc>
      </w:tr>
      <w:tr w:rsidR="008577ED" w:rsidTr="009A39AD">
        <w:tc>
          <w:tcPr>
            <w:tcW w:w="4077" w:type="dxa"/>
          </w:tcPr>
          <w:p w:rsidR="008577ED" w:rsidRPr="008577ED" w:rsidRDefault="008577ED" w:rsidP="008577ED">
            <w:pPr>
              <w:rPr>
                <w:rStyle w:val="AERtextsize8"/>
              </w:rPr>
            </w:pPr>
            <w:r w:rsidRPr="0047344A">
              <w:t>AGL</w:t>
            </w:r>
            <w:r w:rsidRPr="008577ED">
              <w:t xml:space="preserve"> Energy Limited (AGK)</w:t>
            </w:r>
          </w:p>
        </w:tc>
        <w:tc>
          <w:tcPr>
            <w:tcW w:w="2835" w:type="dxa"/>
          </w:tcPr>
          <w:p w:rsidR="008577ED" w:rsidRPr="008577ED" w:rsidRDefault="008577ED" w:rsidP="008577ED">
            <w:pPr>
              <w:rPr>
                <w:rStyle w:val="AERtextsize8"/>
              </w:rPr>
            </w:pPr>
            <w:r w:rsidRPr="0047344A">
              <w:t xml:space="preserve">January 1990 – October 2006 </w:t>
            </w:r>
          </w:p>
        </w:tc>
        <w:tc>
          <w:tcPr>
            <w:tcW w:w="1701" w:type="dxa"/>
          </w:tcPr>
          <w:p w:rsidR="008577ED" w:rsidRPr="008577ED" w:rsidRDefault="008577ED" w:rsidP="008577ED">
            <w:r>
              <w:t>Electricity</w:t>
            </w:r>
            <w:r w:rsidRPr="008577ED">
              <w:t xml:space="preserve">, Gas </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4077" w:type="dxa"/>
          </w:tcPr>
          <w:p w:rsidR="008577ED" w:rsidRPr="008577ED" w:rsidRDefault="008577ED" w:rsidP="008577ED">
            <w:pPr>
              <w:rPr>
                <w:rStyle w:val="AERtextsize8"/>
              </w:rPr>
            </w:pPr>
            <w:r w:rsidRPr="0047344A">
              <w:t>Alinta (AAN)</w:t>
            </w:r>
          </w:p>
        </w:tc>
        <w:tc>
          <w:tcPr>
            <w:tcW w:w="2835" w:type="dxa"/>
          </w:tcPr>
          <w:p w:rsidR="008577ED" w:rsidRPr="008577ED" w:rsidRDefault="008577ED" w:rsidP="008577ED">
            <w:pPr>
              <w:rPr>
                <w:rStyle w:val="AERtextsize8"/>
              </w:rPr>
            </w:pPr>
            <w:r w:rsidRPr="0047344A">
              <w:t xml:space="preserve">October 2000 – </w:t>
            </w:r>
            <w:r w:rsidRPr="008577ED">
              <w:t>August 2007</w:t>
            </w:r>
          </w:p>
        </w:tc>
        <w:tc>
          <w:tcPr>
            <w:tcW w:w="1701" w:type="dxa"/>
          </w:tcPr>
          <w:p w:rsidR="008577ED" w:rsidRPr="008577ED" w:rsidRDefault="008577ED" w:rsidP="008577ED">
            <w:r w:rsidRPr="0047344A">
              <w:t xml:space="preserve">Gas </w:t>
            </w:r>
          </w:p>
        </w:tc>
      </w:tr>
      <w:tr w:rsidR="008577ED" w:rsidTr="009A39AD">
        <w:tc>
          <w:tcPr>
            <w:tcW w:w="4077" w:type="dxa"/>
          </w:tcPr>
          <w:p w:rsidR="008577ED" w:rsidRPr="008577ED" w:rsidRDefault="008577ED" w:rsidP="008577ED">
            <w:pPr>
              <w:rPr>
                <w:rStyle w:val="AERtextsize8"/>
              </w:rPr>
            </w:pPr>
            <w:r>
              <w:t>APA Group</w:t>
            </w:r>
            <w:r w:rsidRPr="008577ED">
              <w:t xml:space="preserve"> (APA)</w:t>
            </w:r>
          </w:p>
        </w:tc>
        <w:tc>
          <w:tcPr>
            <w:tcW w:w="2835" w:type="dxa"/>
          </w:tcPr>
          <w:p w:rsidR="008577ED" w:rsidRPr="008577ED" w:rsidRDefault="008577ED" w:rsidP="008577ED">
            <w:pPr>
              <w:rPr>
                <w:rStyle w:val="AERtextsize8"/>
              </w:rPr>
            </w:pPr>
            <w:r w:rsidRPr="0047344A">
              <w:t xml:space="preserve">June </w:t>
            </w:r>
            <w:r w:rsidRPr="008577ED">
              <w:t>2000 – present</w:t>
            </w:r>
          </w:p>
        </w:tc>
        <w:tc>
          <w:tcPr>
            <w:tcW w:w="1701" w:type="dxa"/>
          </w:tcPr>
          <w:p w:rsidR="008577ED" w:rsidRPr="008577ED" w:rsidRDefault="008577ED" w:rsidP="008577ED">
            <w:r>
              <w:t>Gas</w:t>
            </w:r>
            <w:r w:rsidRPr="008577ED">
              <w:t>, Minority interest in other energy infrastructure</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4077" w:type="dxa"/>
          </w:tcPr>
          <w:p w:rsidR="008577ED" w:rsidRPr="008577ED" w:rsidRDefault="008577ED" w:rsidP="008577ED">
            <w:pPr>
              <w:rPr>
                <w:rStyle w:val="AERtextsize8"/>
              </w:rPr>
            </w:pPr>
            <w:r w:rsidRPr="0047344A">
              <w:t>DUET Group (DUE)</w:t>
            </w:r>
          </w:p>
        </w:tc>
        <w:tc>
          <w:tcPr>
            <w:tcW w:w="2835" w:type="dxa"/>
          </w:tcPr>
          <w:p w:rsidR="008577ED" w:rsidRPr="008577ED" w:rsidRDefault="008577ED" w:rsidP="008577ED">
            <w:pPr>
              <w:rPr>
                <w:rStyle w:val="AERtextsize8"/>
              </w:rPr>
            </w:pPr>
            <w:r w:rsidRPr="0047344A">
              <w:t>August 2004</w:t>
            </w:r>
            <w:r w:rsidRPr="008577ED">
              <w:t xml:space="preserve"> – present</w:t>
            </w:r>
          </w:p>
        </w:tc>
        <w:tc>
          <w:tcPr>
            <w:tcW w:w="1701" w:type="dxa"/>
          </w:tcPr>
          <w:p w:rsidR="008577ED" w:rsidRPr="008577ED" w:rsidRDefault="008577ED" w:rsidP="008577ED">
            <w:r>
              <w:t>Electricity</w:t>
            </w:r>
            <w:r w:rsidRPr="008577ED">
              <w:t xml:space="preserve">, Gas </w:t>
            </w:r>
          </w:p>
        </w:tc>
      </w:tr>
      <w:tr w:rsidR="008577ED" w:rsidTr="009A39AD">
        <w:tc>
          <w:tcPr>
            <w:tcW w:w="4077" w:type="dxa"/>
          </w:tcPr>
          <w:p w:rsidR="008577ED" w:rsidRPr="008577ED" w:rsidRDefault="008577ED" w:rsidP="008577ED">
            <w:pPr>
              <w:rPr>
                <w:rStyle w:val="AERtextsize8"/>
              </w:rPr>
            </w:pPr>
            <w:r w:rsidRPr="0047344A">
              <w:t>Envestra Ltd. (ENV)</w:t>
            </w:r>
          </w:p>
        </w:tc>
        <w:tc>
          <w:tcPr>
            <w:tcW w:w="2835" w:type="dxa"/>
          </w:tcPr>
          <w:p w:rsidR="008577ED" w:rsidRPr="008577ED" w:rsidRDefault="008577ED" w:rsidP="008577ED">
            <w:pPr>
              <w:rPr>
                <w:rStyle w:val="AERtextsize8"/>
              </w:rPr>
            </w:pPr>
            <w:r w:rsidRPr="0047344A">
              <w:t xml:space="preserve">August 1997 – </w:t>
            </w:r>
            <w:r w:rsidRPr="008577ED">
              <w:t>October 2014</w:t>
            </w:r>
          </w:p>
        </w:tc>
        <w:tc>
          <w:tcPr>
            <w:tcW w:w="1701" w:type="dxa"/>
          </w:tcPr>
          <w:p w:rsidR="008577ED" w:rsidRPr="008577ED" w:rsidRDefault="008577ED" w:rsidP="008577ED">
            <w:r w:rsidRPr="0047344A">
              <w:t xml:space="preserve">Gas </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4077" w:type="dxa"/>
          </w:tcPr>
          <w:p w:rsidR="008577ED" w:rsidRPr="008577ED" w:rsidRDefault="008577ED" w:rsidP="008577ED">
            <w:pPr>
              <w:rPr>
                <w:rStyle w:val="AERtextsize8"/>
              </w:rPr>
            </w:pPr>
            <w:r w:rsidRPr="0047344A">
              <w:t>GasNet (GAS)</w:t>
            </w:r>
          </w:p>
        </w:tc>
        <w:tc>
          <w:tcPr>
            <w:tcW w:w="2835" w:type="dxa"/>
          </w:tcPr>
          <w:p w:rsidR="008577ED" w:rsidRPr="008577ED" w:rsidRDefault="008577ED" w:rsidP="008577ED">
            <w:pPr>
              <w:rPr>
                <w:rStyle w:val="AERtextsize8"/>
              </w:rPr>
            </w:pPr>
            <w:r w:rsidRPr="0047344A">
              <w:t xml:space="preserve">December 2001 – November </w:t>
            </w:r>
            <w:r w:rsidRPr="008577ED">
              <w:t>2006</w:t>
            </w:r>
          </w:p>
        </w:tc>
        <w:tc>
          <w:tcPr>
            <w:tcW w:w="1701" w:type="dxa"/>
          </w:tcPr>
          <w:p w:rsidR="008577ED" w:rsidRPr="008577ED" w:rsidRDefault="008577ED" w:rsidP="008577ED">
            <w:r w:rsidRPr="0047344A">
              <w:t xml:space="preserve">Gas </w:t>
            </w:r>
          </w:p>
        </w:tc>
      </w:tr>
      <w:tr w:rsidR="008577ED" w:rsidTr="009A39AD">
        <w:tc>
          <w:tcPr>
            <w:tcW w:w="4077" w:type="dxa"/>
          </w:tcPr>
          <w:p w:rsidR="008577ED" w:rsidRPr="008577ED" w:rsidRDefault="008577ED" w:rsidP="008577ED">
            <w:pPr>
              <w:rPr>
                <w:rStyle w:val="AERtextsize8"/>
              </w:rPr>
            </w:pPr>
            <w:r w:rsidRPr="0047344A">
              <w:t xml:space="preserve">Hastings </w:t>
            </w:r>
            <w:r w:rsidRPr="008577ED">
              <w:t>Diversified Utilities Fund (HDF)</w:t>
            </w:r>
          </w:p>
        </w:tc>
        <w:tc>
          <w:tcPr>
            <w:tcW w:w="2835" w:type="dxa"/>
          </w:tcPr>
          <w:p w:rsidR="008577ED" w:rsidRPr="008577ED" w:rsidRDefault="008577ED" w:rsidP="008577ED">
            <w:pPr>
              <w:rPr>
                <w:rStyle w:val="AERtextsize8"/>
              </w:rPr>
            </w:pPr>
            <w:r w:rsidRPr="0047344A">
              <w:t xml:space="preserve">December </w:t>
            </w:r>
            <w:r w:rsidRPr="008577ED">
              <w:t>2004– November 2012</w:t>
            </w:r>
          </w:p>
        </w:tc>
        <w:tc>
          <w:tcPr>
            <w:tcW w:w="1701" w:type="dxa"/>
          </w:tcPr>
          <w:p w:rsidR="008577ED" w:rsidRPr="008577ED" w:rsidRDefault="008577ED" w:rsidP="008577ED">
            <w:r w:rsidRPr="0047344A">
              <w:t>Gas</w:t>
            </w:r>
          </w:p>
        </w:tc>
      </w:tr>
      <w:tr w:rsidR="008577ED" w:rsidTr="009A39AD">
        <w:trPr>
          <w:cnfStyle w:val="000000010000" w:firstRow="0" w:lastRow="0" w:firstColumn="0" w:lastColumn="0" w:oddVBand="0" w:evenVBand="0" w:oddHBand="0" w:evenHBand="1" w:firstRowFirstColumn="0" w:firstRowLastColumn="0" w:lastRowFirstColumn="0" w:lastRowLastColumn="0"/>
        </w:trPr>
        <w:tc>
          <w:tcPr>
            <w:tcW w:w="4077" w:type="dxa"/>
          </w:tcPr>
          <w:p w:rsidR="008577ED" w:rsidRPr="008577ED" w:rsidRDefault="008577ED" w:rsidP="008577ED">
            <w:pPr>
              <w:rPr>
                <w:rStyle w:val="AERtextsize8"/>
              </w:rPr>
            </w:pPr>
            <w:r w:rsidRPr="0047344A">
              <w:t>Spark Infrastructure Group (SKI)</w:t>
            </w:r>
          </w:p>
        </w:tc>
        <w:tc>
          <w:tcPr>
            <w:tcW w:w="2835" w:type="dxa"/>
          </w:tcPr>
          <w:p w:rsidR="008577ED" w:rsidRPr="008577ED" w:rsidRDefault="008577ED" w:rsidP="008577ED">
            <w:pPr>
              <w:rPr>
                <w:rStyle w:val="AERtextsize8"/>
              </w:rPr>
            </w:pPr>
            <w:r w:rsidRPr="0047344A">
              <w:t>March 2007</w:t>
            </w:r>
            <w:r w:rsidRPr="008577ED">
              <w:rPr>
                <w:rStyle w:val="FootnoteReference"/>
              </w:rPr>
              <w:footnoteReference w:id="1036"/>
            </w:r>
            <w:r w:rsidRPr="008577ED">
              <w:t xml:space="preserve"> – present</w:t>
            </w:r>
          </w:p>
        </w:tc>
        <w:tc>
          <w:tcPr>
            <w:tcW w:w="1701" w:type="dxa"/>
          </w:tcPr>
          <w:p w:rsidR="008577ED" w:rsidRPr="008577ED" w:rsidRDefault="008577ED" w:rsidP="008577ED">
            <w:r>
              <w:t>Electricity</w:t>
            </w:r>
            <w:r w:rsidRPr="008577ED">
              <w:t xml:space="preserve">, Gas </w:t>
            </w:r>
          </w:p>
        </w:tc>
      </w:tr>
      <w:tr w:rsidR="008577ED" w:rsidTr="009A39AD">
        <w:tc>
          <w:tcPr>
            <w:tcW w:w="4077" w:type="dxa"/>
          </w:tcPr>
          <w:p w:rsidR="008577ED" w:rsidRPr="008577ED" w:rsidRDefault="008577ED" w:rsidP="008577ED">
            <w:pPr>
              <w:rPr>
                <w:rStyle w:val="AERtextsize8"/>
              </w:rPr>
            </w:pPr>
            <w:r>
              <w:t xml:space="preserve">AusNet Services (AST), formerly </w:t>
            </w:r>
            <w:r w:rsidRPr="008577ED">
              <w:t>SP AusNet (SPN)</w:t>
            </w:r>
          </w:p>
        </w:tc>
        <w:tc>
          <w:tcPr>
            <w:tcW w:w="2835" w:type="dxa"/>
          </w:tcPr>
          <w:p w:rsidR="008577ED" w:rsidRPr="008577ED" w:rsidRDefault="008577ED" w:rsidP="008577ED">
            <w:pPr>
              <w:rPr>
                <w:rStyle w:val="AERtextsize8"/>
              </w:rPr>
            </w:pPr>
            <w:r w:rsidRPr="0047344A">
              <w:t>December 2005 – present</w:t>
            </w:r>
          </w:p>
        </w:tc>
        <w:tc>
          <w:tcPr>
            <w:tcW w:w="1701" w:type="dxa"/>
          </w:tcPr>
          <w:p w:rsidR="008577ED" w:rsidRPr="008577ED" w:rsidRDefault="008577ED" w:rsidP="008577ED">
            <w:r>
              <w:t>Electricity</w:t>
            </w:r>
            <w:r w:rsidRPr="008577ED">
              <w:t xml:space="preserve">, Gas </w:t>
            </w:r>
          </w:p>
        </w:tc>
      </w:tr>
    </w:tbl>
    <w:p w:rsidR="008577ED" w:rsidRPr="0048317B" w:rsidRDefault="008577ED" w:rsidP="008577ED">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8577ED" w:rsidRDefault="008577ED" w:rsidP="008577ED">
      <w:pPr>
        <w:numPr>
          <w:ilvl w:val="0"/>
          <w:numId w:val="24"/>
        </w:numPr>
      </w:pPr>
      <w:r>
        <w:t xml:space="preserve">While we consider the firms in </w:t>
      </w:r>
      <w:r>
        <w:fldChar w:fldCharType="begin"/>
      </w:r>
      <w:r>
        <w:instrText xml:space="preserve"> REF  _Ref446240160 \* Lower \h </w:instrText>
      </w:r>
      <w:r>
        <w:fldChar w:fldCharType="separate"/>
      </w:r>
      <w:r w:rsidR="000230CB">
        <w:t xml:space="preserve">table </w:t>
      </w:r>
      <w:r w:rsidR="000230CB">
        <w:rPr>
          <w:noProof/>
        </w:rPr>
        <w:t>3</w:t>
      </w:r>
      <w:r w:rsidR="000230CB">
        <w:noBreakHyphen/>
      </w:r>
      <w:r w:rsidR="000230CB">
        <w:rPr>
          <w:noProof/>
        </w:rPr>
        <w:t>39</w:t>
      </w:r>
      <w:r>
        <w:fldChar w:fldCharType="end"/>
      </w:r>
      <w:r>
        <w:t xml:space="preserve"> are reasonably comparable to a</w:t>
      </w:r>
      <w:r w:rsidRPr="009E5AA0">
        <w:t xml:space="preserve"> benchmark efficient entity</w:t>
      </w:r>
      <w:r>
        <w:t xml:space="preserve"> with a similar degree of risk as AGN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8577ED" w:rsidRPr="008577ED" w:rsidRDefault="008577ED" w:rsidP="008577ED">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8577ED">
        <w:rPr>
          <w:rStyle w:val="FootnoteReference"/>
        </w:rPr>
        <w:footnoteReference w:id="1037"/>
      </w:r>
    </w:p>
    <w:p w:rsidR="008577ED" w:rsidRPr="008577ED" w:rsidRDefault="008577ED" w:rsidP="008577ED">
      <w:pPr>
        <w:pStyle w:val="AERbulletlistfirststyle"/>
      </w:pPr>
      <w:r>
        <w:t>DUET</w:t>
      </w:r>
      <w:r w:rsidRPr="008577ED">
        <w:t xml:space="preserve"> Group's assets receive limited unregulated revenue—Dampier Bunbury Pipeline (4 per cent unregulated), United Energy (8 per cent unregulated), Multinet Gas (5 per cent unregulated) in the 2015 financial year.</w:t>
      </w:r>
      <w:r w:rsidRPr="008577ED">
        <w:rPr>
          <w:rStyle w:val="FootnoteReference"/>
        </w:rPr>
        <w:footnoteReference w:id="1038"/>
      </w:r>
    </w:p>
    <w:p w:rsidR="008577ED" w:rsidRPr="008577ED" w:rsidRDefault="008577ED" w:rsidP="008577ED">
      <w:pPr>
        <w:pStyle w:val="AERbulletlistfirststyle"/>
      </w:pPr>
      <w:r>
        <w:t>Approximately 86 per cent of AusNet Services' revenues are regulated, as at</w:t>
      </w:r>
      <w:r w:rsidRPr="008577ED">
        <w:t xml:space="preserve"> 29 May 2015.</w:t>
      </w:r>
      <w:r w:rsidRPr="008577ED">
        <w:rPr>
          <w:rStyle w:val="FootnoteReference"/>
        </w:rPr>
        <w:footnoteReference w:id="1039"/>
      </w:r>
    </w:p>
    <w:p w:rsidR="008577ED" w:rsidRPr="008577ED" w:rsidRDefault="008577ED" w:rsidP="008577ED">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8577ED">
        <w:rPr>
          <w:rStyle w:val="FootnoteReference"/>
        </w:rPr>
        <w:footnoteReference w:id="1040"/>
      </w:r>
      <w:r w:rsidRPr="008577ED">
        <w:t xml:space="preserve"> </w:t>
      </w:r>
    </w:p>
    <w:p w:rsidR="008577ED" w:rsidRPr="008577ED" w:rsidRDefault="008577ED" w:rsidP="008577ED">
      <w:pPr>
        <w:pStyle w:val="AERbulletlistfirststyle"/>
      </w:pPr>
      <w:r>
        <w:t xml:space="preserve">While GasNet earned the majority of its revenue from </w:t>
      </w:r>
      <w:r w:rsidRPr="008577ED">
        <w:t>tariffs charged on its regulated assets, a contribution to its earnings for the 2005 financial year was also provided by specialised engineering and project management services.</w:t>
      </w:r>
      <w:r w:rsidRPr="008577ED">
        <w:rPr>
          <w:rStyle w:val="FootnoteReference"/>
        </w:rPr>
        <w:footnoteReference w:id="1041"/>
      </w:r>
    </w:p>
    <w:p w:rsidR="008577ED" w:rsidRDefault="008577ED" w:rsidP="008577ED">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AGN</w:t>
      </w:r>
      <w:r w:rsidRPr="00E6101A">
        <w:t>.</w:t>
      </w:r>
      <w:r>
        <w:rPr>
          <w:rStyle w:val="FootnoteReference"/>
        </w:rPr>
        <w:footnoteReference w:id="1042"/>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043"/>
      </w:r>
    </w:p>
    <w:p w:rsidR="008577ED" w:rsidRPr="00D332F8" w:rsidRDefault="008577ED" w:rsidP="008577ED">
      <w:pPr>
        <w:pStyle w:val="Heading9"/>
      </w:pPr>
      <w:bookmarkStart w:id="249" w:name="_Ref446254453"/>
      <w:r>
        <w:t>Precision and stability of Australian empirical estimates</w:t>
      </w:r>
      <w:bookmarkEnd w:id="249"/>
    </w:p>
    <w:p w:rsidR="008577ED" w:rsidRDefault="008577ED" w:rsidP="008577ED">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1044"/>
      </w:r>
      <w:r>
        <w:t xml:space="preserve"> They find that these statistical properties improve as the comparator set increases.</w:t>
      </w:r>
      <w:r>
        <w:rPr>
          <w:rStyle w:val="FootnoteReference"/>
        </w:rPr>
        <w:footnoteReference w:id="1045"/>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046"/>
      </w:r>
    </w:p>
    <w:p w:rsidR="008577ED" w:rsidRDefault="008577ED" w:rsidP="008577ED">
      <w:pPr>
        <w:numPr>
          <w:ilvl w:val="0"/>
          <w:numId w:val="24"/>
        </w:numPr>
      </w:pPr>
      <w:r>
        <w:t>It is also useful to note that Henry performed a separate time series regression for each comparator firm and various portfolios of comparator firms.</w:t>
      </w:r>
      <w:r>
        <w:rPr>
          <w:rStyle w:val="FootnoteReference"/>
        </w:rPr>
        <w:footnoteReference w:id="1047"/>
      </w:r>
      <w:r>
        <w:t xml:space="preserve"> The weekly returns for each firm are regressed against the weekly returns on the market over a period of time (the estimation period).</w:t>
      </w:r>
      <w:r>
        <w:rPr>
          <w:rStyle w:val="FootnoteReference"/>
        </w:rPr>
        <w:footnoteReference w:id="1048"/>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49"/>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0230CB">
        <w:t xml:space="preserve">figure </w:t>
      </w:r>
      <w:r w:rsidR="000230CB">
        <w:rPr>
          <w:noProof/>
        </w:rPr>
        <w:t>3</w:t>
      </w:r>
      <w:r w:rsidR="000230CB">
        <w:noBreakHyphen/>
      </w:r>
      <w:r w:rsidR="000230CB">
        <w:rPr>
          <w:noProof/>
        </w:rPr>
        <w:t>18</w:t>
      </w:r>
      <w:r>
        <w:fldChar w:fldCharType="end"/>
      </w:r>
      <w:r>
        <w:t>). This focus on average and portfolio equity beta estimates further reduces any residual uncertainty associated with individual firm estimates.</w:t>
      </w:r>
    </w:p>
    <w:p w:rsidR="008577ED" w:rsidRDefault="008577ED" w:rsidP="008577ED">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050"/>
      </w:r>
      <w:r>
        <w:t xml:space="preserve"> We have assessed this material and consider it is, in substance, the same evidence that has been previously submitted to us on this issue.</w:t>
      </w:r>
      <w:r>
        <w:rPr>
          <w:rStyle w:val="FootnoteReference"/>
        </w:rPr>
        <w:footnoteReference w:id="1051"/>
      </w:r>
      <w:r>
        <w:t xml:space="preserve"> Nevertheless, Partington and Satchell have analysed the graphs of 10 year rolling beta estimates.</w:t>
      </w:r>
      <w:r>
        <w:rPr>
          <w:rStyle w:val="FootnoteReference"/>
        </w:rPr>
        <w:footnoteReference w:id="1052"/>
      </w:r>
      <w:r>
        <w:t xml:space="preserve"> They conclude that:</w:t>
      </w:r>
      <w:r>
        <w:rPr>
          <w:rStyle w:val="FootnoteReference"/>
        </w:rPr>
        <w:footnoteReference w:id="1053"/>
      </w:r>
    </w:p>
    <w:p w:rsidR="008577ED" w:rsidRDefault="008577ED" w:rsidP="008577ED">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8577ED" w:rsidRDefault="008577ED" w:rsidP="008577ED">
      <w:pPr>
        <w:pStyle w:val="AERquote"/>
      </w:pPr>
      <w:r w:rsidRPr="003B03A8">
        <w:t>.</w:t>
      </w:r>
      <w:r>
        <w:t>...</w:t>
      </w:r>
      <w:r w:rsidRPr="003B03A8">
        <w:t xml:space="preserve"> and in the time series of rolling portfolio beta estimates the US betas appear to be less stable than the Australian betas.</w:t>
      </w:r>
    </w:p>
    <w:p w:rsidR="008577ED" w:rsidRDefault="008577ED" w:rsidP="008577ED">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54"/>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AGN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55"/>
      </w:r>
      <w:r>
        <w:t xml:space="preserve"> Even Frontier performs regressions based on a five year estimation period as a robustness check on its estimates from a 10 year estimation period.</w:t>
      </w:r>
      <w:r>
        <w:rPr>
          <w:rStyle w:val="FootnoteReference"/>
        </w:rPr>
        <w:footnoteReference w:id="1056"/>
      </w:r>
      <w:r>
        <w:t xml:space="preserve"> We do not consider the robustness of our equity beta estimates to different estimation choices is invalidated by the fact that the estimates are based on the same underlying comparator set of firms (or a subset of these firms).</w:t>
      </w:r>
    </w:p>
    <w:p w:rsidR="008577ED" w:rsidRDefault="008577ED" w:rsidP="008577ED">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57"/>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0230CB">
        <w:t>G.1</w:t>
      </w:r>
      <w:r>
        <w:fldChar w:fldCharType="end"/>
      </w:r>
      <w:r>
        <w:t xml:space="preserve"> and </w:t>
      </w:r>
      <w:r>
        <w:fldChar w:fldCharType="begin"/>
      </w:r>
      <w:r>
        <w:instrText xml:space="preserve"> REF _Ref446255164 \r \h </w:instrText>
      </w:r>
      <w:r>
        <w:fldChar w:fldCharType="separate"/>
      </w:r>
      <w:r w:rsidR="000230CB">
        <w:t>G.2</w:t>
      </w:r>
      <w:r>
        <w:fldChar w:fldCharType="end"/>
      </w:r>
      <w:r>
        <w:t>.</w:t>
      </w:r>
    </w:p>
    <w:p w:rsidR="008577ED" w:rsidRPr="00D332F8" w:rsidRDefault="008577ED" w:rsidP="008577ED">
      <w:pPr>
        <w:pStyle w:val="Heading9"/>
      </w:pPr>
      <w:bookmarkStart w:id="250" w:name="_Ref446254445"/>
      <w:r>
        <w:t>Use of international energy firms</w:t>
      </w:r>
      <w:bookmarkEnd w:id="250"/>
    </w:p>
    <w:p w:rsidR="008577ED" w:rsidRDefault="008577ED" w:rsidP="008577ED">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AGN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8577ED" w:rsidRPr="008577ED" w:rsidRDefault="008577ED" w:rsidP="008577ED">
      <w:pPr>
        <w:pStyle w:val="AERbulletlistfirststyle"/>
      </w:pPr>
      <w:r>
        <w:t>They deviate from our definition of a benchmark efficient entity definition because they do not operate within Australia.</w:t>
      </w:r>
      <w:r w:rsidRPr="008577ED">
        <w:t xml:space="preserve"> Differences in regulation of businesses, the domestic economy, geography, business cycles, weather and a number of different factors are likely to result in differences between equity beta estimates for similar businesses between countries.</w:t>
      </w:r>
      <w:r w:rsidRPr="008577ED">
        <w:rPr>
          <w:rStyle w:val="FootnoteReference"/>
        </w:rPr>
        <w:footnoteReference w:id="1058"/>
      </w:r>
      <w:r w:rsidRPr="008577ED">
        <w:t xml:space="preserve"> It is difficult to assign quantitative impacts to these qualitative factors.</w:t>
      </w:r>
    </w:p>
    <w:p w:rsidR="008577ED" w:rsidRPr="008577ED" w:rsidRDefault="008577ED" w:rsidP="008577ED">
      <w:pPr>
        <w:pStyle w:val="AERbulletlistfirststyle"/>
      </w:pPr>
      <w:r>
        <w:t>W</w:t>
      </w:r>
      <w:r w:rsidRPr="008577ED">
        <w:t>e discuss equity beta estimates in the context of our foundation model, which is the domestic Sharpe-Lintner CAPM.</w:t>
      </w:r>
      <w:r w:rsidRPr="008577ED">
        <w:rPr>
          <w:rStyle w:val="FootnoteReference"/>
        </w:rPr>
        <w:footnoteReference w:id="1059"/>
      </w:r>
      <w:r w:rsidRPr="008577ED">
        <w:t xml:space="preserve"> This provides a strong rationale for estimating the equity beta using Australian data. If we included international energy firms in our comparator set, it may be more appropriate to use an international or global CAPM.</w:t>
      </w:r>
      <w:r w:rsidRPr="008577ED">
        <w:rPr>
          <w:rStyle w:val="FootnoteReference"/>
        </w:rPr>
        <w:footnoteReference w:id="1060"/>
      </w:r>
      <w:r w:rsidRPr="008577ED">
        <w:t xml:space="preserve"> </w:t>
      </w:r>
    </w:p>
    <w:p w:rsidR="008577ED" w:rsidRPr="008577ED" w:rsidRDefault="008577ED" w:rsidP="008577ED">
      <w:pPr>
        <w:pStyle w:val="AERbulletlistfirststyle"/>
      </w:pPr>
      <w:r>
        <w:t>Equity b</w:t>
      </w:r>
      <w:r w:rsidRPr="008577ED">
        <w:t>eta estimates from international comparators are measured with respect to the market portfolio of their home market.</w:t>
      </w:r>
      <w:r w:rsidRPr="008577ED">
        <w:rPr>
          <w:rStyle w:val="FootnoteReference"/>
        </w:rPr>
        <w:footnoteReference w:id="1061"/>
      </w:r>
      <w:r w:rsidRPr="008577ED">
        <w:t xml:space="preserve"> This means the equity beta estimates from international comparators are not a measurement of the firm's systematic risk relative to the Australian domestic market portfolio.</w:t>
      </w:r>
      <w:r w:rsidRPr="008577ED">
        <w:rPr>
          <w:rStyle w:val="FootnoteReference"/>
        </w:rPr>
        <w:footnoteReference w:id="1062"/>
      </w:r>
      <w:r w:rsidRPr="008577ED">
        <w:t xml:space="preserve"> As Associate Professor John Handley (Handley) stated:</w:t>
      </w:r>
      <w:r w:rsidRPr="008577ED">
        <w:rPr>
          <w:rStyle w:val="FootnoteReference"/>
        </w:rPr>
        <w:footnoteReference w:id="1063"/>
      </w:r>
    </w:p>
    <w:p w:rsidR="008577ED" w:rsidRPr="006048D2" w:rsidRDefault="008577ED" w:rsidP="008577ED">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8577ED" w:rsidRPr="008577ED" w:rsidRDefault="008577ED" w:rsidP="008577ED">
      <w:pPr>
        <w:pStyle w:val="AERbulletlistfirststyle"/>
      </w:pPr>
      <w:r>
        <w:t>They may not have the same structure as Australian energy network firms. For example, a</w:t>
      </w:r>
      <w:r w:rsidRPr="008577ED">
        <w:t xml:space="preserve"> number of US comparator businesses identified by the Competition Economists Group (CEG) are vertically integrated.</w:t>
      </w:r>
      <w:r w:rsidRPr="008577ED">
        <w:rPr>
          <w:rStyle w:val="FootnoteReference"/>
        </w:rPr>
        <w:footnoteReference w:id="1064"/>
      </w:r>
      <w:r w:rsidRPr="008577ED">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8577ED">
        <w:rPr>
          <w:rStyle w:val="FootnoteReference"/>
        </w:rPr>
        <w:footnoteReference w:id="1065"/>
      </w:r>
      <w:r w:rsidRPr="008577ED">
        <w:t xml:space="preserve"> These activities are very different from our definition of a benchmark efficient entity, which is a pure play regulated energy network business (operating within Australia). As noted in the Guideline, we consider vertically integrated firms tend to have higher equity beta estimates than pure play energy network firms.</w:t>
      </w:r>
      <w:r w:rsidRPr="008577ED">
        <w:rPr>
          <w:rStyle w:val="FootnoteReference"/>
        </w:rPr>
        <w:footnoteReference w:id="1066"/>
      </w:r>
    </w:p>
    <w:p w:rsidR="008577ED" w:rsidRPr="008577ED" w:rsidRDefault="008577ED" w:rsidP="008577ED">
      <w:pPr>
        <w:pStyle w:val="AERbulletlistfirststyle"/>
      </w:pPr>
      <w:r>
        <w:t>W</w:t>
      </w:r>
      <w:r w:rsidRPr="008577ED">
        <w:t>e consider the available Australian data is sufficient for us to form a reasonable equity beta range that is reflective of the equity beta for a benchmark efficient entity.</w:t>
      </w:r>
    </w:p>
    <w:p w:rsidR="008577ED" w:rsidRDefault="008577ED" w:rsidP="008577ED">
      <w:pPr>
        <w:numPr>
          <w:ilvl w:val="0"/>
          <w:numId w:val="24"/>
        </w:numPr>
      </w:pPr>
      <w:r>
        <w:t>These factors are discussed in more detail in the Guideline and 2009 WACC review.</w:t>
      </w:r>
      <w:r>
        <w:rPr>
          <w:rStyle w:val="FootnoteReference"/>
        </w:rPr>
        <w:footnoteReference w:id="1067"/>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8577ED" w:rsidRPr="00F241AB" w:rsidRDefault="008577ED" w:rsidP="008577ED">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68"/>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69"/>
      </w:r>
    </w:p>
    <w:p w:rsidR="008577ED" w:rsidRDefault="008577ED" w:rsidP="008577ED">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AGN in providing regulated services</w:t>
      </w:r>
      <w:r w:rsidRPr="00F241AB">
        <w:t>.</w:t>
      </w:r>
      <w:r>
        <w:rPr>
          <w:rStyle w:val="FootnoteReference"/>
        </w:rPr>
        <w:footnoteReference w:id="1070"/>
      </w:r>
      <w:r w:rsidRPr="00F241AB">
        <w:t xml:space="preserve"> Handley supports this </w:t>
      </w:r>
      <w:r>
        <w:t>view</w:t>
      </w:r>
      <w:r w:rsidRPr="00F241AB">
        <w:t>.</w:t>
      </w:r>
      <w:r w:rsidRPr="00F241AB">
        <w:rPr>
          <w:rStyle w:val="FootnoteReference"/>
        </w:rPr>
        <w:footnoteReference w:id="1071"/>
      </w:r>
      <w:r>
        <w:t xml:space="preserve"> We provided detailed reasoning for this view in our recent decisions, which we do not reproduce in this decision but which remains applicable.</w:t>
      </w:r>
      <w:r>
        <w:rPr>
          <w:rStyle w:val="FootnoteReference"/>
        </w:rPr>
        <w:footnoteReference w:id="1072"/>
      </w:r>
      <w:r>
        <w:t xml:space="preserve"> However, Partington and Satchell have assessed Frontier </w:t>
      </w:r>
      <w:r w:rsidR="0095169E">
        <w:t>Economics'</w:t>
      </w:r>
      <w:r>
        <w:t xml:space="preserve"> most recent (2016) report on the issue, and conclude that:</w:t>
      </w:r>
      <w:r>
        <w:rPr>
          <w:rStyle w:val="FootnoteReference"/>
        </w:rPr>
        <w:footnoteReference w:id="1073"/>
      </w:r>
    </w:p>
    <w:p w:rsidR="008577ED" w:rsidRDefault="008577ED" w:rsidP="008577ED">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8577ED" w:rsidRDefault="008577ED" w:rsidP="008577ED">
      <w:pPr>
        <w:pStyle w:val="AERquote"/>
      </w:pPr>
      <w:r>
        <w:t>…</w:t>
      </w:r>
      <w:r w:rsidRPr="001233AC">
        <w:t>Furthermore, the use of 24% by weight of Australian data and 76% by weight of US data to compute an Australian beta seems intuitively inappropriate.</w:t>
      </w:r>
    </w:p>
    <w:p w:rsidR="008577ED" w:rsidRPr="004C2E1A" w:rsidRDefault="008577ED" w:rsidP="008577ED">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8577ED" w:rsidRDefault="008577ED" w:rsidP="008577ED">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74"/>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075"/>
      </w:r>
      <w:r>
        <w:t xml:space="preserve"> </w:t>
      </w:r>
    </w:p>
    <w:p w:rsidR="008577ED" w:rsidRDefault="008577ED" w:rsidP="008577ED">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8577ED" w:rsidRPr="00D332F8" w:rsidRDefault="008577ED" w:rsidP="008577ED">
      <w:pPr>
        <w:pStyle w:val="Heading9"/>
      </w:pPr>
      <w:bookmarkStart w:id="251" w:name="_Ref446254437"/>
      <w:r>
        <w:t>Use of non-energy infrastructure firms</w:t>
      </w:r>
      <w:bookmarkEnd w:id="251"/>
    </w:p>
    <w:p w:rsidR="008577ED" w:rsidRDefault="008577ED" w:rsidP="008577ED">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76"/>
      </w:r>
      <w:r>
        <w:t xml:space="preserve"> Frontier Economics examined equity beta estimates for nine Australian energy network firms, seven Australian non-energy infrastructure firms</w:t>
      </w:r>
      <w:r>
        <w:rPr>
          <w:rStyle w:val="FootnoteReference"/>
        </w:rPr>
        <w:footnoteReference w:id="1077"/>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78"/>
      </w:r>
    </w:p>
    <w:p w:rsidR="008577ED" w:rsidRDefault="008577ED" w:rsidP="008577ED">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AGN in relation to the provision of its regulated services. We do not include non-energy infrastructure firms in our comparator set for empirical analysis. We consider these firms are not suitable comparators in this case, for the following reasons:</w:t>
      </w:r>
    </w:p>
    <w:p w:rsidR="008577ED" w:rsidRPr="008577ED" w:rsidRDefault="008577ED" w:rsidP="008577ED">
      <w:pPr>
        <w:pStyle w:val="AERbulletlistfirststyle"/>
      </w:pPr>
      <w:r>
        <w:t xml:space="preserve">The allowed rate of return objective requires us to consider the efficient financing costs of a benchmark efficient entity with a similar degree of risk as AGN </w:t>
      </w:r>
      <w:r w:rsidRPr="008577ED">
        <w:t xml:space="preserve">in the provision of regulated </w:t>
      </w:r>
      <w:r w:rsidR="00456727">
        <w:t>gas</w:t>
      </w:r>
      <w:r w:rsidRPr="008577ED">
        <w:t xml:space="preserve"> network services. These firms do not provide </w:t>
      </w:r>
      <w:r>
        <w:t>gas pipeline</w:t>
      </w:r>
      <w:r w:rsidRPr="008577ED">
        <w:t xml:space="preserve">, or more generally energy network, services.  </w:t>
      </w:r>
    </w:p>
    <w:p w:rsidR="008577ED" w:rsidRPr="008577ED" w:rsidRDefault="008577ED" w:rsidP="008577ED">
      <w:pPr>
        <w:pStyle w:val="AERbulletlistfirststyle"/>
      </w:pPr>
      <w:r>
        <w:t>D</w:t>
      </w:r>
      <w:r w:rsidRPr="008577ED">
        <w:t>ifferences in regulation (including minimal or no regulation), industry structure and consumer demand for non-energy infrastructure firms are likely to result in different risk profiles relative to energy network firms regulated under the rules and law.</w:t>
      </w:r>
      <w:r w:rsidRPr="008577ED">
        <w:rPr>
          <w:rStyle w:val="FootnoteReference"/>
        </w:rPr>
        <w:footnoteReference w:id="1079"/>
      </w:r>
      <w:r w:rsidRPr="008577ED">
        <w:t xml:space="preserve"> For example, a number of Australian non-energy infrastructure firms are unregulated or are partly regulated under different regulatory regimes.</w:t>
      </w:r>
      <w:r w:rsidRPr="008577ED">
        <w:rPr>
          <w:rStyle w:val="FootnoteReference"/>
        </w:rPr>
        <w:footnoteReference w:id="1080"/>
      </w:r>
      <w:r w:rsidRPr="008577ED">
        <w:t xml:space="preserve"> We explain why we consider unregulated businesses are likely to have a very different risk profile to regulated firms in section 3.3.3. Also, a number of Australian non-energy infrastructure firms provide a range of different services in addition to management of and access to the monopoly infrastructure,</w:t>
      </w:r>
      <w:r w:rsidRPr="008577ED">
        <w:rPr>
          <w:rStyle w:val="FootnoteReference"/>
        </w:rPr>
        <w:footnoteReference w:id="1081"/>
      </w:r>
      <w:r w:rsidRPr="008577ED">
        <w:t xml:space="preserve"> which are likely to influence their overall risk profile. </w:t>
      </w:r>
    </w:p>
    <w:p w:rsidR="008577ED" w:rsidRPr="008577ED" w:rsidRDefault="008577ED" w:rsidP="008577ED">
      <w:pPr>
        <w:pStyle w:val="AERbulletlistfirststyle"/>
      </w:pPr>
      <w:r>
        <w:t>W</w:t>
      </w:r>
      <w:r w:rsidRPr="008577ED">
        <w:t>e consider the available data for Australian energy network firms are sufficient for us to form a reasonable equity beta range that is reflective of the equity beta for a benchmark efficient entity.</w:t>
      </w:r>
    </w:p>
    <w:p w:rsidR="008577ED" w:rsidRDefault="008577ED" w:rsidP="008577ED">
      <w:pPr>
        <w:numPr>
          <w:ilvl w:val="0"/>
          <w:numId w:val="24"/>
        </w:numPr>
      </w:pPr>
      <w:r>
        <w:t xml:space="preserve">As discussed at the start of section </w:t>
      </w:r>
      <w:r>
        <w:fldChar w:fldCharType="begin"/>
      </w:r>
      <w:r>
        <w:instrText xml:space="preserve"> REF _Ref446254453 \r \h </w:instrText>
      </w:r>
      <w:r>
        <w:fldChar w:fldCharType="separate"/>
      </w:r>
      <w:r w:rsidR="000230CB">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AGN in providing regulated services. </w:t>
      </w:r>
    </w:p>
    <w:p w:rsidR="008577ED" w:rsidRDefault="008577ED" w:rsidP="008577ED">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082"/>
      </w:r>
      <w:r>
        <w:t xml:space="preserve"> to infer that the three comparator sets are drawn from the same population.</w:t>
      </w:r>
      <w:r>
        <w:rPr>
          <w:rStyle w:val="FootnoteReference"/>
        </w:rPr>
        <w:footnoteReference w:id="1083"/>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84"/>
      </w:r>
    </w:p>
    <w:p w:rsidR="008577ED" w:rsidRPr="00D32280" w:rsidRDefault="008577ED" w:rsidP="008577ED">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8577ED" w:rsidRDefault="008577ED" w:rsidP="008577ED">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85"/>
      </w:r>
    </w:p>
    <w:p w:rsidR="008577ED" w:rsidRPr="006048D2" w:rsidRDefault="008577ED" w:rsidP="008577ED">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8577ED" w:rsidRDefault="008577ED" w:rsidP="008577ED">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86"/>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87"/>
      </w:r>
      <w:r w:rsidRPr="00ED0870">
        <w:t xml:space="preserve"> </w:t>
      </w:r>
    </w:p>
    <w:p w:rsidR="008577ED" w:rsidRDefault="008577ED" w:rsidP="008577ED">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AGN in providing regulated services (see section </w:t>
      </w:r>
      <w:r>
        <w:fldChar w:fldCharType="begin"/>
      </w:r>
      <w:r>
        <w:instrText xml:space="preserve"> REF _Ref446254445 \r \h </w:instrText>
      </w:r>
      <w:r>
        <w:fldChar w:fldCharType="separate"/>
      </w:r>
      <w:r w:rsidR="000230CB">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AGN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088"/>
      </w:r>
      <w:r>
        <w:t xml:space="preserve"> </w:t>
      </w:r>
    </w:p>
    <w:p w:rsidR="008577ED" w:rsidRDefault="008577ED" w:rsidP="008577ED">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0230CB">
        <w:t xml:space="preserve">table </w:t>
      </w:r>
      <w:r w:rsidR="000230CB">
        <w:rPr>
          <w:noProof/>
        </w:rPr>
        <w:t>3</w:t>
      </w:r>
      <w:r w:rsidR="000230CB">
        <w:noBreakHyphen/>
      </w:r>
      <w:r w:rsidR="000230CB">
        <w:rPr>
          <w:noProof/>
        </w:rPr>
        <w:t>6</w:t>
      </w:r>
      <w:r>
        <w:fldChar w:fldCharType="end"/>
      </w:r>
      <w:r>
        <w:t>). However, we note in any case that we do not consider there is persuasive evidence that these entities are reasonable comparators for a benchmark efficient entity with similar degree of risk to AGN in the provision of its regulated services.</w:t>
      </w:r>
    </w:p>
    <w:p w:rsidR="008577ED" w:rsidRPr="00C01E61" w:rsidRDefault="008577ED" w:rsidP="008577ED">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89"/>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90"/>
      </w:r>
      <w:r>
        <w:t xml:space="preserve"> which is consistent with our final equity beta estimate of 0.7.</w:t>
      </w:r>
    </w:p>
    <w:p w:rsidR="008577ED" w:rsidRDefault="008577ED" w:rsidP="008577ED"/>
    <w:p w:rsidR="00D673C6" w:rsidRDefault="00D673C6" w:rsidP="00D673C6">
      <w:pPr>
        <w:pStyle w:val="Heading7"/>
      </w:pPr>
      <w:bookmarkStart w:id="252" w:name="_Ref451328574"/>
      <w:bookmarkStart w:id="253" w:name="_Ref451328655"/>
      <w:bookmarkStart w:id="254" w:name="_Ref451328793"/>
      <w:bookmarkStart w:id="255" w:name="_Ref451328843"/>
      <w:bookmarkStart w:id="256" w:name="_Toc451943816"/>
      <w:r>
        <w:t>Return on debt approach</w:t>
      </w:r>
      <w:bookmarkEnd w:id="252"/>
      <w:bookmarkEnd w:id="253"/>
      <w:bookmarkEnd w:id="254"/>
      <w:bookmarkEnd w:id="255"/>
      <w:bookmarkEnd w:id="256"/>
    </w:p>
    <w:p w:rsidR="00A12EBE" w:rsidRDefault="00A12EBE" w:rsidP="00A12EBE">
      <w:r>
        <w:t>We transition all of the return on debt</w:t>
      </w:r>
      <w:r>
        <w:rPr>
          <w:rStyle w:val="FootnoteReference"/>
        </w:rPr>
        <w:footnoteReference w:id="109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770B60">
        <w:t>In this appendix, a 'regulatory period' means a regulatory control period or an access arrangement period</w:t>
      </w:r>
      <w:r w:rsidR="007C0E47">
        <w:t>.</w:t>
      </w:r>
    </w:p>
    <w:p w:rsidR="00A12EBE" w:rsidRDefault="00A12EBE" w:rsidP="00A12EBE">
      <w:r>
        <w:t>In setting out our reasons for this view, this appendix is structured as follows:</w:t>
      </w:r>
    </w:p>
    <w:p w:rsidR="00A12EBE" w:rsidRPr="00BB7CBA" w:rsidRDefault="00A12EBE" w:rsidP="00A12EBE">
      <w:pPr>
        <w:pStyle w:val="AERbulletlistfirststyle"/>
      </w:pPr>
      <w:r>
        <w:t xml:space="preserve">Section </w:t>
      </w:r>
      <w:r w:rsidRPr="00BB7CBA">
        <w:fldChar w:fldCharType="begin"/>
      </w:r>
      <w:r w:rsidRPr="00BB7CBA">
        <w:instrText xml:space="preserve"> REF _Ref447803792 \r \h </w:instrText>
      </w:r>
      <w:r w:rsidRPr="00BB7CBA">
        <w:fldChar w:fldCharType="separate"/>
      </w:r>
      <w:r w:rsidR="000230CB">
        <w:t>H.1</w:t>
      </w:r>
      <w:r w:rsidRPr="00BB7CBA">
        <w:fldChar w:fldCharType="end"/>
      </w:r>
      <w:r w:rsidRPr="00BB7CBA">
        <w:t xml:space="preserve"> establishes how we interpret the ARORO. This is with a particular focus on defining efficient financing costs (section </w:t>
      </w:r>
      <w:r w:rsidRPr="00BB7CBA">
        <w:fldChar w:fldCharType="begin"/>
      </w:r>
      <w:r w:rsidRPr="00BB7CBA">
        <w:instrText xml:space="preserve"> REF _Ref446405872 \r \h </w:instrText>
      </w:r>
      <w:r w:rsidRPr="00BB7CBA">
        <w:fldChar w:fldCharType="separate"/>
      </w:r>
      <w:r w:rsidR="000230CB">
        <w:t>H.1.1</w:t>
      </w:r>
      <w:r w:rsidRPr="00BB7CBA">
        <w:fldChar w:fldCharType="end"/>
      </w:r>
      <w:r w:rsidRPr="00BB7CBA">
        <w:t xml:space="preserve">) and how the concept of a benchmark efficient entity interacts with the ARORO (section </w:t>
      </w:r>
      <w:r w:rsidRPr="00BB7CBA">
        <w:fldChar w:fldCharType="begin"/>
      </w:r>
      <w:r w:rsidRPr="00BB7CBA">
        <w:instrText xml:space="preserve"> REF _Ref447803806 \r \h </w:instrText>
      </w:r>
      <w:r w:rsidRPr="00BB7CBA">
        <w:fldChar w:fldCharType="separate"/>
      </w:r>
      <w:r w:rsidR="000230CB">
        <w:t>H.1.2</w:t>
      </w:r>
      <w:r w:rsidRPr="00BB7CBA">
        <w:fldChar w:fldCharType="end"/>
      </w:r>
      <w:r w:rsidRPr="00BB7CBA">
        <w:t>).</w:t>
      </w:r>
    </w:p>
    <w:p w:rsidR="00A12EBE" w:rsidRPr="00BB7CBA" w:rsidRDefault="00A12EBE" w:rsidP="00A12EBE">
      <w:pPr>
        <w:pStyle w:val="AERbulletlistfirststyle"/>
      </w:pPr>
      <w:r>
        <w:t>S</w:t>
      </w:r>
      <w:r w:rsidRPr="00BB7CBA">
        <w:t xml:space="preserve">ection </w:t>
      </w:r>
      <w:r w:rsidRPr="00BB7CBA">
        <w:fldChar w:fldCharType="begin"/>
      </w:r>
      <w:r w:rsidRPr="00BB7CBA">
        <w:instrText xml:space="preserve"> REF _Ref444778432 \r \h </w:instrText>
      </w:r>
      <w:r w:rsidRPr="00BB7CBA">
        <w:fldChar w:fldCharType="separate"/>
      </w:r>
      <w:r w:rsidR="000230CB">
        <w:t>H.2</w:t>
      </w:r>
      <w:r w:rsidRPr="00BB7CBA">
        <w:fldChar w:fldCharType="end"/>
      </w:r>
      <w:r w:rsidRPr="00BB7CBA">
        <w:t xml:space="preserve"> sets out what is required for us to form an allowed return on debt that contributes to the achievement of the ARORO. This includes: </w:t>
      </w:r>
    </w:p>
    <w:p w:rsidR="00A12EBE" w:rsidRDefault="00A12EBE" w:rsidP="00A12EBE">
      <w:pPr>
        <w:pStyle w:val="AERbulletlistsecondstyle"/>
      </w:pPr>
      <w:r>
        <w:t xml:space="preserve">section </w:t>
      </w:r>
      <w:r>
        <w:fldChar w:fldCharType="begin"/>
      </w:r>
      <w:r>
        <w:instrText xml:space="preserve"> REF _Ref446603900 \r \h  \* MERGEFORMAT </w:instrText>
      </w:r>
      <w:r>
        <w:fldChar w:fldCharType="separate"/>
      </w:r>
      <w:r w:rsidR="000230CB">
        <w:t>H.2.1</w:t>
      </w:r>
      <w:r>
        <w:fldChar w:fldCharType="end"/>
      </w:r>
      <w:r>
        <w:t>—the need to provide ex-ante compensation for efficient financing costs (ex-ante efficient compensation) as opposed to providing compensation for historically incurred costs</w:t>
      </w:r>
    </w:p>
    <w:p w:rsidR="00A12EBE" w:rsidRDefault="00A12EBE" w:rsidP="00A12EBE">
      <w:pPr>
        <w:pStyle w:val="AERbulletlistsecondstyle"/>
      </w:pPr>
      <w:r>
        <w:t xml:space="preserve">section </w:t>
      </w:r>
      <w:r>
        <w:fldChar w:fldCharType="begin"/>
      </w:r>
      <w:r>
        <w:instrText xml:space="preserve"> REF _Ref447803918 \r \h </w:instrText>
      </w:r>
      <w:r>
        <w:fldChar w:fldCharType="separate"/>
      </w:r>
      <w:r w:rsidR="000230CB">
        <w:t>H.2.2</w:t>
      </w:r>
      <w:r>
        <w:fldChar w:fldCharType="end"/>
      </w:r>
      <w:r>
        <w:t xml:space="preserve">—why we consider our approach is consistent with the </w:t>
      </w:r>
      <w:r w:rsidRPr="000E6F19">
        <w:t>National Electricity Law /National Gas Law</w:t>
      </w:r>
      <w:r>
        <w:t xml:space="preserve"> (NEL/NGL) </w:t>
      </w:r>
    </w:p>
    <w:p w:rsidR="00A12EBE" w:rsidRDefault="00A12EBE" w:rsidP="00A12EBE">
      <w:pPr>
        <w:pStyle w:val="AERbulletlistsecondstyle"/>
      </w:pPr>
      <w:r>
        <w:t xml:space="preserve">section </w:t>
      </w:r>
      <w:r>
        <w:fldChar w:fldCharType="begin"/>
      </w:r>
      <w:r>
        <w:instrText xml:space="preserve"> REF _Ref447803924 \r \h </w:instrText>
      </w:r>
      <w:r>
        <w:fldChar w:fldCharType="separate"/>
      </w:r>
      <w:r w:rsidR="000230CB">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A12EBE" w:rsidRPr="00BB7CBA" w:rsidRDefault="00A12EBE" w:rsidP="00A12EBE">
      <w:pPr>
        <w:pStyle w:val="AERbulletlistfirststyle"/>
      </w:pPr>
      <w:r>
        <w:t xml:space="preserve">Section </w:t>
      </w:r>
      <w:r w:rsidRPr="00BB7CBA">
        <w:fldChar w:fldCharType="begin"/>
      </w:r>
      <w:r w:rsidRPr="00BB7CBA">
        <w:instrText xml:space="preserve"> REF _Ref444767739 \r \h </w:instrText>
      </w:r>
      <w:r w:rsidRPr="00BB7CBA">
        <w:fldChar w:fldCharType="separate"/>
      </w:r>
      <w:r w:rsidR="000230CB">
        <w:t>H.3</w:t>
      </w:r>
      <w:r w:rsidRPr="00BB7CBA">
        <w:fldChar w:fldCharType="end"/>
      </w:r>
      <w:r w:rsidRPr="00BB7CBA">
        <w:t xml:space="preserve"> analyses the on-the-day and trailing average approaches to establish the extent these approaches can contribute to the achievement of the ARORO.</w:t>
      </w:r>
    </w:p>
    <w:p w:rsidR="00A12EBE" w:rsidRPr="00BB7CBA" w:rsidRDefault="00A12EBE" w:rsidP="00A12EBE">
      <w:pPr>
        <w:pStyle w:val="AERbulletlistfirststyle"/>
      </w:pPr>
      <w:r>
        <w:t xml:space="preserve">Section </w:t>
      </w:r>
      <w:r w:rsidRPr="00BB7CBA">
        <w:fldChar w:fldCharType="begin"/>
      </w:r>
      <w:r w:rsidRPr="00BB7CBA">
        <w:instrText xml:space="preserve"> REF _Ref447538284 \r \h </w:instrText>
      </w:r>
      <w:r w:rsidRPr="00BB7CBA">
        <w:fldChar w:fldCharType="separate"/>
      </w:r>
      <w:r w:rsidR="000230CB">
        <w:t>H.4</w:t>
      </w:r>
      <w:r w:rsidRPr="00BB7CBA">
        <w:fldChar w:fldCharType="end"/>
      </w:r>
      <w:r w:rsidRPr="00BB7CBA">
        <w:t xml:space="preserve"> establishes why a full transition can contribute to the achievement of the ARORO when moving from an on-the-day to a trailing average approach.</w:t>
      </w:r>
    </w:p>
    <w:p w:rsidR="00A12EBE" w:rsidRPr="00BB7CBA" w:rsidRDefault="00A12EBE" w:rsidP="00A12EBE">
      <w:pPr>
        <w:pStyle w:val="AERbulletlistfirststyle"/>
      </w:pPr>
      <w:r>
        <w:t xml:space="preserve">Section </w:t>
      </w:r>
      <w:r w:rsidRPr="00BB7CBA">
        <w:fldChar w:fldCharType="begin"/>
      </w:r>
      <w:r w:rsidRPr="00BB7CBA">
        <w:instrText xml:space="preserve"> REF _Ref447266532 \r \h </w:instrText>
      </w:r>
      <w:r w:rsidRPr="00BB7CBA">
        <w:fldChar w:fldCharType="separate"/>
      </w:r>
      <w:r w:rsidR="000230CB">
        <w:t>H.5</w:t>
      </w:r>
      <w:r w:rsidRPr="00BB7CBA">
        <w:fldChar w:fldCharType="end"/>
      </w:r>
      <w:r w:rsidRPr="00BB7CBA">
        <w:t xml:space="preserve"> explains why an immediate (or hybrid) transition will not achieve the ARORO given current interest rates relative to historical interest rates. This includes: </w:t>
      </w:r>
    </w:p>
    <w:p w:rsidR="00A12EBE" w:rsidRDefault="00A12EBE" w:rsidP="00A12EBE">
      <w:pPr>
        <w:pStyle w:val="AERbulletlistsecondstyle"/>
      </w:pPr>
      <w:r>
        <w:t xml:space="preserve">section </w:t>
      </w:r>
      <w:r>
        <w:fldChar w:fldCharType="begin"/>
      </w:r>
      <w:r>
        <w:instrText xml:space="preserve"> REF _Ref447886159 \r \h  \* MERGEFORMAT </w:instrText>
      </w:r>
      <w:r>
        <w:fldChar w:fldCharType="separate"/>
      </w:r>
      <w:r w:rsidR="000230CB">
        <w:t>H.5.1</w:t>
      </w:r>
      <w:r>
        <w:fldChar w:fldCharType="end"/>
      </w:r>
      <w:r>
        <w:t xml:space="preserve">—a mathematical explanation. </w:t>
      </w:r>
    </w:p>
    <w:p w:rsidR="00A12EBE" w:rsidRDefault="00A12EBE" w:rsidP="00A12EBE">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rsidR="000230CB">
        <w:t>H.5.2</w:t>
      </w:r>
      <w:r w:rsidRPr="002951E2">
        <w:fldChar w:fldCharType="end"/>
      </w:r>
      <w:r>
        <w:t>—a further discussion responding to some issues raised in the service providers' revised proposals.</w:t>
      </w:r>
      <w:r>
        <w:rPr>
          <w:rStyle w:val="FootnoteReference"/>
        </w:rPr>
        <w:footnoteReference w:id="1092"/>
      </w:r>
      <w:r w:rsidRPr="00D65D03">
        <w:t xml:space="preserve"> </w:t>
      </w:r>
      <w:r>
        <w:fldChar w:fldCharType="begin"/>
      </w:r>
      <w:r>
        <w:instrText xml:space="preserve"> REF _Ref447807493 \h  \* MERGEFORMAT </w:instrText>
      </w:r>
      <w:r>
        <w:fldChar w:fldCharType="separate"/>
      </w:r>
      <w:r w:rsidR="000230CB">
        <w:t>Table 3</w:t>
      </w:r>
      <w:r w:rsidR="000230CB">
        <w:noBreakHyphen/>
        <w:t>41</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093"/>
      </w:r>
    </w:p>
    <w:p w:rsidR="00A12EBE" w:rsidRDefault="00A12EBE" w:rsidP="00A12EBE">
      <w:pPr>
        <w:pStyle w:val="ListContinue"/>
      </w:pPr>
      <w:r>
        <w:t xml:space="preserve">This section also explains why, to achieve the ARORO, the on-the-day approach should continue if there is no revenue-neutral transition from the current on the day approach. </w:t>
      </w:r>
    </w:p>
    <w:p w:rsidR="00A12EBE" w:rsidRDefault="00A12EBE" w:rsidP="00A12EBE">
      <w:pPr>
        <w:pStyle w:val="Heading8"/>
        <w:numPr>
          <w:ilvl w:val="1"/>
          <w:numId w:val="48"/>
        </w:numPr>
      </w:pPr>
      <w:bookmarkStart w:id="257" w:name="_Ref447803792"/>
      <w:bookmarkStart w:id="258" w:name="_Toc451943817"/>
      <w:r>
        <w:t>Interpretation of the ARORO</w:t>
      </w:r>
      <w:bookmarkEnd w:id="257"/>
      <w:bookmarkEnd w:id="258"/>
    </w:p>
    <w:p w:rsidR="00A12EBE" w:rsidRDefault="00A12EBE" w:rsidP="00A12EBE">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094"/>
      </w:r>
      <w:r>
        <w:t xml:space="preserve"> Given this, applying the ARORO requires an understanding of:</w:t>
      </w:r>
    </w:p>
    <w:p w:rsidR="00A12EBE" w:rsidRDefault="00A12EBE" w:rsidP="00A12EBE">
      <w:pPr>
        <w:pStyle w:val="AERbulletlistfirststyle"/>
      </w:pPr>
      <w:r>
        <w:t>efficient financing costs</w:t>
      </w:r>
    </w:p>
    <w:p w:rsidR="00A12EBE" w:rsidRPr="00BB7CBA" w:rsidRDefault="00A12EBE" w:rsidP="00A12EBE">
      <w:pPr>
        <w:pStyle w:val="AERbulletlistfirststyle"/>
      </w:pPr>
      <w:r>
        <w:t>the</w:t>
      </w:r>
      <w:r w:rsidRPr="00BB7CBA">
        <w:t xml:space="preserve"> degree of risk that applies to a benchmark efficient service provider in respect of the provision of regulated services.</w:t>
      </w:r>
    </w:p>
    <w:p w:rsidR="00A12EBE" w:rsidRDefault="00A12EBE" w:rsidP="00A12EBE">
      <w:r>
        <w:t>We elaborate on these components of the ARORO in the following sections.</w:t>
      </w:r>
    </w:p>
    <w:p w:rsidR="00A12EBE" w:rsidRDefault="00A12EBE" w:rsidP="00A12EBE">
      <w:pPr>
        <w:pStyle w:val="Heading9"/>
      </w:pPr>
      <w:bookmarkStart w:id="259" w:name="_Ref446405872"/>
      <w:r>
        <w:t>Efficient financing costs</w:t>
      </w:r>
      <w:bookmarkEnd w:id="259"/>
      <w:r>
        <w:t xml:space="preserve"> </w:t>
      </w:r>
    </w:p>
    <w:p w:rsidR="00A12EBE" w:rsidRPr="006757DF" w:rsidRDefault="00A12EBE" w:rsidP="00A12EBE">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A12EBE" w:rsidRDefault="00A12EBE" w:rsidP="00A12EBE">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0230CB">
        <w:t xml:space="preserve">Table </w:t>
      </w:r>
      <w:r w:rsidR="000230CB">
        <w:rPr>
          <w:noProof/>
        </w:rPr>
        <w:t>3</w:t>
      </w:r>
      <w:r w:rsidR="000230CB">
        <w:noBreakHyphen/>
      </w:r>
      <w:r w:rsidR="000230CB">
        <w:rPr>
          <w:noProof/>
        </w:rPr>
        <w:t>40</w:t>
      </w:r>
      <w:r>
        <w:fldChar w:fldCharType="end"/>
      </w:r>
      <w:r>
        <w:t xml:space="preserve"> sets out how this applies in the context of debt financing.</w:t>
      </w:r>
    </w:p>
    <w:p w:rsidR="00A12EBE" w:rsidRDefault="00A12EBE" w:rsidP="005506D5">
      <w:pPr>
        <w:pStyle w:val="Caption"/>
      </w:pPr>
      <w:bookmarkStart w:id="260" w:name="_Ref447803361"/>
      <w:r>
        <w:t xml:space="preserve">Table </w:t>
      </w:r>
      <w:r w:rsidRPr="00BB7CBA">
        <w:fldChar w:fldCharType="begin"/>
      </w:r>
      <w:r>
        <w:instrText xml:space="preserve"> STYLEREF 1 \s </w:instrText>
      </w:r>
      <w:r w:rsidRPr="00BB7CBA">
        <w:fldChar w:fldCharType="separate"/>
      </w:r>
      <w:r w:rsidR="000230CB">
        <w:rPr>
          <w:noProof/>
        </w:rPr>
        <w:t>3</w:t>
      </w:r>
      <w:r w:rsidRPr="00BB7CBA">
        <w:fldChar w:fldCharType="end"/>
      </w:r>
      <w:r>
        <w:noBreakHyphen/>
      </w:r>
      <w:r w:rsidRPr="00BB7CBA">
        <w:fldChar w:fldCharType="begin"/>
      </w:r>
      <w:r>
        <w:instrText xml:space="preserve"> SEQ Table \* ARABIC \s 1 </w:instrText>
      </w:r>
      <w:r w:rsidRPr="00BB7CBA">
        <w:fldChar w:fldCharType="separate"/>
      </w:r>
      <w:r w:rsidR="000230CB">
        <w:rPr>
          <w:noProof/>
        </w:rPr>
        <w:t>40</w:t>
      </w:r>
      <w:r w:rsidRPr="00BB7CBA">
        <w:fldChar w:fldCharType="end"/>
      </w:r>
      <w:bookmarkEnd w:id="260"/>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A12EBE" w:rsidRPr="00B814E2" w:rsidTr="00CE146C">
        <w:trPr>
          <w:cnfStyle w:val="100000000000" w:firstRow="1" w:lastRow="0" w:firstColumn="0" w:lastColumn="0" w:oddVBand="0" w:evenVBand="0" w:oddHBand="0" w:evenHBand="0" w:firstRowFirstColumn="0" w:firstRowLastColumn="0" w:lastRowFirstColumn="0" w:lastRowLastColumn="0"/>
        </w:trPr>
        <w:tc>
          <w:tcPr>
            <w:tcW w:w="795" w:type="pct"/>
          </w:tcPr>
          <w:p w:rsidR="00A12EBE" w:rsidRPr="00A12EBE" w:rsidRDefault="00A12EBE" w:rsidP="00DB4FCE">
            <w:pPr>
              <w:keepNext/>
            </w:pPr>
            <w:r w:rsidRPr="00B814E2">
              <w:t>Dimension of efficiency</w:t>
            </w:r>
          </w:p>
        </w:tc>
        <w:tc>
          <w:tcPr>
            <w:tcW w:w="2366" w:type="pct"/>
          </w:tcPr>
          <w:p w:rsidR="00A12EBE" w:rsidRPr="00A12EBE" w:rsidRDefault="00A12EBE" w:rsidP="00DB4FCE">
            <w:pPr>
              <w:keepNext/>
            </w:pPr>
            <w:r w:rsidRPr="00B814E2">
              <w:t>Economic meaning</w:t>
            </w:r>
            <w:r w:rsidRPr="00A12EBE">
              <w:rPr>
                <w:rStyle w:val="AERsuperscript"/>
              </w:rPr>
              <w:footnoteReference w:id="1095"/>
            </w:r>
          </w:p>
        </w:tc>
        <w:tc>
          <w:tcPr>
            <w:tcW w:w="1839" w:type="pct"/>
          </w:tcPr>
          <w:p w:rsidR="00A12EBE" w:rsidRPr="00A12EBE" w:rsidRDefault="00A12EBE" w:rsidP="00DB4FCE">
            <w:pPr>
              <w:keepNext/>
            </w:pPr>
            <w:r w:rsidRPr="00B814E2">
              <w:t>Application to debt financing</w:t>
            </w:r>
            <w:r w:rsidRPr="00A12EBE">
              <w:rPr>
                <w:rStyle w:val="AERsuperscript"/>
              </w:rPr>
              <w:footnoteReference w:id="1096"/>
            </w:r>
          </w:p>
        </w:tc>
      </w:tr>
      <w:tr w:rsidR="00A12EBE" w:rsidRPr="00B814E2" w:rsidTr="00CE146C">
        <w:tc>
          <w:tcPr>
            <w:tcW w:w="795" w:type="pct"/>
          </w:tcPr>
          <w:p w:rsidR="00A12EBE" w:rsidRPr="00A12EBE" w:rsidRDefault="00A12EBE" w:rsidP="00DB4FCE">
            <w:pPr>
              <w:keepNext/>
            </w:pPr>
            <w:r w:rsidRPr="00A12EBE">
              <w:t>Productive efficiency</w:t>
            </w:r>
          </w:p>
        </w:tc>
        <w:tc>
          <w:tcPr>
            <w:tcW w:w="2366" w:type="pct"/>
          </w:tcPr>
          <w:p w:rsidR="00A12EBE" w:rsidRPr="00A12EBE" w:rsidRDefault="00A12EBE" w:rsidP="00DB4FCE">
            <w:pPr>
              <w:keepNext/>
            </w:pPr>
            <w:r w:rsidRPr="00A12EBE">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r w:rsidR="00BC70E6">
              <w:t>.</w:t>
            </w:r>
          </w:p>
        </w:tc>
        <w:tc>
          <w:tcPr>
            <w:tcW w:w="1839" w:type="pct"/>
          </w:tcPr>
          <w:p w:rsidR="00A12EBE" w:rsidRPr="00A12EBE" w:rsidRDefault="00A12EBE" w:rsidP="00DB4FCE">
            <w:pPr>
              <w:keepNext/>
            </w:pPr>
            <w:r w:rsidRPr="00A12EBE">
              <w:t>Refers to least cost financing (that is, the lowest required return on debt) subject to any constraints, such as risk</w:t>
            </w:r>
            <w:r w:rsidR="00BC70E6">
              <w:t xml:space="preserve">. For </w:t>
            </w:r>
            <w:r w:rsidR="00BC70E6" w:rsidRPr="00BC70E6">
              <w:t>our determinations to be productively efficient we need to incentivise service providers to seek the lowest cost financing (all else being equal)</w:t>
            </w:r>
            <w:r w:rsidR="00BC70E6">
              <w:t xml:space="preserve">. </w:t>
            </w:r>
          </w:p>
        </w:tc>
      </w:tr>
      <w:tr w:rsidR="00BC70E6" w:rsidRPr="00B814E2" w:rsidTr="00CE146C">
        <w:trPr>
          <w:cnfStyle w:val="000000010000" w:firstRow="0" w:lastRow="0" w:firstColumn="0" w:lastColumn="0" w:oddVBand="0" w:evenVBand="0" w:oddHBand="0" w:evenHBand="1" w:firstRowFirstColumn="0" w:firstRowLastColumn="0" w:lastRowFirstColumn="0" w:lastRowLastColumn="0"/>
        </w:trPr>
        <w:tc>
          <w:tcPr>
            <w:tcW w:w="795" w:type="pct"/>
          </w:tcPr>
          <w:p w:rsidR="00BC70E6" w:rsidRPr="00BC70E6" w:rsidRDefault="00BC70E6" w:rsidP="00DB4FCE">
            <w:pPr>
              <w:keepNext/>
            </w:pPr>
            <w:r w:rsidRPr="00A12EBE">
              <w:t>Allocative efficiency</w:t>
            </w:r>
          </w:p>
        </w:tc>
        <w:tc>
          <w:tcPr>
            <w:tcW w:w="2366" w:type="pct"/>
          </w:tcPr>
          <w:p w:rsidR="00BC70E6" w:rsidRPr="00BC70E6" w:rsidRDefault="00BC70E6" w:rsidP="00DB4FCE">
            <w:pPr>
              <w:keepNext/>
            </w:pPr>
            <w:r w:rsidRPr="00A12EBE">
              <w:t>Achieved when the community gets the greatest return (or utility) from its scarce resources.</w:t>
            </w:r>
          </w:p>
        </w:tc>
        <w:tc>
          <w:tcPr>
            <w:tcW w:w="1839" w:type="pct"/>
          </w:tcPr>
          <w:p w:rsidR="00BC70E6" w:rsidRPr="00BC70E6" w:rsidRDefault="00BC70E6" w:rsidP="00DB4FCE">
            <w:pPr>
              <w:keepNext/>
            </w:pPr>
            <w:r>
              <w:t xml:space="preserve">Allocative </w:t>
            </w:r>
            <w:r w:rsidRPr="00BC70E6">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BC70E6" w:rsidRPr="00B814E2" w:rsidTr="00CE146C">
        <w:tc>
          <w:tcPr>
            <w:tcW w:w="795" w:type="pct"/>
          </w:tcPr>
          <w:p w:rsidR="00BC70E6" w:rsidRPr="00BC70E6" w:rsidRDefault="00BC70E6" w:rsidP="00DB4FCE">
            <w:pPr>
              <w:keepNext/>
            </w:pPr>
            <w:r w:rsidRPr="00A12EBE">
              <w:t>Dynamic efficiency</w:t>
            </w:r>
          </w:p>
        </w:tc>
        <w:tc>
          <w:tcPr>
            <w:tcW w:w="2366" w:type="pct"/>
          </w:tcPr>
          <w:p w:rsidR="00BC70E6" w:rsidRPr="00BC70E6" w:rsidRDefault="00BC70E6" w:rsidP="00DB4FCE">
            <w:pPr>
              <w:keepNext/>
            </w:pPr>
            <w:r w:rsidRPr="00A12EBE">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BC70E6" w:rsidRPr="00BC70E6" w:rsidRDefault="00BC70E6" w:rsidP="00DB4FCE">
            <w:pPr>
              <w:keepNext/>
            </w:pPr>
            <w:r w:rsidRPr="00A12EBE">
              <w:t>Refers to the existence of appropriate investment incentives</w:t>
            </w:r>
            <w:r>
              <w:t xml:space="preserve">. We </w:t>
            </w:r>
            <w:r w:rsidRPr="00BC70E6">
              <w:t>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w:t>
            </w:r>
            <w:r w:rsidRPr="00A12EBE">
              <w:t>.</w:t>
            </w:r>
          </w:p>
        </w:tc>
      </w:tr>
    </w:tbl>
    <w:p w:rsidR="00A12EBE" w:rsidRDefault="00A12EBE" w:rsidP="00DB4FCE">
      <w:pPr>
        <w:pStyle w:val="AERtablesource"/>
        <w:keepNext/>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A12EBE" w:rsidRDefault="00A12EBE" w:rsidP="00A12EBE">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097"/>
      </w:r>
      <w:r>
        <w:t xml:space="preserve"> </w:t>
      </w:r>
      <w:r w:rsidRPr="00EE36F1">
        <w:t>As Alfred Kahn stated:</w:t>
      </w:r>
      <w:r>
        <w:rPr>
          <w:rStyle w:val="FootnoteReference"/>
        </w:rPr>
        <w:footnoteReference w:id="1098"/>
      </w:r>
    </w:p>
    <w:p w:rsidR="00A12EBE" w:rsidRDefault="00A12EBE" w:rsidP="00A12EBE">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A12EBE" w:rsidRDefault="00A12EBE" w:rsidP="00A12EBE">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099"/>
      </w:r>
      <w:r>
        <w:t xml:space="preserve"> They advise the opportunity cost of debt is generally measured using the (appropriately benchmarked) yield to maturity.</w:t>
      </w:r>
      <w:r>
        <w:rPr>
          <w:rStyle w:val="FootnoteReference"/>
        </w:rPr>
        <w:footnoteReference w:id="1100"/>
      </w:r>
      <w:r>
        <w:t xml:space="preserve"> They also consider our use of a benchmark BBB+ credit rating and ten year term is appropriate.</w:t>
      </w:r>
      <w:r>
        <w:rPr>
          <w:rStyle w:val="FootnoteReference"/>
        </w:rPr>
        <w:footnoteReference w:id="1101"/>
      </w:r>
    </w:p>
    <w:p w:rsidR="00A12EBE" w:rsidRDefault="00A12EBE" w:rsidP="00A12EBE">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102"/>
      </w:r>
      <w:r>
        <w:t xml:space="preserve"> </w:t>
      </w:r>
    </w:p>
    <w:p w:rsidR="00A12EBE" w:rsidRDefault="00A12EBE" w:rsidP="00A12EBE">
      <w:pPr>
        <w:pStyle w:val="Heading9"/>
      </w:pPr>
      <w:bookmarkStart w:id="261" w:name="_Ref447803806"/>
      <w:r>
        <w:t>Benchmark efficient entity</w:t>
      </w:r>
      <w:bookmarkEnd w:id="261"/>
    </w:p>
    <w:p w:rsidR="00A12EBE" w:rsidRDefault="00A12EBE" w:rsidP="00A12EBE">
      <w:r w:rsidRPr="004B76DC">
        <w:t xml:space="preserve">We consider a benchmark efficient entity would be 'a pure play, regulated energy network business operating within Australia'. This </w:t>
      </w:r>
      <w:r>
        <w:t>has been adopted in:</w:t>
      </w:r>
    </w:p>
    <w:p w:rsidR="00A12EBE" w:rsidRPr="00BB7CBA" w:rsidRDefault="00A12EBE" w:rsidP="00A12EBE">
      <w:pPr>
        <w:pStyle w:val="AERbulletlistfirststyle"/>
      </w:pPr>
      <w:r>
        <w:t xml:space="preserve">The </w:t>
      </w:r>
      <w:r w:rsidRPr="00BB7CBA">
        <w:t>rate of return guidelines published in December 2013 (the Guideline).</w:t>
      </w:r>
      <w:r w:rsidRPr="00BB7CBA">
        <w:rPr>
          <w:rStyle w:val="FootnoteReference"/>
        </w:rPr>
        <w:footnoteReference w:id="1103"/>
      </w:r>
      <w:r w:rsidRPr="00BB7CBA">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BB7CBA">
        <w:rPr>
          <w:rStyle w:val="FootnoteReference"/>
        </w:rPr>
        <w:footnoteReference w:id="1104"/>
      </w:r>
      <w:r w:rsidRPr="00BB7CBA">
        <w:t xml:space="preserve"> To the contrary, stakeholders recognised that price and revenue caps had particular roles in mitigating risk as well as other features of the regulatory framework such as maintenance of the regulatory asset base.</w:t>
      </w:r>
      <w:r w:rsidRPr="00BB7CBA">
        <w:rPr>
          <w:rStyle w:val="FootnoteReference"/>
        </w:rPr>
        <w:footnoteReference w:id="1105"/>
      </w:r>
    </w:p>
    <w:p w:rsidR="00A12EBE" w:rsidRPr="00BB7CBA" w:rsidRDefault="00A12EBE" w:rsidP="00A12EBE">
      <w:pPr>
        <w:pStyle w:val="AERbulletlistfirststyle"/>
      </w:pPr>
      <w:r>
        <w:t xml:space="preserve">Our previous 2009 </w:t>
      </w:r>
      <w:r w:rsidRPr="00BB7CBA">
        <w:t>weighted average cost of capital (WACC) review.</w:t>
      </w:r>
      <w:r w:rsidRPr="00BB7CBA">
        <w:rPr>
          <w:rStyle w:val="FootnoteReference"/>
        </w:rPr>
        <w:footnoteReference w:id="1106"/>
      </w:r>
      <w:r w:rsidRPr="00BB7CBA">
        <w:t xml:space="preserve"> </w:t>
      </w:r>
    </w:p>
    <w:p w:rsidR="00A12EBE" w:rsidRPr="00BB7CBA" w:rsidRDefault="00A12EBE" w:rsidP="00A12EBE">
      <w:pPr>
        <w:pStyle w:val="AERbulletlistfirststyle"/>
      </w:pPr>
      <w:r>
        <w:t>Our rate of return decisions following the publication of the Guideline.</w:t>
      </w:r>
      <w:r w:rsidRPr="00BB7CBA">
        <w:rPr>
          <w:rStyle w:val="FootnoteReference"/>
        </w:rPr>
        <w:footnoteReference w:id="1107"/>
      </w:r>
    </w:p>
    <w:p w:rsidR="00A12EBE" w:rsidRPr="00BB7CBA" w:rsidRDefault="00A12EBE" w:rsidP="00BC70E6">
      <w:r w:rsidRPr="009D1BB8">
        <w:t xml:space="preserve">We have devoted considerable time to </w:t>
      </w:r>
      <w:r w:rsidRPr="00BB7CBA">
        <w:t>considering the characteristics of a benchmark efficient entity in the Guideline and this decision, We consider a 'benchmark' is a reference point or standard against which performance of achievements can be assessed.</w:t>
      </w:r>
      <w:r w:rsidRPr="00BB7CBA">
        <w:rPr>
          <w:rStyle w:val="FootnoteReference"/>
        </w:rPr>
        <w:footnoteReference w:id="1108"/>
      </w:r>
      <w:r w:rsidRPr="00BB7CBA">
        <w:t xml:space="preserve"> For a benchmark to be useful, it must 'fairly and accurately represent the key attributes of the market segment or financial instrument in question’.</w:t>
      </w:r>
      <w:r w:rsidRPr="00BB7CBA">
        <w:rPr>
          <w:rStyle w:val="FootnoteReference"/>
        </w:rPr>
        <w:footnoteReference w:id="1109"/>
      </w:r>
      <w:r w:rsidRPr="00BB7CBA">
        <w:t xml:space="preserve"> As the AEMC recognised (underline added for emphasis):</w:t>
      </w:r>
      <w:r w:rsidRPr="00BB7CBA">
        <w:rPr>
          <w:rStyle w:val="FootnoteReference"/>
        </w:rPr>
        <w:footnoteReference w:id="1110"/>
      </w:r>
    </w:p>
    <w:p w:rsidR="00A12EBE" w:rsidRDefault="00A12EBE" w:rsidP="00A12EBE">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A12EBE" w:rsidRDefault="00A12EBE" w:rsidP="00A12EBE">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111"/>
      </w:r>
      <w:r w:rsidRPr="004B76DC">
        <w:t xml:space="preserve"> </w:t>
      </w:r>
      <w:r>
        <w:t xml:space="preserve"> 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112"/>
      </w:r>
      <w:r w:rsidRPr="00A157BA">
        <w:t xml:space="preserve"> </w:t>
      </w:r>
    </w:p>
    <w:p w:rsidR="00A12EBE" w:rsidRDefault="00A12EBE" w:rsidP="00A12EBE">
      <w:r>
        <w:t>We did not consider this issue prior to the Tribunal's decision because it had not been raised substantively by any service provider.</w:t>
      </w:r>
      <w:r>
        <w:rPr>
          <w:rStyle w:val="FootnoteReference"/>
        </w:rPr>
        <w:footnoteReference w:id="1113"/>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A12EBE" w:rsidRDefault="00A12EBE" w:rsidP="00A12EBE">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A12EBE" w:rsidRDefault="00A12EBE" w:rsidP="00A12EBE">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A12EBE" w:rsidRDefault="00A12EBE" w:rsidP="00A12EBE">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114"/>
      </w:r>
    </w:p>
    <w:p w:rsidR="00A12EBE" w:rsidRDefault="00A12EBE" w:rsidP="00A12EBE">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A12EBE" w:rsidRDefault="00A12EBE" w:rsidP="00A12EBE">
      <w:pPr>
        <w:pStyle w:val="Heading8"/>
      </w:pPr>
      <w:bookmarkStart w:id="262" w:name="_Ref444778432"/>
      <w:bookmarkStart w:id="263" w:name="_Toc451943818"/>
      <w:r>
        <w:t>Requirements under the ARORO</w:t>
      </w:r>
      <w:bookmarkEnd w:id="262"/>
      <w:bookmarkEnd w:id="263"/>
    </w:p>
    <w:p w:rsidR="00A12EBE" w:rsidRDefault="00A12EBE" w:rsidP="00A12EBE">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115"/>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116"/>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117"/>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118"/>
      </w:r>
    </w:p>
    <w:p w:rsidR="00A12EBE" w:rsidRDefault="00A12EBE" w:rsidP="00A12EBE">
      <w:r>
        <w:t>We elaborate on this in the following sections by setting out why and how a rate of return that meets the ARORO must:</w:t>
      </w:r>
    </w:p>
    <w:p w:rsidR="00A12EBE" w:rsidRPr="00BB7CBA" w:rsidRDefault="00A12EBE" w:rsidP="00A12EBE">
      <w:pPr>
        <w:pStyle w:val="AERbulletlistfirststyle"/>
      </w:pPr>
      <w:r>
        <w:t>p</w:t>
      </w:r>
      <w:r w:rsidRPr="00BB7CBA">
        <w:t xml:space="preserve">rovide for ex-ante efficient compensation </w:t>
      </w:r>
    </w:p>
    <w:p w:rsidR="00A12EBE" w:rsidRPr="00BB7CBA" w:rsidRDefault="00A12EBE" w:rsidP="00A12EBE">
      <w:pPr>
        <w:pStyle w:val="AERbulletlistfirststyle"/>
      </w:pPr>
      <w:r>
        <w:t xml:space="preserve">be </w:t>
      </w:r>
      <w:r w:rsidRPr="00BB7CBA">
        <w:t>consistent with the NEL/NGL</w:t>
      </w:r>
    </w:p>
    <w:p w:rsidR="00A12EBE" w:rsidRPr="00BB7CBA" w:rsidRDefault="00A12EBE" w:rsidP="00A12EBE">
      <w:pPr>
        <w:pStyle w:val="AERbulletlistfirststyle"/>
      </w:pPr>
      <w:r>
        <w:t xml:space="preserve">require </w:t>
      </w:r>
      <w:r w:rsidRPr="00BB7CBA">
        <w:t>a revenue-neutral transition if there is a change in the methodology used to estimate the allowed return on debt (assuming that both methodologies can meet the ARORO but produce different estimates across time).</w:t>
      </w:r>
    </w:p>
    <w:p w:rsidR="00A12EBE" w:rsidRPr="00F21B32" w:rsidRDefault="00A12EBE" w:rsidP="00A12EBE">
      <w:pPr>
        <w:pStyle w:val="Heading9"/>
      </w:pPr>
      <w:bookmarkStart w:id="264" w:name="_Ref446603900"/>
      <w:r>
        <w:t xml:space="preserve">Ex-ante </w:t>
      </w:r>
      <w:r w:rsidRPr="00D25CF7">
        <w:t>efficient</w:t>
      </w:r>
      <w:r>
        <w:t xml:space="preserve"> compensation</w:t>
      </w:r>
      <w:bookmarkEnd w:id="264"/>
    </w:p>
    <w:p w:rsidR="00A12EBE" w:rsidRDefault="00A12EBE" w:rsidP="00A12EBE">
      <w:r>
        <w:t xml:space="preserve">We consider a rate of return that meets the ARORO must provide ex-ante compensation for efficient financing costs (we refer to this as ex-ante efficient compensation). </w:t>
      </w:r>
    </w:p>
    <w:p w:rsidR="00A12EBE" w:rsidRDefault="00A12EBE" w:rsidP="00A12EBE">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119"/>
      </w:r>
      <w:r>
        <w:t xml:space="preserve"> This is a zero net present value (NPV) investment condition,</w:t>
      </w:r>
      <w:r>
        <w:rPr>
          <w:rStyle w:val="FootnoteReference"/>
        </w:rPr>
        <w:footnoteReference w:id="1120"/>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121"/>
      </w:r>
      <w:r>
        <w:t xml:space="preserve"> </w:t>
      </w:r>
    </w:p>
    <w:p w:rsidR="00A12EBE" w:rsidRDefault="00A12EBE" w:rsidP="00A12EBE">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A12EBE" w:rsidRDefault="00A12EBE" w:rsidP="00A12EBE">
      <w:r>
        <w:t xml:space="preserve">As discussed in section </w:t>
      </w:r>
      <w:r>
        <w:fldChar w:fldCharType="begin"/>
      </w:r>
      <w:r>
        <w:instrText xml:space="preserve"> REF _Ref451730124 \r \h </w:instrText>
      </w:r>
      <w:r>
        <w:fldChar w:fldCharType="separate"/>
      </w:r>
      <w:r w:rsidR="000230CB">
        <w:t>3.3.3</w:t>
      </w:r>
      <w:r>
        <w:fldChar w:fldCharType="end"/>
      </w:r>
      <w:r>
        <w:t xml:space="preserve"> and </w:t>
      </w:r>
      <w:r>
        <w:fldChar w:fldCharType="begin"/>
      </w:r>
      <w:r>
        <w:instrText xml:space="preserve"> REF _Ref446405872 \r \h </w:instrText>
      </w:r>
      <w:r>
        <w:fldChar w:fldCharType="separate"/>
      </w:r>
      <w:r w:rsidR="000230CB">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122"/>
      </w:r>
      <w:r>
        <w:t xml:space="preserve"> The opportunity cost of capital is the rate used to discount firms' expected future cash flows in NPV calculations.</w:t>
      </w:r>
      <w:r>
        <w:rPr>
          <w:rStyle w:val="FootnoteReference"/>
        </w:rPr>
        <w:footnoteReference w:id="1123"/>
      </w:r>
    </w:p>
    <w:p w:rsidR="00A12EBE" w:rsidRDefault="00A12EBE" w:rsidP="00A12EBE">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124"/>
      </w:r>
      <w:r>
        <w:t xml:space="preserve"> </w:t>
      </w:r>
    </w:p>
    <w:p w:rsidR="00A12EBE" w:rsidRDefault="00A12EBE" w:rsidP="00A12EBE">
      <w:r>
        <w:t xml:space="preserve">As shown in section </w:t>
      </w:r>
      <w:r>
        <w:fldChar w:fldCharType="begin"/>
      </w:r>
      <w:r>
        <w:instrText xml:space="preserve"> REF _Ref444767739 \r \h </w:instrText>
      </w:r>
      <w:r>
        <w:fldChar w:fldCharType="separate"/>
      </w:r>
      <w:r w:rsidR="000230CB">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125"/>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126"/>
      </w:r>
    </w:p>
    <w:p w:rsidR="00A12EBE" w:rsidRDefault="00A12EBE" w:rsidP="00A12EBE">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127"/>
      </w:r>
    </w:p>
    <w:p w:rsidR="00A12EBE" w:rsidRDefault="007F1E09" w:rsidP="00A12EBE">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A12EBE" w:rsidRDefault="00A12EBE" w:rsidP="00A12EBE">
      <w:pPr>
        <w:pStyle w:val="AERbodytextnospace"/>
      </w:pPr>
    </w:p>
    <w:p w:rsidR="00A12EBE" w:rsidRDefault="00A12EBE" w:rsidP="00A12EBE">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A12EBE" w:rsidRDefault="00A12EBE" w:rsidP="00A12EBE">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A12EBE" w:rsidRPr="00675B9E" w:rsidRDefault="00A12EBE" w:rsidP="00A12EBE">
      <w:pPr>
        <w:pStyle w:val="AERbodytextnospace"/>
      </w:pPr>
      <w:r>
        <w:tab/>
      </w:r>
      <w:r>
        <w:tab/>
      </w:r>
      <m:oMath>
        <m:r>
          <w:rPr>
            <w:rFonts w:ascii="Cambria Math" w:hAnsi="Cambria Math"/>
          </w:rPr>
          <m:t>c</m:t>
        </m:r>
      </m:oMath>
      <w:r>
        <w:t xml:space="preserve"> is the coupon rate </w:t>
      </w:r>
    </w:p>
    <w:p w:rsidR="00A12EBE" w:rsidRPr="00675B9E" w:rsidRDefault="00A12EBE" w:rsidP="00A12EBE">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A12EBE" w:rsidRPr="00675B9E" w:rsidRDefault="00A12EBE" w:rsidP="00A12EBE">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A12EBE" w:rsidRDefault="00A12EBE" w:rsidP="00A12EBE">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128"/>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A12EBE" w:rsidRPr="00F243E1" w:rsidRDefault="00A12EBE" w:rsidP="00A12EBE">
      <w:pPr>
        <w:pStyle w:val="HeadingBoldBlue"/>
      </w:pPr>
      <w:r w:rsidRPr="00F243E1">
        <w:t>Compensation for historically incurred costs</w:t>
      </w:r>
    </w:p>
    <w:p w:rsidR="00A12EBE" w:rsidRDefault="00A12EBE" w:rsidP="00A12EBE">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A12EBE" w:rsidRDefault="00A12EBE" w:rsidP="00A12EBE">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129"/>
      </w:r>
      <w:r w:rsidRPr="00B73697">
        <w:t xml:space="preserve"> </w:t>
      </w:r>
      <w:r>
        <w:t>Partington and Satchell agree with this view.</w:t>
      </w:r>
      <w:r>
        <w:rPr>
          <w:rStyle w:val="FootnoteReference"/>
        </w:rPr>
        <w:footnoteReference w:id="1130"/>
      </w:r>
      <w:r>
        <w:t xml:space="preserve"> The timeline below shows how we consider ex-post movements in interest rates (and historical costs) relate to ex-ante efficient compensation.</w:t>
      </w:r>
    </w:p>
    <w:p w:rsidR="00A12EBE" w:rsidRDefault="00A12EBE" w:rsidP="00A12EBE">
      <w:r w:rsidRPr="00A12EBE">
        <w:rPr>
          <w:noProof/>
          <w:lang w:eastAsia="en-AU"/>
        </w:rPr>
        <mc:AlternateContent>
          <mc:Choice Requires="wpg">
            <w:drawing>
              <wp:inline distT="0" distB="0" distL="0" distR="0" wp14:anchorId="1CB8CF2E" wp14:editId="78F0C809">
                <wp:extent cx="5086350" cy="2524125"/>
                <wp:effectExtent l="38100" t="0" r="0" b="0"/>
                <wp:docPr id="311" name="Group 311"/>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312" name="Group 312"/>
                        <wpg:cNvGrpSpPr/>
                        <wpg:grpSpPr>
                          <a:xfrm>
                            <a:off x="0" y="0"/>
                            <a:ext cx="4411384" cy="2203376"/>
                            <a:chOff x="0" y="0"/>
                            <a:chExt cx="4411384" cy="2203376"/>
                          </a:xfrm>
                        </wpg:grpSpPr>
                        <wpg:grpSp>
                          <wpg:cNvPr id="313" name="Group 313"/>
                          <wpg:cNvGrpSpPr/>
                          <wpg:grpSpPr>
                            <a:xfrm>
                              <a:off x="0" y="0"/>
                              <a:ext cx="4411384" cy="2203376"/>
                              <a:chOff x="0" y="1"/>
                              <a:chExt cx="4411384" cy="2203376"/>
                            </a:xfrm>
                          </wpg:grpSpPr>
                          <wps:wsp>
                            <wps:cNvPr id="314" name="Text Box 314"/>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CB" w:rsidRDefault="000230CB" w:rsidP="00A12EBE">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 315"/>
                            <wpg:cNvGrpSpPr/>
                            <wpg:grpSpPr>
                              <a:xfrm>
                                <a:off x="0" y="257175"/>
                                <a:ext cx="4019550" cy="492442"/>
                                <a:chOff x="0" y="0"/>
                                <a:chExt cx="4019550" cy="492442"/>
                              </a:xfrm>
                            </wpg:grpSpPr>
                            <wps:wsp>
                              <wps:cNvPr id="316" name="Straight Arrow Connector 316"/>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7" name="Oval 317"/>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ight Brace 318"/>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ight Brace 319"/>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CB" w:rsidRDefault="000230CB" w:rsidP="00A12EBE">
                                  <w:pPr>
                                    <w:pStyle w:val="AERbodytextnospaceleftalign"/>
                                  </w:pPr>
                                  <w:r>
                                    <w:t>Historically incurred costs:</w:t>
                                  </w:r>
                                </w:p>
                                <w:p w:rsidR="000230CB" w:rsidRDefault="000230CB" w:rsidP="00A12EBE">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CB" w:rsidRDefault="000230CB" w:rsidP="00A12EBE">
                                  <w:pPr>
                                    <w:pStyle w:val="AERbodytextnospaceleftalign"/>
                                  </w:pPr>
                                  <w:r>
                                    <w:t>Ex-post movement in interest rates:</w:t>
                                  </w:r>
                                </w:p>
                                <w:p w:rsidR="000230CB" w:rsidRDefault="000230CB" w:rsidP="00A12EBE">
                                  <w:pPr>
                                    <w:pStyle w:val="AERbodytextnospaceleftalign"/>
                                  </w:pPr>
                                  <w:r>
                                    <w:t>—unknown at date x, but the associated risks are priced into the forward looking rate of return at date x</w:t>
                                  </w:r>
                                </w:p>
                                <w:p w:rsidR="000230CB" w:rsidRDefault="000230CB" w:rsidP="00A12EBE">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2" name="Text Box 322"/>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0CB" w:rsidRDefault="000230CB" w:rsidP="00A12EBE">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Oval 323"/>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11" o:spid="_x0000_s1027"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">
                <v:group id="Group 312" o:spid="_x0000_s1028"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29"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Text Box 314" o:spid="_x0000_s1030"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0230CB" w:rsidRDefault="000230CB" w:rsidP="00A12EBE">
                            <w:pPr>
                              <w:pStyle w:val="AERbodytextnospaceleftalign"/>
                            </w:pPr>
                            <w:r>
                              <w:t>reset date x</w:t>
                            </w:r>
                          </w:p>
                        </w:txbxContent>
                      </v:textbox>
                    </v:shape>
                    <v:group id="Group 315" o:spid="_x0000_s1031"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16" o:spid="_x0000_s1032"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hlcQAAADcAAAADwAAAGRycy9kb3ducmV2LnhtbESPQWvCQBSE7wX/w/KEXqRuUkFK6ioi&#10;aHOKNPHQ4yP7moRm34bsxqT/3hUEj8PMfMNsdpNpxZV611hWEC8jEMSl1Q1XCi7F8e0DhPPIGlvL&#10;pOCfHOy2s5cNJtqO/E3X3FciQNglqKD2vkukdGVNBt3SdsTB+7W9QR9kX0nd4xjgppXvUbSWBhsO&#10;CzV2dKip/MsHo8DJ+DKO8fmUVousGPzXgrKfQanX+bT/BOFp8s/wo51qBat4Dfcz4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GVxAAAANwAAAAPAAAAAAAAAAAA&#10;AAAAAKECAABkcnMvZG93bnJldi54bWxQSwUGAAAAAAQABAD5AAAAkgMAAAAA&#10;" strokecolor="#06648a [3040]">
                        <v:stroke startarrow="open" endarrow="open"/>
                      </v:shape>
                      <v:oval id="Oval 317" o:spid="_x0000_s1033"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z+MQA&#10;AADcAAAADwAAAGRycy9kb3ducmV2LnhtbESPQYvCMBSE74L/ITxhb5rqwmqrUWRhwV282Apen82z&#10;rTYvpYna/fdGEDwOM/MNs1h1phY3al1lWcF4FIEgzq2uuFCwz36GMxDOI2usLZOCf3KwWvZ7C0y0&#10;vfOObqkvRICwS1BB6X2TSOnykgy6kW2Ig3eyrUEfZFtI3eI9wE0tJ1H0JQ1WHBZKbOi7pPySXo2C&#10;YndxfxOM8/Mxnqa/dZVt40Om1MegW89BeOr8O/xqb7SCz/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s/jEAAAA3AAAAA8AAAAAAAAAAAAAAAAAmAIAAGRycy9k&#10;b3ducmV2LnhtbFBLBQYAAAAABAAEAPUAAACJAw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8" o:spid="_x0000_s1034"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l/sUA&#10;AADcAAAADwAAAGRycy9kb3ducmV2LnhtbERPy2rCQBTdF/yH4QrdNRNrWyQ6ES1WLNKFxo27S+aa&#10;h5k7ITONsV/fWRS6PJz3YjmYRvTUucqygkkUgyDOra64UHDKPp5mIJxH1thYJgV3crBMRw8LTLS9&#10;8YH6oy9ECGGXoILS+zaR0uUlGXSRbYkDd7GdQR9gV0jd4S2Em0Y+x/GbNFhxaCixpfeS8uvx2yjo&#10;X7bXr3rTZPf1YXfenvTP/vWzVupxPKzmIDwN/l/8595pBdNJWBv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6X+xQAAANwAAAAPAAAAAAAAAAAAAAAAAJgCAABkcnMv&#10;ZG93bnJldi54bWxQSwUGAAAAAAQABAD1AAAAigMAAAAA&#10;" adj="269" strokecolor="#06648a [3040]"/>
                      <v:shape id="Right Brace 319" o:spid="_x0000_s1035"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AZcgA&#10;AADcAAAADwAAAGRycy9kb3ducmV2LnhtbESPT2vCQBTE74V+h+UVvNWNthaNbqQWK0rpwT8Xb4/s&#10;axLNvg3ZNYn99G5B6HGYmd8ws3lnStFQ7QrLCgb9CARxanXBmYLD/vN5DMJ5ZI2lZVJwJQfz5PFh&#10;hrG2LW+p2flMBAi7GBXk3lexlC7NyaDr24o4eD+2NuiDrDOpa2wD3JRyGEVv0mDBYSHHij5ySs+7&#10;i1HQvK7O36dlub8utuvj6qB/v0abk1K9p+59CsJT5//D9/ZaK3gZTODvTD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wBlyAAAANwAAAAPAAAAAAAAAAAAAAAAAJgCAABk&#10;cnMvZG93bnJldi54bWxQSwUGAAAAAAQABAD1AAAAjQMAAAAA&#10;" adj="269" strokecolor="#06648a [3040]"/>
                    </v:group>
                    <v:shape id="Text Box 320" o:spid="_x0000_s1036"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0230CB" w:rsidRDefault="000230CB" w:rsidP="00A12EBE">
                            <w:pPr>
                              <w:pStyle w:val="AERbodytextnospaceleftalign"/>
                            </w:pPr>
                            <w:r>
                              <w:t>Historically incurred costs:</w:t>
                            </w:r>
                          </w:p>
                          <w:p w:rsidR="000230CB" w:rsidRDefault="000230CB" w:rsidP="00A12EBE">
                            <w:pPr>
                              <w:pStyle w:val="AERbodytextnospaceleftalign"/>
                            </w:pPr>
                            <w:r>
                              <w:t>—incorporating these into the rate of return at date x does not lead to ex-ante efficient compensation for the reset period (x to x+1)</w:t>
                            </w:r>
                          </w:p>
                        </w:txbxContent>
                      </v:textbox>
                    </v:shape>
                    <v:shape id="Text Box 321" o:spid="_x0000_s1037"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0230CB" w:rsidRDefault="000230CB" w:rsidP="00A12EBE">
                            <w:pPr>
                              <w:pStyle w:val="AERbodytextnospaceleftalign"/>
                            </w:pPr>
                            <w:r>
                              <w:t>Ex-post movement in interest rates:</w:t>
                            </w:r>
                          </w:p>
                          <w:p w:rsidR="000230CB" w:rsidRDefault="000230CB" w:rsidP="00A12EBE">
                            <w:pPr>
                              <w:pStyle w:val="AERbodytextnospaceleftalign"/>
                            </w:pPr>
                            <w:r>
                              <w:t>—unknown at date x, but the associated risks are priced into the forward looking rate of return at date x</w:t>
                            </w:r>
                          </w:p>
                          <w:p w:rsidR="000230CB" w:rsidRDefault="000230CB" w:rsidP="00A12EBE">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22" o:spid="_x0000_s1038"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0230CB" w:rsidRDefault="000230CB" w:rsidP="00A12EBE">
                          <w:pPr>
                            <w:pStyle w:val="AERbodytextnospaceleftalign"/>
                          </w:pPr>
                          <w:r>
                            <w:t>reset date x+1</w:t>
                          </w:r>
                        </w:p>
                      </w:txbxContent>
                    </v:textbox>
                  </v:shape>
                </v:group>
                <v:oval id="Oval 323" o:spid="_x0000_s1039"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RsUA&#10;AADcAAAADwAAAGRycy9kb3ducmV2LnhtbESPQWvCQBSE70L/w/IK3symEaqJrqEUClV6MSn0+sy+&#10;Jmmyb0N2q/HfdwuCx2FmvmG2+WR6cabRtZYVPEUxCOLK6pZrBZ/l22INwnlkjb1lUnAlB/nuYbbF&#10;TNsLH+lc+FoECLsMFTTeD5mUrmrIoIvsQBy8bzsa9EGOtdQjXgLc9DKJ42dpsOWw0OBArw1VXfFr&#10;FNTHzh0STKufU7oq9n1bfqRfpVLzx+llA8LT5O/hW/tdK1gm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n9GxQAAANwAAAAPAAAAAAAAAAAAAAAAAJgCAABkcnMv&#10;ZG93bnJldi54bWxQSwUGAAAAAAQABAD1AAAAigMAAAAA&#10;" fillcolor="white [3201]" strokecolor="#076a92 [3200]" strokeweight="2pt"/>
                <w10:anchorlock/>
              </v:group>
            </w:pict>
          </mc:Fallback>
        </mc:AlternateContent>
      </w:r>
    </w:p>
    <w:p w:rsidR="00A12EBE" w:rsidRDefault="00A12EBE" w:rsidP="00A12EBE">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A12EBE" w:rsidRDefault="00A12EBE" w:rsidP="00A12EBE">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A12EBE" w:rsidRDefault="00A12EBE" w:rsidP="00A12EBE">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131"/>
      </w:r>
      <w:r>
        <w:t xml:space="preserve"> </w:t>
      </w:r>
    </w:p>
    <w:p w:rsidR="00A12EBE" w:rsidRDefault="00A12EBE" w:rsidP="00A12EBE">
      <w:pPr>
        <w:pStyle w:val="HeadingBoldItalic"/>
      </w:pPr>
      <w:r>
        <w:t>Desirability of minimising mismatch</w:t>
      </w:r>
    </w:p>
    <w:p w:rsidR="00A12EBE" w:rsidRDefault="00A12EBE" w:rsidP="00A12EBE">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132"/>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A12EBE" w:rsidRDefault="00A12EBE" w:rsidP="00A12EBE">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133"/>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134"/>
      </w:r>
    </w:p>
    <w:p w:rsidR="00A12EBE" w:rsidRPr="00BB7CBA" w:rsidRDefault="00A12EBE" w:rsidP="00A12EBE">
      <w:pPr>
        <w:pStyle w:val="AERbulletlistfirststyle"/>
      </w:pPr>
      <w:r w:rsidRPr="00F21B32">
        <w:t>‘because the cost of capital is, in fact, variable over time’</w:t>
      </w:r>
      <w:r w:rsidRPr="00BB7CBA">
        <w:t xml:space="preserve"> rather than because there is problem with the measurement</w:t>
      </w:r>
    </w:p>
    <w:p w:rsidR="00A12EBE" w:rsidRPr="00BB7CBA" w:rsidRDefault="00A12EBE" w:rsidP="00A12EBE">
      <w:pPr>
        <w:pStyle w:val="AERbulletlistfirststyle"/>
      </w:pPr>
      <w:r>
        <w:t xml:space="preserve">because </w:t>
      </w:r>
      <w:r w:rsidRPr="00BB7CBA">
        <w:t>'there may be a difference between the rate at which the business can borrow and the regulatory benchmark'.</w:t>
      </w:r>
    </w:p>
    <w:p w:rsidR="00A12EBE" w:rsidRDefault="00A12EBE" w:rsidP="00A12EBE">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A12EBE" w:rsidRDefault="00A12EBE" w:rsidP="00A12EBE">
      <w:r>
        <w:t xml:space="preserve">In section </w:t>
      </w:r>
      <w:r>
        <w:fldChar w:fldCharType="begin"/>
      </w:r>
      <w:r>
        <w:instrText xml:space="preserve"> REF _Ref444773920 \r \h </w:instrText>
      </w:r>
      <w:r>
        <w:fldChar w:fldCharType="separate"/>
      </w:r>
      <w:r w:rsidR="000230CB">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A12EBE" w:rsidRDefault="00A12EBE" w:rsidP="00A12EBE">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135"/>
      </w:r>
      <w:r>
        <w:t xml:space="preserve"> on observed data from service providers comparable to a benchmark efficient entity operating under an on-the-day approach (where the risk of mismatch is likely more material).</w:t>
      </w:r>
      <w:r>
        <w:rPr>
          <w:rStyle w:val="FootnoteReference"/>
        </w:rPr>
        <w:footnoteReference w:id="1136"/>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137"/>
      </w:r>
      <w:r>
        <w:t xml:space="preserve"> In particular, our estimate of systematic risk (beta) includes historical data, which will capture the systematic risk that a benchmark efficient entity would have been exposed to under the on-the-day approach.</w:t>
      </w:r>
    </w:p>
    <w:p w:rsidR="00A12EBE" w:rsidRDefault="00A12EBE" w:rsidP="00A12EBE">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138"/>
      </w:r>
      <w:r>
        <w:t xml:space="preserve"> </w:t>
      </w:r>
    </w:p>
    <w:p w:rsidR="00A12EBE" w:rsidRDefault="00A12EBE" w:rsidP="00A12EBE">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139"/>
      </w:r>
      <w:r w:rsidRPr="008C3695">
        <w:t xml:space="preserve"> </w:t>
      </w:r>
      <w:r>
        <w:t xml:space="preserve">To the extent that this type of mismatch results in compensation that is not ex-ante efficient, we consider this would not meet the ARORO. </w:t>
      </w:r>
    </w:p>
    <w:p w:rsidR="00A12EBE" w:rsidRDefault="00A12EBE" w:rsidP="00A12EBE">
      <w:r>
        <w:t xml:space="preserve">While a trailing average approach is expected to reduce the former type of mismatch relative to an on-the-day approach, an on-the-day approach is expected to reduce the latter type of mismatch relative to a trailing average approach. </w:t>
      </w:r>
    </w:p>
    <w:p w:rsidR="00A12EBE" w:rsidRPr="00F21B32" w:rsidRDefault="00A12EBE" w:rsidP="00A12EBE">
      <w:pPr>
        <w:pStyle w:val="Heading9"/>
      </w:pPr>
      <w:bookmarkStart w:id="265" w:name="_Ref447803918"/>
      <w:r>
        <w:t>Consistency with the NEL/NGL</w:t>
      </w:r>
      <w:bookmarkEnd w:id="265"/>
    </w:p>
    <w:p w:rsidR="00A12EBE" w:rsidRPr="00F21B32" w:rsidRDefault="00A12EBE" w:rsidP="00A12EBE">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140"/>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141"/>
      </w:r>
    </w:p>
    <w:p w:rsidR="00A12EBE" w:rsidRPr="00F21B32" w:rsidRDefault="00A12EBE" w:rsidP="00A12EBE">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A12EBE" w:rsidRDefault="00A12EBE" w:rsidP="00A12EBE">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142"/>
      </w:r>
      <w:r>
        <w:t xml:space="preserve"> This is also consistent with advice from the </w:t>
      </w:r>
      <w:r w:rsidRPr="001C4431">
        <w:t>Consumer Challenge Panel Sub Panel 3</w:t>
      </w:r>
      <w:r>
        <w:t xml:space="preserve"> (CCP3) that stated:</w:t>
      </w:r>
      <w:r>
        <w:rPr>
          <w:rStyle w:val="FootnoteReference"/>
        </w:rPr>
        <w:footnoteReference w:id="1143"/>
      </w:r>
    </w:p>
    <w:p w:rsidR="00A12EBE" w:rsidRDefault="00A12EBE" w:rsidP="00A12EBE">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A12EBE" w:rsidRDefault="00A12EBE" w:rsidP="00A12EBE">
      <w:r>
        <w:t>Similarly, Partington and Satchell consider the rule requirements are consistent with the zero NPV investment condition, stating:</w:t>
      </w:r>
      <w:r>
        <w:rPr>
          <w:rStyle w:val="FootnoteReference"/>
        </w:rPr>
        <w:footnoteReference w:id="1144"/>
      </w:r>
    </w:p>
    <w:p w:rsidR="00A12EBE" w:rsidRPr="001A2620" w:rsidRDefault="00A12EBE" w:rsidP="00A12EBE">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A12EBE" w:rsidRDefault="00A12EBE" w:rsidP="00A12EBE">
      <w:pPr>
        <w:pStyle w:val="Heading9"/>
      </w:pPr>
      <w:bookmarkStart w:id="266" w:name="_Ref447803924"/>
      <w:r>
        <w:t>Requirement for a revenue-neutral transition if there is a regime change</w:t>
      </w:r>
      <w:bookmarkEnd w:id="266"/>
    </w:p>
    <w:p w:rsidR="00A12EBE" w:rsidRPr="00F21B32" w:rsidRDefault="00A12EBE" w:rsidP="00A12EBE">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0230CB">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145"/>
      </w:r>
    </w:p>
    <w:p w:rsidR="00A12EBE" w:rsidRPr="00F21B32" w:rsidRDefault="00A12EBE" w:rsidP="00A12EBE">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A12EBE" w:rsidRPr="00F21B32" w:rsidRDefault="00A12EBE" w:rsidP="00A12EBE">
      <w:r w:rsidRPr="00F21B32">
        <w:t>We note that when undertaking the rule change in 2012 the AEMC added in clause 6.5.3(k)(4) that states</w:t>
      </w:r>
      <w:r>
        <w:t xml:space="preserve"> (emphasis added)</w:t>
      </w:r>
      <w:r w:rsidRPr="00F21B32">
        <w:t>:</w:t>
      </w:r>
    </w:p>
    <w:p w:rsidR="00A12EBE" w:rsidRPr="00F21B32" w:rsidRDefault="00A12EBE" w:rsidP="00A12EBE">
      <w:pPr>
        <w:pStyle w:val="AERquote"/>
      </w:pPr>
      <w:r w:rsidRPr="00F21B32">
        <w:t xml:space="preserve">(k) In estimating the return on debt under paragraph (h), regard must </w:t>
      </w:r>
      <w:r>
        <w:t>be had to the following factors…</w:t>
      </w:r>
    </w:p>
    <w:p w:rsidR="00A12EBE" w:rsidRPr="00F21B32" w:rsidRDefault="00A12EBE" w:rsidP="00A12EBE">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A12EBE" w:rsidRPr="00F21B32" w:rsidRDefault="00A12EBE" w:rsidP="00A12EBE">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146"/>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147"/>
      </w:r>
    </w:p>
    <w:p w:rsidR="00A12EBE" w:rsidRPr="00F21B32" w:rsidRDefault="00A12EBE" w:rsidP="00A12EBE">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A12EBE" w:rsidRDefault="00A12EBE" w:rsidP="00A12EBE">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148"/>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149"/>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A12EBE" w:rsidRPr="00F21B32" w:rsidRDefault="00A12EBE" w:rsidP="00A12EBE">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150"/>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151"/>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52"/>
      </w:r>
    </w:p>
    <w:p w:rsidR="00A12EBE" w:rsidRPr="00F21B32" w:rsidRDefault="00A12EBE" w:rsidP="00A12EBE">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A12EBE" w:rsidRPr="00F21B32" w:rsidRDefault="00A12EBE" w:rsidP="00A12EBE">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A12EBE" w:rsidRDefault="00A12EBE" w:rsidP="00A12EBE">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53"/>
      </w:r>
    </w:p>
    <w:p w:rsidR="00A12EBE" w:rsidRPr="00F21B32" w:rsidRDefault="00A12EBE" w:rsidP="00A12EBE">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A12EBE" w:rsidRPr="00F21B32" w:rsidRDefault="00A12EBE" w:rsidP="00A12EBE">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54"/>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55"/>
      </w:r>
    </w:p>
    <w:p w:rsidR="00A12EBE" w:rsidRDefault="00A12EBE" w:rsidP="00A12EBE">
      <w:pPr>
        <w:pStyle w:val="Heading8"/>
      </w:pPr>
      <w:bookmarkStart w:id="267" w:name="_Ref444767739"/>
      <w:bookmarkStart w:id="268" w:name="_Toc451943819"/>
      <w:r>
        <w:t>On-the-day and trailing average approaches</w:t>
      </w:r>
      <w:bookmarkEnd w:id="267"/>
      <w:bookmarkEnd w:id="268"/>
    </w:p>
    <w:p w:rsidR="00A12EBE" w:rsidRPr="00BB7CBA" w:rsidRDefault="00A12EBE" w:rsidP="00BC70E6">
      <w:r>
        <w:t xml:space="preserve">In this section, we analyse the on-the-day and trailing average approaches to establish </w:t>
      </w:r>
      <w:r w:rsidRPr="00BB7CBA">
        <w:t>whether these approaches can contribute to the achievement of the ARORO. We also explain that, while we consider both approaches would be open to us; we would expect either approach to produce different estimates at given points in time.</w:t>
      </w:r>
    </w:p>
    <w:p w:rsidR="00A12EBE" w:rsidRPr="00BB7CBA" w:rsidRDefault="00A12EBE" w:rsidP="00BC70E6">
      <w:r>
        <w:t xml:space="preserve">From establishing this, we </w:t>
      </w:r>
      <w:r w:rsidRPr="00BB7CBA">
        <w:t>can demonstrate that in changing approaches from the on-the-day to the trailing average approach (or vice versa); a revenue neutral transition (in present value terms) is required to contribute to the achievement of the ARORO.</w:t>
      </w:r>
    </w:p>
    <w:p w:rsidR="00A12EBE" w:rsidRPr="00501A2B" w:rsidRDefault="00A12EBE" w:rsidP="00A12EBE">
      <w:pPr>
        <w:pStyle w:val="Heading9"/>
      </w:pPr>
      <w:bookmarkStart w:id="269" w:name="_Ref445131744"/>
      <w:r>
        <w:t>On-the-day approach</w:t>
      </w:r>
      <w:bookmarkEnd w:id="269"/>
    </w:p>
    <w:p w:rsidR="00A12EBE" w:rsidRDefault="00A12EBE" w:rsidP="00A12EBE">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56"/>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57"/>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58"/>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59"/>
      </w:r>
    </w:p>
    <w:p w:rsidR="00A12EBE" w:rsidRPr="00BB7CBA" w:rsidRDefault="00A12EBE" w:rsidP="00BC70E6">
      <w:r>
        <w:t xml:space="preserve">We consider </w:t>
      </w:r>
      <w:r w:rsidRPr="00BB7CBA">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BB7CBA">
        <w:rPr>
          <w:rStyle w:val="AERtextunderline"/>
        </w:rPr>
        <w:t>and</w:t>
      </w:r>
      <w:r w:rsidRPr="00BB7CBA">
        <w:t xml:space="preserve"> over each regulatory period (see section </w:t>
      </w:r>
      <w:r w:rsidRPr="00BB7CBA">
        <w:fldChar w:fldCharType="begin"/>
      </w:r>
      <w:r w:rsidRPr="00BB7CBA">
        <w:instrText xml:space="preserve"> REF _Ref444773920 \r \h </w:instrText>
      </w:r>
      <w:r w:rsidRPr="00BB7CBA">
        <w:fldChar w:fldCharType="separate"/>
      </w:r>
      <w:r w:rsidR="000230CB">
        <w:t>H.3.3</w:t>
      </w:r>
      <w:r w:rsidRPr="00BB7CBA">
        <w:fldChar w:fldCharType="end"/>
      </w:r>
      <w:r w:rsidRPr="00BB7CBA">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BB7CBA">
        <w:rPr>
          <w:rStyle w:val="FootnoteReference"/>
        </w:rPr>
        <w:footnoteReference w:id="1160"/>
      </w:r>
    </w:p>
    <w:p w:rsidR="00A12EBE" w:rsidRDefault="00A12EBE" w:rsidP="00A12EBE">
      <w:r>
        <w:t xml:space="preserve">While we have chosen to move towards a trailing average approach (section </w:t>
      </w:r>
      <w:r>
        <w:fldChar w:fldCharType="begin"/>
      </w:r>
      <w:r>
        <w:instrText xml:space="preserve"> REF _Ref444774464 \r \h </w:instrText>
      </w:r>
      <w:r>
        <w:fldChar w:fldCharType="separate"/>
      </w:r>
      <w:r w:rsidR="000230CB">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A12EBE" w:rsidRPr="00BB7CBA" w:rsidRDefault="00A12EBE" w:rsidP="00A12EBE">
      <w:pPr>
        <w:pStyle w:val="AERbulletlistfirststyle"/>
      </w:pPr>
      <w:r>
        <w:t>It is consistent with the prevailing</w:t>
      </w:r>
      <w:r w:rsidRPr="00BB7CBA">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A12EBE" w:rsidRPr="00BB7CBA" w:rsidRDefault="00A12EBE" w:rsidP="00A12EBE">
      <w:pPr>
        <w:pStyle w:val="AERbulletlistfirststyle"/>
      </w:pPr>
      <w:r>
        <w:t xml:space="preserve">It leads to an estimate that </w:t>
      </w:r>
      <w:r w:rsidRPr="00BB7CBA">
        <w:t>is likely to more closely imitate the outcomes of a competitive market near the start of the regulatory period than a trailing average approach.</w:t>
      </w:r>
    </w:p>
    <w:p w:rsidR="00A12EBE" w:rsidRPr="002527B0" w:rsidRDefault="00A12EBE" w:rsidP="00A12EBE">
      <w:pPr>
        <w:pStyle w:val="HeadingBoldBlue"/>
      </w:pPr>
      <w:bookmarkStart w:id="270" w:name="_Ref445121562"/>
      <w:r>
        <w:t>C</w:t>
      </w:r>
      <w:r w:rsidRPr="002527B0">
        <w:t xml:space="preserve">onsistent with prevailing </w:t>
      </w:r>
      <w:r>
        <w:t xml:space="preserve">market </w:t>
      </w:r>
      <w:r w:rsidRPr="002527B0">
        <w:t>cost of debt</w:t>
      </w:r>
      <w:bookmarkEnd w:id="270"/>
    </w:p>
    <w:p w:rsidR="00A12EBE" w:rsidRDefault="00A12EBE" w:rsidP="00A12EBE">
      <w:r>
        <w:t xml:space="preserve">As discussed in section </w:t>
      </w:r>
      <w:r>
        <w:fldChar w:fldCharType="begin"/>
      </w:r>
      <w:r>
        <w:instrText xml:space="preserve"> REF _Ref446405872 \r \h </w:instrText>
      </w:r>
      <w:r>
        <w:fldChar w:fldCharType="separate"/>
      </w:r>
      <w:r w:rsidR="000230CB">
        <w:t>H.1.1</w:t>
      </w:r>
      <w:r>
        <w:fldChar w:fldCharType="end"/>
      </w:r>
      <w:r>
        <w:t xml:space="preserve"> and </w:t>
      </w:r>
      <w:r>
        <w:fldChar w:fldCharType="begin"/>
      </w:r>
      <w:r>
        <w:instrText xml:space="preserve"> REF _Ref446603900 \r \h </w:instrText>
      </w:r>
      <w:r>
        <w:fldChar w:fldCharType="separate"/>
      </w:r>
      <w:r w:rsidR="000230CB">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0230CB">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A12EBE" w:rsidRDefault="00A12EBE" w:rsidP="00A12EBE">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61"/>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A12EBE" w:rsidRDefault="00A12EBE" w:rsidP="00A12EBE">
      <w:r>
        <w:t xml:space="preserve">As discussed in section </w:t>
      </w:r>
      <w:r>
        <w:fldChar w:fldCharType="begin"/>
      </w:r>
      <w:r>
        <w:instrText xml:space="preserve"> REF _Ref446603900 \r \h </w:instrText>
      </w:r>
      <w:r>
        <w:fldChar w:fldCharType="separate"/>
      </w:r>
      <w:r w:rsidR="000230CB">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62"/>
      </w:r>
    </w:p>
    <w:p w:rsidR="00A12EBE" w:rsidRDefault="00A12EBE" w:rsidP="00A12EBE">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A12EBE" w:rsidRDefault="00A12EBE" w:rsidP="00A12EBE">
      <w:pPr>
        <w:numPr>
          <w:ilvl w:val="0"/>
          <w:numId w:val="24"/>
        </w:numPr>
      </w:pPr>
      <w:r>
        <w:t>Similarly, Partington and Satchell (who recommend the on-the-day approach) stated:</w:t>
      </w:r>
      <w:r>
        <w:rPr>
          <w:rStyle w:val="FootnoteReference"/>
        </w:rPr>
        <w:footnoteReference w:id="1163"/>
      </w:r>
    </w:p>
    <w:p w:rsidR="00A12EBE" w:rsidRDefault="00A12EBE" w:rsidP="00A12EBE">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A12EBE" w:rsidRDefault="00A12EBE" w:rsidP="00A12EBE">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64"/>
      </w:r>
    </w:p>
    <w:p w:rsidR="00A12EBE" w:rsidRDefault="00A12EBE" w:rsidP="00A12EBE">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A12EBE" w:rsidRDefault="00A12EBE" w:rsidP="00A12EBE">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65"/>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0230CB">
        <w:t>H.2.1</w:t>
      </w:r>
      <w:r>
        <w:fldChar w:fldCharType="end"/>
      </w:r>
      <w:r>
        <w:t>, this results in a mismatch between the allowed return on debt and the prevailing cost of debt for a benchmark efficient entity at the time of the determination or access arrangement.</w:t>
      </w:r>
    </w:p>
    <w:p w:rsidR="00A12EBE" w:rsidRDefault="00A12EBE" w:rsidP="00A12EBE">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66"/>
      </w:r>
      <w:r>
        <w:t xml:space="preserve"> </w:t>
      </w:r>
    </w:p>
    <w:p w:rsidR="00A12EBE" w:rsidRPr="002527B0" w:rsidRDefault="00A12EBE" w:rsidP="00A12EBE">
      <w:pPr>
        <w:pStyle w:val="HeadingBoldBlue"/>
      </w:pPr>
      <w:r>
        <w:t>Imitates the outcomes of a competitive market</w:t>
      </w:r>
    </w:p>
    <w:p w:rsidR="00A12EBE" w:rsidRPr="004F070F" w:rsidRDefault="00A12EBE" w:rsidP="00A12EBE">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A12EBE" w:rsidRPr="004F070F" w:rsidRDefault="00A12EBE" w:rsidP="00A12EBE">
      <w:pPr>
        <w:pStyle w:val="AERbulletlistfirststyle"/>
      </w:pPr>
      <w:r w:rsidRPr="004F070F">
        <w:t xml:space="preserve">Productive efficiency refers to least cost financing (that is, the lowest required return on debt). An allowed return on debt that reflects the </w:t>
      </w:r>
      <w:r>
        <w:t>(appropriately benchmarked) prevailing market cost of debt</w:t>
      </w:r>
      <w:r w:rsidRPr="004F070F">
        <w:t xml:space="preserve"> will likely promote productive efficiency. This is because a benchmark efficient entity faces competitive prices in the market for funds.</w:t>
      </w:r>
    </w:p>
    <w:p w:rsidR="00A12EBE" w:rsidRPr="004F070F" w:rsidRDefault="00A12EBE" w:rsidP="00A12EBE">
      <w:pPr>
        <w:pStyle w:val="AERbulletlistfirststyle"/>
      </w:pPr>
      <w:r w:rsidRPr="004F070F">
        <w:t xml:space="preserve">Allocative efficiency refers to the allowed return on debt reflecting investors' opportunity cost of debt for investments of similar risk. </w:t>
      </w:r>
      <w:r>
        <w:t>The prevailing market cost of debt</w:t>
      </w:r>
      <w:r w:rsidRPr="004F070F">
        <w:t xml:space="preserve"> at any given time </w:t>
      </w:r>
      <w:r>
        <w:t>is</w:t>
      </w:r>
      <w:r w:rsidRPr="004F070F">
        <w:t xml:space="preserve"> likely to reflect investors' opportunity cost. This is because the market for capital finance is competitive with many buyers and sellers.</w:t>
      </w:r>
    </w:p>
    <w:p w:rsidR="00A12EBE" w:rsidRPr="004F070F" w:rsidRDefault="00A12EBE" w:rsidP="00A12EBE">
      <w:pPr>
        <w:pStyle w:val="AERbulletlistfirststyle"/>
      </w:pPr>
      <w:r w:rsidRPr="004F070F">
        <w:t xml:space="preserve">Dynamic efficiency refers to the existence of appropriate investment incentives. As discussed above, a return on debt that reflects </w:t>
      </w:r>
      <w:r>
        <w:t>the prevailing market cost of debt</w:t>
      </w:r>
      <w:r w:rsidRPr="004F070F">
        <w:t xml:space="preserve"> provides an appropriate signal for new investment and promotes efficient investment decisions. </w:t>
      </w:r>
    </w:p>
    <w:p w:rsidR="00A12EBE" w:rsidRDefault="00A12EBE" w:rsidP="00A12EBE">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A12EBE" w:rsidRPr="00E64F99" w:rsidRDefault="00A12EBE" w:rsidP="00A12EBE">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67"/>
      </w:r>
      <w:r w:rsidRPr="00E64F99">
        <w:t xml:space="preserve"> As observed by HoustonKemp:</w:t>
      </w:r>
      <w:r w:rsidRPr="00E64F99">
        <w:rPr>
          <w:rStyle w:val="FootnoteReference"/>
        </w:rPr>
        <w:footnoteReference w:id="1168"/>
      </w:r>
    </w:p>
    <w:p w:rsidR="00A12EBE" w:rsidRPr="00656C8A" w:rsidRDefault="00A12EBE" w:rsidP="00A12EBE">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A12EBE" w:rsidRDefault="00A12EBE" w:rsidP="00A12EBE">
      <w:r>
        <w:t xml:space="preserve">Similarly, </w:t>
      </w:r>
      <w:r w:rsidRPr="009E7AA9">
        <w:t xml:space="preserve">Chairmont </w:t>
      </w:r>
      <w:r>
        <w:t>captured this concept when it advised:</w:t>
      </w:r>
      <w:r>
        <w:rPr>
          <w:rStyle w:val="FootnoteReference"/>
        </w:rPr>
        <w:footnoteReference w:id="1169"/>
      </w:r>
    </w:p>
    <w:p w:rsidR="00A12EBE" w:rsidRDefault="00A12EBE" w:rsidP="00A12EBE">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A12EBE" w:rsidRDefault="00A12EBE" w:rsidP="00A12EBE">
      <w:r>
        <w:t>We also note that Partington and Satchell considered the on-the-day approach is consistent with competitive market outcomes, stating:</w:t>
      </w:r>
      <w:r>
        <w:rPr>
          <w:rStyle w:val="FootnoteReference"/>
        </w:rPr>
        <w:footnoteReference w:id="1170"/>
      </w:r>
    </w:p>
    <w:p w:rsidR="00A12EBE" w:rsidRPr="009A713A" w:rsidRDefault="00A12EBE" w:rsidP="00A12EBE">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A12EBE" w:rsidRDefault="00A12EBE" w:rsidP="00A12EBE">
      <w:pPr>
        <w:pStyle w:val="Heading9"/>
      </w:pPr>
      <w:bookmarkStart w:id="271" w:name="_Ref444774464"/>
      <w:r>
        <w:t>Trailing average approach</w:t>
      </w:r>
      <w:bookmarkEnd w:id="271"/>
    </w:p>
    <w:p w:rsidR="00A12EBE" w:rsidRDefault="00A12EBE" w:rsidP="00A12EBE">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71"/>
      </w:r>
    </w:p>
    <w:p w:rsidR="00A12EBE" w:rsidRDefault="00A12EBE" w:rsidP="00A12EBE">
      <w:pPr>
        <w:numPr>
          <w:ilvl w:val="0"/>
          <w:numId w:val="24"/>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0230CB">
        <w:t>H.3.3</w:t>
      </w:r>
      <w:r>
        <w:fldChar w:fldCharType="end"/>
      </w:r>
      <w:r>
        <w:t>.</w:t>
      </w:r>
    </w:p>
    <w:p w:rsidR="00A12EBE" w:rsidRDefault="00A12EBE" w:rsidP="00A12EBE">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72"/>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0230CB">
        <w:t>H.2.1</w:t>
      </w:r>
      <w:r>
        <w:fldChar w:fldCharType="end"/>
      </w:r>
      <w:r>
        <w:t>), which we discuss further below.</w:t>
      </w:r>
    </w:p>
    <w:p w:rsidR="00A12EBE" w:rsidRDefault="00A12EBE" w:rsidP="00A12EBE">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A12EBE" w:rsidRDefault="00A12EBE" w:rsidP="00A12EBE">
      <w:pPr>
        <w:pStyle w:val="HeadingBoldBlue"/>
      </w:pPr>
      <w:r>
        <w:t>Reduced mismatch</w:t>
      </w:r>
    </w:p>
    <w:p w:rsidR="00A12EBE" w:rsidRDefault="00A12EBE" w:rsidP="00A12EBE">
      <w:r>
        <w:t xml:space="preserve">In section </w:t>
      </w:r>
      <w:r>
        <w:fldChar w:fldCharType="begin"/>
      </w:r>
      <w:r>
        <w:instrText xml:space="preserve"> REF _Ref446603900 \r \h </w:instrText>
      </w:r>
      <w:r>
        <w:fldChar w:fldCharType="separate"/>
      </w:r>
      <w:r w:rsidR="000230CB">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A12EBE" w:rsidRPr="002527B0" w:rsidRDefault="00A12EBE" w:rsidP="00A12EBE">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73"/>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A12EBE" w:rsidRDefault="00A12EBE" w:rsidP="00A12EBE">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74"/>
      </w:r>
      <w:r>
        <w:t xml:space="preserve"> As such, this will likely reduce the mismatch between actual debt interest costs of regulated firms and the regulated return on debt allowance.</w:t>
      </w:r>
      <w:r w:rsidRPr="00E64F99">
        <w:rPr>
          <w:rStyle w:val="FootnoteReference"/>
        </w:rPr>
        <w:footnoteReference w:id="1175"/>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76"/>
      </w:r>
      <w:r>
        <w:t xml:space="preserve"> </w:t>
      </w:r>
    </w:p>
    <w:p w:rsidR="00A12EBE" w:rsidRDefault="00A12EBE" w:rsidP="00A12EBE">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0230CB">
        <w:t>H.2.1</w:t>
      </w:r>
      <w:r>
        <w:fldChar w:fldCharType="end"/>
      </w:r>
      <w:r>
        <w:t xml:space="preserve"> and </w:t>
      </w:r>
      <w:r>
        <w:fldChar w:fldCharType="begin"/>
      </w:r>
      <w:r>
        <w:instrText xml:space="preserve"> REF _Ref444773920 \r \h </w:instrText>
      </w:r>
      <w:r>
        <w:fldChar w:fldCharType="separate"/>
      </w:r>
      <w:r w:rsidR="000230CB">
        <w:t>H.3.3</w:t>
      </w:r>
      <w:r>
        <w:fldChar w:fldCharType="end"/>
      </w:r>
      <w:r>
        <w:t xml:space="preserve">). </w:t>
      </w:r>
    </w:p>
    <w:p w:rsidR="00A12EBE" w:rsidRPr="00054482" w:rsidRDefault="00A12EBE" w:rsidP="00A12EBE">
      <w:pPr>
        <w:pStyle w:val="Heading9"/>
      </w:pPr>
      <w:bookmarkStart w:id="272" w:name="_Ref444773920"/>
      <w:bookmarkStart w:id="273" w:name="_Ref448326736"/>
      <w:r>
        <w:t>Mathematical explanation</w:t>
      </w:r>
      <w:bookmarkEnd w:id="272"/>
      <w:bookmarkEnd w:id="273"/>
    </w:p>
    <w:p w:rsidR="00A12EBE" w:rsidRDefault="00A12EBE" w:rsidP="00A12EBE">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A12EBE" w:rsidRPr="00BB7CBA" w:rsidRDefault="00A12EBE" w:rsidP="00A12EBE">
      <w:pPr>
        <w:pStyle w:val="AERbulletlistfirststyle"/>
      </w:pPr>
      <w:r>
        <w:t xml:space="preserve">The on-the-day approach provides service providers with the reasonable opportunity to recover at least efficient costs over </w:t>
      </w:r>
      <w:r w:rsidRPr="00BB7CBA">
        <w:t>each regulatory period and over the term of the RAB.</w:t>
      </w:r>
      <w:r w:rsidRPr="00BB7CBA">
        <w:rPr>
          <w:rStyle w:val="FootnoteReference"/>
        </w:rPr>
        <w:footnoteReference w:id="1177"/>
      </w:r>
    </w:p>
    <w:p w:rsidR="00A12EBE" w:rsidRPr="00BB7CBA" w:rsidRDefault="00A12EBE" w:rsidP="00A12EBE">
      <w:pPr>
        <w:pStyle w:val="AERbulletlistfirststyle"/>
      </w:pPr>
      <w:r>
        <w:t xml:space="preserve">The trailing average approach provides service providers with the reasonable opportunity to recover at least efficient costs over the </w:t>
      </w:r>
      <w:r w:rsidRPr="00BB7CBA">
        <w:t>term of the RAB.</w:t>
      </w:r>
    </w:p>
    <w:p w:rsidR="00A12EBE" w:rsidRDefault="00A12EBE" w:rsidP="00A12EBE">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A12EBE" w:rsidRPr="006C533F" w:rsidRDefault="00A12EBE" w:rsidP="00A12EBE">
      <w:r>
        <w:t>We use the following notation:</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A12EBE" w:rsidRPr="00BB7CBA">
        <w:t xml:space="preserve"> denotes net operating cash flows for year </w:t>
      </w:r>
      <m:oMath>
        <m:r>
          <w:rPr>
            <w:rFonts w:ascii="Cambria Math" w:hAnsi="Cambria Math"/>
          </w:rPr>
          <m:t>t</m:t>
        </m:r>
        <m:r>
          <w:rPr>
            <w:rStyle w:val="FootnoteReference"/>
            <w:rFonts w:ascii="Cambria Math" w:hAnsi="Cambria Math"/>
            <w:i/>
          </w:rPr>
          <w:footnoteReference w:id="1178"/>
        </m:r>
      </m:oMath>
      <w:r w:rsidR="00A12EBE" w:rsidRPr="00BB7CBA">
        <w:t>―that is, revenue less operating  expenditure (opex).</w:t>
      </w:r>
      <w:r w:rsidR="00A12EBE" w:rsidRPr="00BB7CBA">
        <w:rPr>
          <w:rStyle w:val="FootnoteReference"/>
        </w:rPr>
        <w:footnoteReference w:id="1179"/>
      </w:r>
      <w:r w:rsidR="00A12EBE" w:rsidRPr="00BB7CBA">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A12EBE" w:rsidRPr="00BB7CBA">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A12EBE" w:rsidRPr="00BB7CBA">
        <w:t xml:space="preserve">is the return on capital cash flow. </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12EBE" w:rsidRPr="00BB7CBA">
        <w:t xml:space="preserve"> is the allowed rate of return (which is reset periodically).</w:t>
      </w:r>
      <w:r w:rsidR="00A12EBE" w:rsidRPr="00BB7CBA">
        <w:rPr>
          <w:rStyle w:val="FootnoteReference"/>
        </w:rPr>
        <w:footnoteReference w:id="1180"/>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A12EBE" w:rsidRPr="00BB7CBA">
        <w:t xml:space="preserve"> is the closing RAB at the end of year </w:t>
      </w:r>
      <m:oMath>
        <m:r>
          <w:rPr>
            <w:rFonts w:ascii="Cambria Math" w:hAnsi="Cambria Math"/>
          </w:rPr>
          <m:t>t</m:t>
        </m:r>
      </m:oMath>
      <w:r w:rsidR="00A12EBE" w:rsidRPr="00BB7CBA">
        <w:t xml:space="preserve"> (which equals the opening RAB at the beginning of year </w:t>
      </w:r>
      <m:oMath>
        <m:r>
          <w:rPr>
            <w:rFonts w:ascii="Cambria Math" w:hAnsi="Cambria Math"/>
          </w:rPr>
          <m:t>t+1</m:t>
        </m:r>
      </m:oMath>
      <w:r w:rsidR="00A12EBE" w:rsidRPr="00BB7CBA">
        <w:t>).</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A12EBE" w:rsidRPr="00BB7CBA">
        <w:t xml:space="preserve">is the ex-ante cost of capital prevailing in the market for the investment at time </w:t>
      </w:r>
      <m:oMath>
        <m:r>
          <w:rPr>
            <w:rFonts w:ascii="Cambria Math" w:hAnsi="Cambria Math"/>
          </w:rPr>
          <m:t>i</m:t>
        </m:r>
      </m:oMath>
      <w:r w:rsidR="00A12EBE" w:rsidRPr="00BB7CBA">
        <w:t>,</w:t>
      </w:r>
      <w:r w:rsidR="00A12EBE" w:rsidRPr="00BB7CBA">
        <w:rPr>
          <w:rStyle w:val="FootnoteReference"/>
        </w:rPr>
        <w:footnoteReference w:id="1181"/>
      </w:r>
      <w:r w:rsidR="00A12EBE" w:rsidRPr="00BB7CBA">
        <w:t xml:space="preserve"> with a term of </w:t>
      </w:r>
      <m:oMath>
        <m:r>
          <w:rPr>
            <w:rFonts w:ascii="Cambria Math" w:hAnsi="Cambria Math"/>
          </w:rPr>
          <m:t>j</m:t>
        </m:r>
      </m:oMath>
      <w:r w:rsidR="00A12EBE" w:rsidRPr="00BB7CBA">
        <w:t xml:space="preserve"> years—used to discount the expected cash flows.</w:t>
      </w:r>
    </w:p>
    <w:p w:rsidR="00A12EBE" w:rsidRPr="00BB7CBA" w:rsidRDefault="00A12EBE" w:rsidP="00A12EBE">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A12EBE" w:rsidRPr="00BB7CBA" w:rsidRDefault="007F1E09" w:rsidP="00A12EBE">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A12EBE" w:rsidRPr="00BB7CBA">
        <w:t xml:space="preserve"> denotes present value, at year t (can also be referred to as market value). </w:t>
      </w:r>
    </w:p>
    <w:p w:rsidR="00A12EBE" w:rsidRDefault="00A12EBE" w:rsidP="00A12EBE">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82"/>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83"/>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A12EBE" w:rsidRPr="001C5C3A" w:rsidRDefault="00A12EBE" w:rsidP="00A12EBE">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84"/>
      </w:r>
    </w:p>
    <w:p w:rsidR="00A12EBE" w:rsidRDefault="00A12EBE" w:rsidP="00A12EBE">
      <w:pPr>
        <w:pStyle w:val="AERquote"/>
      </w:pPr>
      <w:r w:rsidRPr="00B72C08">
        <w:t>With regard to investor compensation, the basic goal of regulation is to give investors an income stream just sufficient to cover the costs of their assets, and no more</w:t>
      </w:r>
    </w:p>
    <w:p w:rsidR="00A12EBE" w:rsidRDefault="00A12EBE" w:rsidP="00A12EBE">
      <w:pPr>
        <w:pStyle w:val="HeadingBoldBlue"/>
      </w:pPr>
      <w:r>
        <w:t>On-the-day approach</w:t>
      </w:r>
    </w:p>
    <w:p w:rsidR="00A12EBE" w:rsidRDefault="00A12EBE" w:rsidP="00A12EBE">
      <w:r>
        <w:t>For simplicity, assume the term of the risk free rate matches the regulatory period (five years) under the on-the-day approach.</w:t>
      </w:r>
      <w:r>
        <w:rPr>
          <w:rStyle w:val="FootnoteReference"/>
        </w:rPr>
        <w:footnoteReference w:id="1185"/>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A12EBE" w:rsidRDefault="00A12EBE" w:rsidP="00A12EBE">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86"/>
      </w:r>
      <w:r>
        <w:t xml:space="preserve"> at the commencement of each regulatory period. We show this below: </w:t>
      </w:r>
    </w:p>
    <w:p w:rsidR="00A12EBE" w:rsidRDefault="007F1E09" w:rsidP="00A12EBE">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A12EBE" w:rsidRDefault="00A12EBE" w:rsidP="00A12EBE">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87"/>
          </m:r>
        </m:oMath>
      </m:oMathPara>
    </w:p>
    <w:p w:rsidR="00A12EBE" w:rsidRDefault="00A12EBE" w:rsidP="00A12EBE">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88"/>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A12EBE" w:rsidRDefault="00A12EBE" w:rsidP="00A12EBE">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115BE8">
        <w:t>,</w:t>
      </w:r>
      <w:r>
        <w:t xml:space="preserve"> </w:t>
      </w:r>
      <w:r w:rsidR="00115BE8">
        <w:t>and</w:t>
      </w:r>
      <w:r>
        <w:t>:</w:t>
      </w:r>
      <w:r>
        <w:rPr>
          <w:rStyle w:val="FootnoteReference"/>
        </w:rPr>
        <w:footnoteReference w:id="1189"/>
      </w:r>
    </w:p>
    <w:p w:rsidR="00A12EBE" w:rsidRPr="00A12EBE" w:rsidRDefault="007F1E09" w:rsidP="00A12EBE">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A12EBE" w:rsidRDefault="00A12EBE" w:rsidP="00A12EBE">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A12EBE" w:rsidRPr="00A12EBE" w:rsidRDefault="007F1E09" w:rsidP="00A12EBE">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A12EBE" w:rsidRDefault="00A12EBE" w:rsidP="00A12EBE">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90"/>
      </w:r>
    </w:p>
    <w:p w:rsidR="00A12EBE" w:rsidRDefault="007F1E09" w:rsidP="00A12EBE">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A12EBE" w:rsidRDefault="007F1E09" w:rsidP="00A12EBE">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A12EBE" w:rsidRDefault="00A12EBE" w:rsidP="00A12EBE">
      <m:oMathPara>
        <m:oMath>
          <m:r>
            <w:rPr>
              <w:rFonts w:ascii="Cambria Math" w:hAnsi="Cambria Math"/>
            </w:rPr>
            <m:t>…</m:t>
          </m:r>
        </m:oMath>
      </m:oMathPara>
    </w:p>
    <w:p w:rsidR="00A12EBE" w:rsidRPr="008948E5" w:rsidRDefault="007F1E09" w:rsidP="00A12EBE">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A12EBE" w:rsidRDefault="00A12EBE" w:rsidP="00A12EBE">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191"/>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192"/>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193"/>
      </w:r>
    </w:p>
    <w:p w:rsidR="00A12EBE" w:rsidRDefault="00A12EBE" w:rsidP="00A12EBE">
      <w:r>
        <w:t xml:space="preserve">We consider this section shows the </w:t>
      </w:r>
      <w:r w:rsidRPr="008948E5">
        <w:t>on-the-day approach provides service providers with a reasonable opportunity to recover at least efficient costs.</w:t>
      </w:r>
      <w:r>
        <w:rPr>
          <w:rStyle w:val="FootnoteReference"/>
        </w:rPr>
        <w:footnoteReference w:id="1194"/>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A12EBE" w:rsidRDefault="00A12EBE" w:rsidP="00A12EBE">
      <w:pPr>
        <w:pStyle w:val="HeadingBoldBlue"/>
      </w:pPr>
      <w:r>
        <w:t>Trailing average approach</w:t>
      </w:r>
    </w:p>
    <w:p w:rsidR="00A12EBE" w:rsidRDefault="00A12EBE" w:rsidP="00A12EBE">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A12EBE" w:rsidRPr="00A156E7" w:rsidRDefault="00A12EBE" w:rsidP="00A12EBE">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A12EBE" w:rsidRDefault="007F1E09" w:rsidP="00A12EBE">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A12EBE" w:rsidRDefault="00A12EBE" w:rsidP="00A12EBE">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A12EBE" w:rsidRDefault="00A12EBE" w:rsidP="00A12EBE">
      <w:r>
        <w:t>where, under an immediate trailing average approach (under our assumptions):</w:t>
      </w:r>
      <w:r>
        <w:rPr>
          <w:rStyle w:val="FootnoteReference"/>
        </w:rPr>
        <w:footnoteReference w:id="1195"/>
      </w:r>
    </w:p>
    <w:p w:rsidR="00A12EBE" w:rsidRPr="00A12EBE" w:rsidRDefault="007F1E09" w:rsidP="00A12EBE">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A12EBE" w:rsidRPr="005C23EC" w:rsidRDefault="00A12EBE" w:rsidP="00A12EBE">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A12EBE" w:rsidRDefault="00A12EBE" w:rsidP="00A12EBE">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96"/>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A12EBE" w:rsidRDefault="00A12EBE" w:rsidP="00A12EBE">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A12EBE" w:rsidRDefault="00A12EBE" w:rsidP="00A12EBE">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A12EBE" w:rsidRDefault="00A12EBE" w:rsidP="00A12EBE">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197"/>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A12EBE" w:rsidRDefault="00A12EBE" w:rsidP="00A12EBE">
      <w:pPr>
        <w:pStyle w:val="HeadingBoldItalic"/>
      </w:pPr>
      <w:r>
        <w:t>Transition into the staggered portfolio</w:t>
      </w:r>
    </w:p>
    <w:p w:rsidR="00A12EBE" w:rsidRDefault="00A12EBE" w:rsidP="00A12EBE">
      <w:pPr>
        <w:rPr>
          <w:rStyle w:val="AERbody"/>
        </w:rPr>
      </w:pPr>
      <w:r>
        <w:rPr>
          <w:rStyle w:val="AERbody"/>
        </w:rPr>
        <w:t>On the first year of a trailing average, a business would either:</w:t>
      </w:r>
    </w:p>
    <w:p w:rsidR="00A12EBE" w:rsidRDefault="00A12EBE" w:rsidP="00A12EBE">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A12EBE" w:rsidRDefault="00A12EBE" w:rsidP="00A12EBE">
      <w:pPr>
        <w:pStyle w:val="AERbulletlistfirststyle"/>
        <w:rPr>
          <w:rStyle w:val="AERbody"/>
        </w:rPr>
      </w:pPr>
      <w:r>
        <w:rPr>
          <w:rStyle w:val="AERbody"/>
        </w:rPr>
        <w:t>Raise 10 year debt. Each year it would refinance 10 per cent of this and replace this with more 10 year debt.</w:t>
      </w:r>
    </w:p>
    <w:p w:rsidR="00A12EBE" w:rsidRPr="006C533F" w:rsidRDefault="00A12EBE" w:rsidP="00A12EBE">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A12EBE" w:rsidRPr="006C533F" w:rsidRDefault="00A12EBE" w:rsidP="00A12EBE">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198"/>
      </w:r>
    </w:p>
    <w:p w:rsidR="00A12EBE" w:rsidRDefault="007F1E09" w:rsidP="00A12EBE">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199"/>
        </m:r>
      </m:oMath>
      <w:r w:rsidR="00A12EBE">
        <w:t xml:space="preserve"> </w:t>
      </w:r>
    </w:p>
    <w:p w:rsidR="00A12EBE" w:rsidRDefault="00A12EBE" w:rsidP="00A12EBE">
      <w:r>
        <w:t>where, under our assumptions:</w:t>
      </w:r>
      <w:r>
        <w:rPr>
          <w:rStyle w:val="FootnoteReference"/>
        </w:rPr>
        <w:footnoteReference w:id="1200"/>
      </w:r>
    </w:p>
    <w:p w:rsidR="00A12EBE" w:rsidRPr="00A12EBE" w:rsidRDefault="007F1E09" w:rsidP="00A12EBE">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A12EBE" w:rsidRDefault="00A12EBE" w:rsidP="00A12EBE">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A12EBE" w:rsidRPr="00166E6F" w:rsidRDefault="00A12EBE" w:rsidP="00A12EBE">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A12EBE" w:rsidRDefault="00A12EBE" w:rsidP="00A12EBE">
      <w:r>
        <w:t>As demonstrated under 'On-the-day approach', this equality holds because, for each one-tenth portion of the RAB:</w:t>
      </w:r>
    </w:p>
    <w:p w:rsidR="00A12EBE" w:rsidRPr="00BB7CBA" w:rsidRDefault="00A12EBE" w:rsidP="00A12EBE">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t=0</m:t>
        </m:r>
      </m:oMath>
      <w:r w:rsidRPr="00BB7CBA">
        <w:t>, with the expectation that the allowed rate of return will be periodically reset to prevailing market rates</w:t>
      </w:r>
    </w:p>
    <w:p w:rsidR="00A12EBE" w:rsidRPr="00BB7CBA" w:rsidRDefault="00A12EBE" w:rsidP="00A12EBE">
      <w:pPr>
        <w:pStyle w:val="AERbulletlistfirststyle"/>
      </w:pPr>
      <w:r>
        <w:t>the present</w:t>
      </w:r>
      <w:r w:rsidRPr="00BB7CBA">
        <w:t xml:space="preserve"> (or market) value of the closing RAB (portion) at the end of each 'reset period' equals its </w:t>
      </w:r>
      <w:r>
        <w:t>statutory</w:t>
      </w:r>
      <w:r w:rsidRPr="00BB7CBA">
        <w:t xml:space="preserve"> value.</w:t>
      </w:r>
    </w:p>
    <w:p w:rsidR="00A12EBE" w:rsidRDefault="00A12EBE" w:rsidP="00A12EBE">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115BE8">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A12EBE" w:rsidRDefault="00A12EBE" w:rsidP="00A12EBE">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A12EBE" w:rsidRDefault="00A12EBE" w:rsidP="00A12EBE">
      <w:r>
        <w:t>What this shows, is that at the beginning of the transition into a trailing average approach, the present value of expected future cash flows should equal the RAB (all else equal)</w:t>
      </w:r>
      <w:r w:rsidRPr="00CF688D">
        <w:t>.</w:t>
      </w:r>
    </w:p>
    <w:p w:rsidR="00A12EBE" w:rsidRDefault="00A12EBE" w:rsidP="00A12EBE">
      <w:pPr>
        <w:pStyle w:val="HeadingBoldItalic"/>
      </w:pPr>
      <w:r>
        <w:t>The staggered portfolio</w:t>
      </w:r>
    </w:p>
    <w:p w:rsidR="00A12EBE" w:rsidRDefault="00A12EBE" w:rsidP="00A12EBE">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201"/>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A12EBE" w:rsidRPr="00B818B4" w:rsidRDefault="007F1E09" w:rsidP="00A12EBE">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202"/>
        </m:r>
      </m:oMath>
      <w:r w:rsidR="00A12EBE">
        <w:t xml:space="preserve"> </w:t>
      </w:r>
    </w:p>
    <w:p w:rsidR="00A12EBE" w:rsidRPr="00B818B4" w:rsidRDefault="007F1E09" w:rsidP="00A12EBE">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A12EBE">
        <w:t xml:space="preserve"> </w:t>
      </w:r>
    </w:p>
    <w:p w:rsidR="00A12EBE" w:rsidRDefault="00A12EBE" w:rsidP="00A12EBE">
      <w:r w:rsidRPr="00FC64E0">
        <w:t>…</w:t>
      </w:r>
    </w:p>
    <w:p w:rsidR="00A12EBE" w:rsidRPr="00C726C9" w:rsidRDefault="007F1E09" w:rsidP="00A12EBE">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A12EBE" w:rsidRPr="00C726C9">
        <w:rPr>
          <w:rStyle w:val="AERtextsize10"/>
        </w:rPr>
        <w:t xml:space="preserve"> </w:t>
      </w:r>
    </w:p>
    <w:p w:rsidR="00A12EBE" w:rsidRDefault="00A12EBE" w:rsidP="00A12EBE">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203"/>
      </w:r>
      <w:r>
        <w:t xml:space="preserve"> that is:</w:t>
      </w:r>
      <w:r>
        <w:rPr>
          <w:rStyle w:val="FootnoteReference"/>
        </w:rPr>
        <w:footnoteReference w:id="1204"/>
      </w:r>
      <w:r>
        <w:t xml:space="preserve">  </w:t>
      </w:r>
    </w:p>
    <w:p w:rsidR="00A12EBE" w:rsidRDefault="00A12EBE" w:rsidP="00A12EBE">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A12EBE" w:rsidRDefault="00A12EBE" w:rsidP="00A12EBE">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A12EBE" w:rsidRDefault="00A12EBE" w:rsidP="00A12EBE">
      <w:r>
        <w:t>As demonstrated under 'On-the-day approach', the above equalities hold because, for each portion of the RAB:</w:t>
      </w:r>
    </w:p>
    <w:p w:rsidR="00A12EBE" w:rsidRPr="00BB7CBA" w:rsidRDefault="00A12EBE" w:rsidP="00A12EBE">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t=1…10</m:t>
        </m:r>
      </m:oMath>
      <w:r w:rsidRPr="00BB7CBA">
        <w:t xml:space="preserve"> respectively, with the expectation that the allowed rate of return will be reset to prevailing market rates every ten years</w:t>
      </w:r>
    </w:p>
    <w:p w:rsidR="00A12EBE" w:rsidRPr="00BB7CBA" w:rsidRDefault="00A12EBE" w:rsidP="00A12EBE">
      <w:pPr>
        <w:pStyle w:val="AERbulletlistfirststyle"/>
      </w:pPr>
      <w:r>
        <w:t>the present (or market) value of the closing RAB (portion) at the end of each 'reset period' eq</w:t>
      </w:r>
      <w:r w:rsidRPr="00BB7CBA">
        <w:t xml:space="preserve">uals its </w:t>
      </w:r>
      <w:r>
        <w:t>statutory</w:t>
      </w:r>
      <w:r w:rsidRPr="00BB7CBA">
        <w:t xml:space="preserve"> value.</w:t>
      </w:r>
    </w:p>
    <w:p w:rsidR="00A12EBE" w:rsidRDefault="00A12EBE" w:rsidP="00A12EBE">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A12EBE" w:rsidRDefault="00A12EBE" w:rsidP="00A12EBE">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205"/>
      </w:r>
    </w:p>
    <w:p w:rsidR="00A12EBE" w:rsidRDefault="00A12EBE" w:rsidP="00A12EBE">
      <w:pPr>
        <w:pStyle w:val="HeadingBoldItalic"/>
      </w:pPr>
      <w:r>
        <w:t>End of the term of the RAB</w:t>
      </w:r>
    </w:p>
    <w:p w:rsidR="00A12EBE" w:rsidRDefault="00A12EBE" w:rsidP="00A12EBE">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206"/>
      </w:r>
    </w:p>
    <w:p w:rsidR="00A12EBE" w:rsidRPr="00BB7CBA" w:rsidRDefault="00A12EBE" w:rsidP="00A12EBE">
      <w:pPr>
        <w:pStyle w:val="AERbulletlistfirststyle"/>
        <w:rPr>
          <w:rStyle w:val="AERbody"/>
        </w:rPr>
      </w:pPr>
      <w:r>
        <w:rPr>
          <w:rStyle w:val="AERbody"/>
        </w:rPr>
        <w:t xml:space="preserve">Raise 9, 8 … 2, 1 year debt on a staggered basis. All its debt would thus expire in year T and it would repay the entire </w:t>
      </w:r>
      <w:r w:rsidRPr="00BB7CBA">
        <w:rPr>
          <w:rStyle w:val="AERbody"/>
        </w:rPr>
        <w:t>initial value of the RAB back to its investors.</w:t>
      </w:r>
    </w:p>
    <w:p w:rsidR="00A12EBE" w:rsidRPr="00BB7CBA" w:rsidRDefault="00A12EBE" w:rsidP="00A12EBE">
      <w:pPr>
        <w:pStyle w:val="AERbulletlistfirststyle"/>
        <w:rPr>
          <w:rStyle w:val="AERbody"/>
        </w:rPr>
      </w:pPr>
      <w:r>
        <w:rPr>
          <w:rStyle w:val="AERbody"/>
        </w:rPr>
        <w:t>Allow its staggered portfolio to gradually e</w:t>
      </w:r>
      <w:r w:rsidRPr="00BB7CBA">
        <w:rPr>
          <w:rStyle w:val="AERbody"/>
        </w:rPr>
        <w:t xml:space="preserve">xpire, repaying 10 per cent of the initial value of the RAB to investors each year. </w:t>
      </w:r>
    </w:p>
    <w:p w:rsidR="00A12EBE" w:rsidRDefault="00A12EBE" w:rsidP="00A12EBE">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A12EBE" w:rsidRPr="00275DE0" w:rsidRDefault="007F1E09" w:rsidP="00A12EBE">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207"/>
        </m:r>
      </m:oMath>
      <w:r w:rsidR="00A12EBE" w:rsidRPr="007E3981">
        <w:rPr>
          <w:rStyle w:val="AERtextsize10"/>
        </w:rPr>
        <w:t xml:space="preserve"> </w:t>
      </w:r>
    </w:p>
    <w:p w:rsidR="00A12EBE" w:rsidRPr="00FC64E0" w:rsidRDefault="007F1E09" w:rsidP="00A12EBE">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A12EBE">
        <w:t xml:space="preserve"> </w:t>
      </w:r>
    </w:p>
    <w:p w:rsidR="00A12EBE" w:rsidRDefault="00A12EBE" w:rsidP="00A12EBE">
      <w:r>
        <w:t>…</w:t>
      </w:r>
    </w:p>
    <w:p w:rsidR="00A12EBE" w:rsidRPr="00FC64E0" w:rsidRDefault="007F1E09" w:rsidP="00A12EBE">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A12EBE">
        <w:t xml:space="preserve"> </w:t>
      </w:r>
    </w:p>
    <w:p w:rsidR="00A12EBE" w:rsidRDefault="00A12EBE" w:rsidP="00A12EBE">
      <w:r>
        <w:t>where the proportion of net operating cash flow generated from each portion of the RAB each year equals the interest payment on that tranche of debt; that is:</w:t>
      </w:r>
      <w:r>
        <w:rPr>
          <w:rStyle w:val="FootnoteReference"/>
        </w:rPr>
        <w:footnoteReference w:id="1208"/>
      </w:r>
      <w:r>
        <w:t xml:space="preserve">  </w:t>
      </w:r>
    </w:p>
    <w:p w:rsidR="00A12EBE" w:rsidRDefault="00A12EBE" w:rsidP="00A12EBE">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A12EBE" w:rsidRDefault="00A12EBE" w:rsidP="00A12EBE">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A12EBE" w:rsidRDefault="00A12EBE" w:rsidP="00A12EBE">
      <w:r>
        <w:t>As shown in the above sections, the above equalities hold because, for each portion of the RAB:</w:t>
      </w:r>
    </w:p>
    <w:p w:rsidR="00A12EBE" w:rsidRPr="00BB7CBA" w:rsidRDefault="00A12EBE" w:rsidP="00A12EBE">
      <w:pPr>
        <w:pStyle w:val="AERbulletlistfirststyle"/>
      </w:pPr>
      <w:r>
        <w:t>the expected net operating cash flows</w:t>
      </w:r>
      <w:r w:rsidRPr="00BB7CBA">
        <w:t xml:space="preserve"> are, effectively, based on an allowed rate of return that reflects prevailing market rates at year </w:t>
      </w:r>
      <m:oMath>
        <m:r>
          <w:rPr>
            <w:rFonts w:ascii="Cambria Math" w:hAnsi="Cambria Math"/>
          </w:rPr>
          <m:t>t=T-10…T-1</m:t>
        </m:r>
      </m:oMath>
      <w:r w:rsidRPr="00BB7CBA">
        <w:t xml:space="preserve"> respectively</w:t>
      </w:r>
    </w:p>
    <w:p w:rsidR="00A12EBE" w:rsidRDefault="00A12EBE" w:rsidP="00A12EBE">
      <w:pPr>
        <w:pStyle w:val="AERbulletlistfirststyle"/>
      </w:pPr>
      <w:r>
        <w:t>the present (or market) value of the closing RAB (portion) at the end of each period equals its statutory value.</w:t>
      </w:r>
    </w:p>
    <w:p w:rsidR="00A12EBE" w:rsidRDefault="00A12EBE" w:rsidP="00A12EBE">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A12EBE" w:rsidRDefault="00A12EBE" w:rsidP="00A12EBE">
      <w:r>
        <w:t>The sections above show that the key distinction between an on-the-day and a trailing average approach is:</w:t>
      </w:r>
    </w:p>
    <w:p w:rsidR="00A12EBE" w:rsidRPr="00BB7CBA" w:rsidRDefault="00A12EBE" w:rsidP="00A12EBE">
      <w:pPr>
        <w:pStyle w:val="AERbulletlistfirststyle"/>
      </w:pPr>
      <w:r>
        <w:t>t</w:t>
      </w:r>
      <w:r w:rsidRPr="00BB7CBA">
        <w:t xml:space="preserve">he on-the-day approach results in the entire allowed rate of return being reset to reflect prevailing market (or efficient) rates near the commencement of the regulatory period </w:t>
      </w:r>
    </w:p>
    <w:p w:rsidR="00A12EBE" w:rsidRPr="00BB7CBA" w:rsidRDefault="00A12EBE" w:rsidP="00A12EBE">
      <w:pPr>
        <w:pStyle w:val="AERbulletlistfirststyle"/>
      </w:pPr>
      <w:r>
        <w:t>t</w:t>
      </w:r>
      <w:r w:rsidRPr="00BB7CBA">
        <w:t xml:space="preserve">he trailing average approach results in one tenth of the allowed rate of return being reset to reflect prevailing market (or efficient) rates each year. </w:t>
      </w:r>
    </w:p>
    <w:p w:rsidR="00A12EBE" w:rsidRPr="008A42CE" w:rsidRDefault="00A12EBE" w:rsidP="00A12EBE">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A12EBE" w:rsidRDefault="00A12EBE" w:rsidP="00A12EBE">
      <w:pPr>
        <w:pStyle w:val="Heading8"/>
      </w:pPr>
      <w:bookmarkStart w:id="274" w:name="_Ref447538284"/>
      <w:bookmarkStart w:id="275" w:name="_Toc451943820"/>
      <w:r>
        <w:t>A full transition satisfies the ARORO</w:t>
      </w:r>
      <w:bookmarkEnd w:id="274"/>
      <w:bookmarkEnd w:id="275"/>
    </w:p>
    <w:p w:rsidR="00A12EBE" w:rsidRPr="00BB7CBA" w:rsidRDefault="00A12EBE" w:rsidP="00BC70E6">
      <w:r>
        <w:t xml:space="preserve">If moving from </w:t>
      </w:r>
      <w:r w:rsidRPr="00BB7CBA">
        <w:t>the on-the-day to the trailing average approach, we consider a full transition is required to meet the ARORO and the objectives of the NEL/NGL. A full transition is revenue neutral in a present value sense.</w:t>
      </w:r>
      <w:r w:rsidRPr="00BB7CBA">
        <w:rPr>
          <w:rStyle w:val="FootnoteReference"/>
        </w:rPr>
        <w:footnoteReference w:id="1209"/>
      </w:r>
      <w:r w:rsidRPr="00BB7CBA">
        <w:t xml:space="preserve"> Assuming the on-the-day or trailing average approach would contribute to the achievement of the ARORO, a revenue neutral transition will also contribute to the achievement of the ARORO.</w:t>
      </w:r>
    </w:p>
    <w:p w:rsidR="00A12EBE" w:rsidRDefault="00A12EBE" w:rsidP="00A12EBE">
      <w:r>
        <w:t xml:space="preserve">As shown in section </w:t>
      </w:r>
      <w:r>
        <w:fldChar w:fldCharType="begin"/>
      </w:r>
      <w:r>
        <w:instrText xml:space="preserve"> REF _Ref444773920 \r \h </w:instrText>
      </w:r>
      <w:r>
        <w:fldChar w:fldCharType="separate"/>
      </w:r>
      <w:r w:rsidR="000230CB">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A12EBE" w:rsidRDefault="00A12EBE" w:rsidP="00A12EBE">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A12EBE" w:rsidRDefault="00A12EBE" w:rsidP="00A12EBE">
      <w:r>
        <w:t xml:space="preserve">We show in section </w:t>
      </w:r>
      <w:r>
        <w:fldChar w:fldCharType="begin"/>
      </w:r>
      <w:r>
        <w:instrText xml:space="preserve"> REF _Ref444773920 \r \h </w:instrText>
      </w:r>
      <w:r>
        <w:fldChar w:fldCharType="separate"/>
      </w:r>
      <w:r w:rsidR="000230CB">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A12EBE" w:rsidRPr="00414466" w:rsidRDefault="00A12EBE" w:rsidP="00A12EBE">
      <w:pPr>
        <w:pStyle w:val="Heading8"/>
      </w:pPr>
      <w:bookmarkStart w:id="276" w:name="_Ref447266532"/>
      <w:bookmarkStart w:id="277" w:name="_Toc451943821"/>
      <w:r w:rsidRPr="00414466">
        <w:t>An immediate (or hybrid) transition will not satisfy the ARORO</w:t>
      </w:r>
      <w:bookmarkEnd w:id="276"/>
      <w:bookmarkEnd w:id="277"/>
    </w:p>
    <w:p w:rsidR="00A12EBE" w:rsidRDefault="00A12EBE" w:rsidP="00A12EBE">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0230CB">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0230CB">
        <w:t>H.5.1</w:t>
      </w:r>
      <w:r>
        <w:fldChar w:fldCharType="end"/>
      </w:r>
      <w:r>
        <w:t xml:space="preserve">. </w:t>
      </w:r>
    </w:p>
    <w:p w:rsidR="00A12EBE" w:rsidRDefault="00A12EBE" w:rsidP="00A12EBE">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210"/>
      </w:r>
      <w:r>
        <w:t xml:space="preserve"> This is supported by the CCP3 in advising:</w:t>
      </w:r>
      <w:r>
        <w:rPr>
          <w:rStyle w:val="FootnoteReference"/>
        </w:rPr>
        <w:footnoteReference w:id="1211"/>
      </w:r>
    </w:p>
    <w:p w:rsidR="00A12EBE" w:rsidRPr="006C2193" w:rsidRDefault="00A12EBE" w:rsidP="00A12EBE">
      <w:pPr>
        <w:pStyle w:val="AERquote"/>
      </w:pPr>
      <w:r w:rsidRPr="00E70879">
        <w:t>consumer acceptance for the 10</w:t>
      </w:r>
      <w:r w:rsidRPr="00A12EBE">
        <w:rPr>
          <w:rFonts w:ascii="Cambria Math" w:hAnsi="Cambria Math" w:cs="Cambria Math"/>
        </w:rPr>
        <w:t>‐</w:t>
      </w:r>
      <w:r w:rsidRPr="00E70879">
        <w:t xml:space="preserve">year trailing average cost of debt (rather than </w:t>
      </w:r>
      <w:r w:rsidRPr="003E0036">
        <w:t>continuation of the “on</w:t>
      </w:r>
      <w:r w:rsidRPr="00A12EBE">
        <w:rPr>
          <w:rFonts w:ascii="Cambria Math" w:hAnsi="Cambria Math" w:cs="Cambria Math"/>
        </w:rPr>
        <w:t>‐</w:t>
      </w:r>
      <w:r w:rsidRPr="0019710C">
        <w:t>the</w:t>
      </w:r>
      <w:r w:rsidRPr="00A12EBE">
        <w:rPr>
          <w:rFonts w:ascii="Cambria Math" w:hAnsi="Cambria Math" w:cs="Cambria Math"/>
        </w:rPr>
        <w:t>‐</w:t>
      </w:r>
      <w:r w:rsidRPr="0019710C">
        <w:t>day” or a 5</w:t>
      </w:r>
      <w:r w:rsidRPr="00A12EBE">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A12EBE">
        <w:rPr>
          <w:rFonts w:ascii="Cambria Math" w:hAnsi="Cambria Math" w:cs="Cambria Math"/>
        </w:rPr>
        <w:t>‐</w:t>
      </w:r>
      <w:r w:rsidRPr="006C2193">
        <w:t>year rolling average approach.</w:t>
      </w:r>
    </w:p>
    <w:p w:rsidR="00A12EBE" w:rsidRDefault="00A12EBE" w:rsidP="00A12EBE">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212"/>
      </w:r>
      <w:r>
        <w:t xml:space="preserve"> </w:t>
      </w:r>
    </w:p>
    <w:p w:rsidR="00A12EBE" w:rsidRDefault="00A12EBE" w:rsidP="00A12EBE">
      <w:r>
        <w:t>Moreover, Partington and Satchell advise that, given a move to the trailing average approach, our full transition is preferable to an immediate (or hybrid) transition.</w:t>
      </w:r>
      <w:r>
        <w:rPr>
          <w:rStyle w:val="FootnoteReference"/>
        </w:rPr>
        <w:footnoteReference w:id="1213"/>
      </w:r>
      <w:r>
        <w:t xml:space="preserve"> They also state that:</w:t>
      </w:r>
      <w:r>
        <w:rPr>
          <w:rStyle w:val="FootnoteReference"/>
        </w:rPr>
        <w:footnoteReference w:id="1214"/>
      </w:r>
    </w:p>
    <w:p w:rsidR="00A12EBE" w:rsidRDefault="00A12EBE" w:rsidP="00A12EBE">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A12EBE" w:rsidRDefault="00A12EBE" w:rsidP="00A12EBE">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0230CB">
        <w:t>H.3.3</w:t>
      </w:r>
      <w:r>
        <w:fldChar w:fldCharType="end"/>
      </w:r>
      <w:r>
        <w:t xml:space="preserve">, the on-the-day approach provides ex-ante efficient compensation for a benchmark efficient entity's efficient cost of financing over each regulatory period and over the term of the RAB. </w:t>
      </w:r>
    </w:p>
    <w:p w:rsidR="00A12EBE" w:rsidRDefault="00A12EBE" w:rsidP="00A12EBE">
      <w:pPr>
        <w:pStyle w:val="Heading9"/>
      </w:pPr>
      <w:bookmarkStart w:id="278" w:name="_Ref447886159"/>
      <w:bookmarkStart w:id="279" w:name="_Ref451538254"/>
      <w:r>
        <w:t>Mathematical explanation</w:t>
      </w:r>
      <w:bookmarkEnd w:id="278"/>
      <w:bookmarkEnd w:id="279"/>
    </w:p>
    <w:p w:rsidR="00A12EBE" w:rsidRPr="00275DE0" w:rsidRDefault="00A12EBE" w:rsidP="00A12EBE">
      <w:r w:rsidRPr="00275DE0">
        <w:t>This section demonstrates the difference (in present value terms) between our full transition and the service providers' immediate transition to the trailing average approach. We use the following notation:</w:t>
      </w:r>
    </w:p>
    <w:p w:rsidR="00A12EBE" w:rsidRPr="00BB7CBA" w:rsidRDefault="007F1E09" w:rsidP="00A12EBE">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A12EBE" w:rsidRPr="00BB7CBA">
        <w:t xml:space="preserve"> denotes present value, at year t </w:t>
      </w:r>
    </w:p>
    <w:p w:rsidR="00A12EBE" w:rsidRPr="00BB7CBA" w:rsidRDefault="00A12EBE" w:rsidP="00A12EBE">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BB7CBA">
        <w:t xml:space="preserve"> denotes expected value</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A12EBE" w:rsidRPr="00BB7CBA">
        <w:t xml:space="preserve"> is the closing RAB at the end of year </w:t>
      </w:r>
      <m:oMath>
        <m:r>
          <w:rPr>
            <w:rFonts w:ascii="Cambria Math" w:hAnsi="Cambria Math"/>
          </w:rPr>
          <m:t>t</m:t>
        </m:r>
      </m:oMath>
      <w:r w:rsidR="00A12EBE" w:rsidRPr="00BB7CBA">
        <w:t xml:space="preserve"> (which equals the opening RAB at the beginning of year </w:t>
      </w:r>
      <m:oMath>
        <m:r>
          <w:rPr>
            <w:rFonts w:ascii="Cambria Math" w:hAnsi="Cambria Math"/>
          </w:rPr>
          <m:t>t+1</m:t>
        </m:r>
      </m:oMath>
      <w:r w:rsidR="00A12EBE" w:rsidRPr="00BB7CBA">
        <w:t>).</w:t>
      </w:r>
    </w:p>
    <w:p w:rsidR="00A12EBE" w:rsidRDefault="00A12EBE" w:rsidP="00A12EBE">
      <w:pPr>
        <w:pStyle w:val="AERbulletlistfirststyle"/>
      </w:pPr>
      <w:r>
        <w:t>0.6 is the proportion of the RAB that is debt financed</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A12EBE" w:rsidRPr="00BB7CBA">
        <w:t xml:space="preserve"> </w:t>
      </w:r>
      <w:r w:rsidR="00850F8F">
        <w:t>are</w:t>
      </w:r>
      <w:r w:rsidR="00850F8F" w:rsidRPr="00D56F4E">
        <w:t xml:space="preserve"> </w:t>
      </w:r>
      <w:r w:rsidR="00850F8F">
        <w:t xml:space="preserve">the </w:t>
      </w:r>
      <w:r w:rsidR="00850F8F" w:rsidRPr="00D56F4E">
        <w:t>estimate</w:t>
      </w:r>
      <w:r w:rsidR="00850F8F">
        <w:t>s</w:t>
      </w:r>
      <w:r w:rsidR="00850F8F" w:rsidRPr="00D56F4E">
        <w:t xml:space="preserve"> of the </w:t>
      </w:r>
      <w:r w:rsidR="00850F8F">
        <w:t>return on</w:t>
      </w:r>
      <w:r w:rsidR="00850F8F" w:rsidRPr="00D56F4E">
        <w:t xml:space="preserve"> debt used to calculate the return on capital cash flow</w:t>
      </w:r>
      <w:r w:rsidR="00850F8F">
        <w:t>s</w:t>
      </w:r>
    </w:p>
    <w:p w:rsidR="00A12EBE" w:rsidRPr="00BB7CBA" w:rsidRDefault="007F1E09" w:rsidP="00A12EB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A12EBE" w:rsidRPr="00BB7CBA">
        <w:t xml:space="preserve"> is the (spot) discount rate at year </w:t>
      </w:r>
      <m:oMath>
        <m:r>
          <w:rPr>
            <w:rFonts w:ascii="Cambria Math" w:hAnsi="Cambria Math"/>
          </w:rPr>
          <m:t>t</m:t>
        </m:r>
      </m:oMath>
      <w:r w:rsidR="00A12EBE" w:rsidRPr="00BB7CBA">
        <w:t xml:space="preserve"> for a term of </w:t>
      </w:r>
      <m:oMath>
        <m:r>
          <w:rPr>
            <w:rFonts w:ascii="Cambria Math" w:hAnsi="Cambria Math"/>
          </w:rPr>
          <m:t>j</m:t>
        </m:r>
      </m:oMath>
      <w:r w:rsidR="00A12EBE" w:rsidRPr="00BB7CBA">
        <w:t xml:space="preserve"> years.</w:t>
      </w:r>
    </w:p>
    <w:p w:rsidR="00A12EBE" w:rsidRPr="00622F41" w:rsidRDefault="00A12EBE" w:rsidP="00A12EBE">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215"/>
      </w:r>
    </w:p>
    <w:p w:rsidR="00A12EBE" w:rsidRDefault="007F1E09" w:rsidP="00A12EBE">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A12EBE" w:rsidRPr="00BB7CBA">
        <w:t xml:space="preserve"> </w:t>
      </w:r>
    </w:p>
    <w:p w:rsidR="00A12EBE" w:rsidRDefault="00A12EBE" w:rsidP="00A12EBE">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A12EBE" w:rsidRPr="00622F41" w:rsidRDefault="00A12EBE" w:rsidP="00A12EBE">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t xml:space="preserve">over the next ten years </w:t>
      </w:r>
      <w:r w:rsidRPr="00622F41">
        <w:t>(under an immediate transition</w:t>
      </w:r>
      <w:r>
        <w:t xml:space="preserve">) at time </w:t>
      </w:r>
      <m:oMath>
        <m:r>
          <w:rPr>
            <w:rFonts w:ascii="Cambria Math" w:hAnsi="Cambria Math"/>
          </w:rPr>
          <m:t>t=0</m:t>
        </m:r>
      </m:oMath>
      <w:r w:rsidRPr="00622F41">
        <w:t xml:space="preserve">  is as follows:</w:t>
      </w:r>
    </w:p>
    <w:p w:rsidR="00A12EBE" w:rsidRDefault="007F1E09" w:rsidP="00A12EBE">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A12EBE"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A12EBE" w:rsidRPr="00622F41" w:rsidRDefault="00A12EBE" w:rsidP="00A12EBE">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A12EBE" w:rsidRDefault="00A12EBE" w:rsidP="00A12EBE">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service providers' proposed return on debt allowance </w:t>
      </w:r>
      <w:r>
        <w:t xml:space="preserve">over the next ten years </w:t>
      </w:r>
      <w:r w:rsidRPr="00622F41">
        <w:t>gives the following difference in present value terms:</w:t>
      </w:r>
    </w:p>
    <w:p w:rsidR="00A12EBE" w:rsidRPr="00622F41" w:rsidRDefault="007F1E09" w:rsidP="00A12EBE">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A12EBE">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A12EBE" w:rsidRPr="00622F41"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A12EBE" w:rsidRDefault="00A12EBE" w:rsidP="00A12EB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A12EBE" w:rsidRDefault="00A12EBE" w:rsidP="00A12EBE">
      <m:oMath>
        <m:r>
          <w:rPr>
            <w:rFonts w:ascii="Cambria Math" w:hAnsi="Cambria Math"/>
          </w:rPr>
          <m:t>+0</m:t>
        </m:r>
      </m:oMath>
      <w:r>
        <w:t xml:space="preserve"> </w:t>
      </w:r>
    </w:p>
    <w:p w:rsidR="00A12EBE" w:rsidRPr="00374BCA" w:rsidRDefault="00A12EBE" w:rsidP="00A12EBE">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A12EBE" w:rsidRPr="00BB7CBA" w:rsidRDefault="00A12EBE" w:rsidP="00A12EBE">
      <w:pPr>
        <w:pStyle w:val="AERbulletlistfirststyle"/>
      </w:pPr>
      <w:r w:rsidRPr="00374BCA">
        <w:t>Assuming you use the same data series, term and</w:t>
      </w:r>
      <w:r w:rsidRPr="00BB7CBA">
        <w:t xml:space="preserve"> credit rating, the difference between our proposed return on debt allowance and the service providers' proposed return on debt allowance is a fixed amount in each of the first nine years.</w:t>
      </w:r>
      <w:r w:rsidRPr="00BB7CBA">
        <w:rPr>
          <w:rStyle w:val="FootnoteReference"/>
        </w:rPr>
        <w:footnoteReference w:id="1216"/>
      </w:r>
    </w:p>
    <w:p w:rsidR="00A12EBE" w:rsidRPr="00BB7CBA" w:rsidRDefault="00A12EBE" w:rsidP="00A12EBE">
      <w:pPr>
        <w:pStyle w:val="AERbulletlistfirststyle"/>
      </w:pPr>
      <w:r w:rsidRPr="00374BCA">
        <w:t xml:space="preserve">Assuming you use the same data series, term and credit rating, there is no difference between </w:t>
      </w:r>
      <w:r w:rsidRPr="00BB7CBA">
        <w:t>our proposed return on debt allowance and the service providers' proposed return on debt allowance from year ten onwards.</w:t>
      </w:r>
    </w:p>
    <w:p w:rsidR="00A12EBE" w:rsidRPr="00BB7CBA" w:rsidRDefault="00A12EBE" w:rsidP="00A12EBE">
      <w:pPr>
        <w:pStyle w:val="AERbulletlistfirststyle"/>
      </w:pPr>
      <w:r w:rsidRPr="00374BCA">
        <w:t xml:space="preserve">The present value of the difference in </w:t>
      </w:r>
      <w:r w:rsidRPr="00BB7CBA">
        <w:t>our proposed return on debt allowance and the service providers' proposed return on debt allowance for each of the next nine years can be calculated today.</w:t>
      </w:r>
      <w:r w:rsidRPr="00BB7CBA">
        <w:rPr>
          <w:rStyle w:val="FootnoteReference"/>
        </w:rPr>
        <w:footnoteReference w:id="1217"/>
      </w:r>
      <w:r w:rsidRPr="00BB7CBA">
        <w:t xml:space="preserve"> This total present value is a sum of the difference in values for each of the </w:t>
      </w:r>
      <w:r>
        <w:t xml:space="preserve">next </w:t>
      </w:r>
      <w:r w:rsidRPr="00BB7CBA">
        <w:t>nine years (as shown above).</w:t>
      </w:r>
    </w:p>
    <w:p w:rsidR="00A12EBE" w:rsidRPr="00BB7CBA" w:rsidRDefault="00A12EBE" w:rsidP="00A12EBE">
      <w:pPr>
        <w:pStyle w:val="AERbulletlistfirststyle"/>
      </w:pPr>
      <w:r w:rsidRPr="00374BCA">
        <w:t xml:space="preserve">Given that current interest rates are well below average historical rates over the last </w:t>
      </w:r>
      <w:r w:rsidRPr="00BB7CBA">
        <w:t xml:space="preserve">nine years, the service providers' proposed return on debt allowance will have a materially higher present value than our proposed return on debt allowance (over both the upcoming regulatory period and the next </w:t>
      </w:r>
      <w:r>
        <w:t>nine</w:t>
      </w:r>
      <w:r w:rsidRPr="00BB7CBA">
        <w:t xml:space="preserv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A12EBE" w:rsidRPr="00374BCA" w:rsidRDefault="00A12EBE" w:rsidP="00A12EBE">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rsidR="000230CB">
        <w:t>H.5.2</w:t>
      </w:r>
      <w:r>
        <w:fldChar w:fldCharType="end"/>
      </w:r>
      <w:r>
        <w:t>).</w:t>
      </w:r>
      <w:r>
        <w:rPr>
          <w:rStyle w:val="FootnoteReference"/>
        </w:rPr>
        <w:footnoteReference w:id="1218"/>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A12EBE" w:rsidRDefault="00A12EBE" w:rsidP="00A12EBE">
      <w:r>
        <w:t>I</w:t>
      </w:r>
      <w:r w:rsidRPr="00374BCA">
        <w:t xml:space="preserve">n relation to the </w:t>
      </w:r>
      <w:r>
        <w:t>risk associated with</w:t>
      </w:r>
      <w:r w:rsidRPr="00374BCA">
        <w:t xml:space="preserve"> the alternative return on debt allowances, </w:t>
      </w:r>
      <w:r>
        <w:t>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219"/>
      </w:r>
      <w:r>
        <w:t xml:space="preserve"> </w:t>
      </w:r>
    </w:p>
    <w:p w:rsidR="00A12EBE" w:rsidRDefault="00A12EBE" w:rsidP="00A12EBE">
      <w:r>
        <w:t>This above analysis implies the key difference between our proposed return on debt allowance and the service providers' alternatives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220"/>
      </w:r>
    </w:p>
    <w:p w:rsidR="00A12EBE" w:rsidRDefault="00A12EBE" w:rsidP="00A12EBE">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A12EBE" w:rsidRPr="00374BCA" w:rsidRDefault="00A12EBE" w:rsidP="00A12EBE">
      <w:pPr>
        <w:pStyle w:val="Heading9"/>
      </w:pPr>
      <w:bookmarkStart w:id="280" w:name="_Ref447886226"/>
      <w:r>
        <w:t>Revised regulatory proposals</w:t>
      </w:r>
      <w:bookmarkEnd w:id="280"/>
      <w:r w:rsidRPr="00374BCA">
        <w:t xml:space="preserve"> </w:t>
      </w:r>
    </w:p>
    <w:p w:rsidR="00A12EBE" w:rsidRDefault="00A12EBE" w:rsidP="00A12EBE">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A12EBE" w:rsidRDefault="00A12EBE" w:rsidP="00A12EBE">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221"/>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222"/>
      </w:r>
      <w:r>
        <w:t xml:space="preserve"> We do not agree with the reasons provided for adopting either of these preferences, which we respond to separately in the following sections.</w:t>
      </w:r>
    </w:p>
    <w:p w:rsidR="00A12EBE" w:rsidRDefault="00A12EBE" w:rsidP="00A12EBE">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223"/>
      </w:r>
      <w:r>
        <w:t xml:space="preserve"> It subsequently advises:</w:t>
      </w:r>
      <w:r>
        <w:rPr>
          <w:rStyle w:val="FootnoteReference"/>
        </w:rPr>
        <w:footnoteReference w:id="1224"/>
      </w:r>
    </w:p>
    <w:p w:rsidR="00A12EBE" w:rsidRDefault="00A12EBE" w:rsidP="00A12EBE">
      <w:pPr>
        <w:pStyle w:val="AERquote"/>
      </w:pPr>
      <w:r w:rsidRPr="00BA615F">
        <w:t>CCP3 does not consider that the DNSPs’ revised RoD proposals for 2016</w:t>
      </w:r>
      <w:r w:rsidRPr="00A12EBE">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A12EBE" w:rsidRPr="008B2981" w:rsidRDefault="00A12EBE" w:rsidP="00A12EBE">
      <w:pPr>
        <w:pStyle w:val="HeadingBoldBlue"/>
      </w:pPr>
      <w:r w:rsidRPr="008B2981">
        <w:t>Proposals for immediately adopting a trailing average</w:t>
      </w:r>
    </w:p>
    <w:p w:rsidR="00A12EBE" w:rsidRDefault="00A12EBE" w:rsidP="00A12EBE">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rsidR="000230CB">
        <w:t xml:space="preserve">table </w:t>
      </w:r>
      <w:r w:rsidR="000230CB">
        <w:rPr>
          <w:noProof/>
        </w:rPr>
        <w:t>3</w:t>
      </w:r>
      <w:r w:rsidR="000230CB">
        <w:noBreakHyphen/>
      </w:r>
      <w:r w:rsidR="000230CB">
        <w:rPr>
          <w:noProof/>
        </w:rPr>
        <w:t>41</w:t>
      </w:r>
      <w:r>
        <w:fldChar w:fldCharType="end"/>
      </w:r>
      <w:r>
        <w:t xml:space="preserve"> addresses. </w:t>
      </w:r>
    </w:p>
    <w:p w:rsidR="00A12EBE" w:rsidRDefault="00A12EBE" w:rsidP="00A12EBE">
      <w:pPr>
        <w:pStyle w:val="Caption"/>
      </w:pPr>
      <w:bookmarkStart w:id="281" w:name="_Ref447807493"/>
      <w:r>
        <w:t xml:space="preserve">Table </w:t>
      </w:r>
      <w:r w:rsidRPr="00BB7CBA">
        <w:fldChar w:fldCharType="begin"/>
      </w:r>
      <w:r>
        <w:instrText xml:space="preserve"> STYLEREF 1 \s </w:instrText>
      </w:r>
      <w:r w:rsidRPr="00BB7CBA">
        <w:fldChar w:fldCharType="separate"/>
      </w:r>
      <w:r w:rsidR="000230CB">
        <w:rPr>
          <w:noProof/>
        </w:rPr>
        <w:t>3</w:t>
      </w:r>
      <w:r w:rsidRPr="00BB7CBA">
        <w:fldChar w:fldCharType="end"/>
      </w:r>
      <w:r>
        <w:noBreakHyphen/>
      </w:r>
      <w:r w:rsidRPr="00BB7CBA">
        <w:fldChar w:fldCharType="begin"/>
      </w:r>
      <w:r>
        <w:instrText xml:space="preserve"> SEQ Table \* ARABIC \s 1 </w:instrText>
      </w:r>
      <w:r w:rsidRPr="00BB7CBA">
        <w:fldChar w:fldCharType="separate"/>
      </w:r>
      <w:r w:rsidR="000230CB">
        <w:rPr>
          <w:noProof/>
        </w:rPr>
        <w:t>41</w:t>
      </w:r>
      <w:r w:rsidRPr="00BB7CBA">
        <w:fldChar w:fldCharType="end"/>
      </w:r>
      <w:bookmarkEnd w:id="281"/>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A12EBE" w:rsidTr="00DB4FCE">
        <w:trPr>
          <w:cnfStyle w:val="100000000000" w:firstRow="1" w:lastRow="0" w:firstColumn="0" w:lastColumn="0" w:oddVBand="0" w:evenVBand="0" w:oddHBand="0" w:evenHBand="0" w:firstRowFirstColumn="0" w:firstRowLastColumn="0" w:lastRowFirstColumn="0" w:lastRowLastColumn="0"/>
          <w:tblHeader/>
        </w:trPr>
        <w:tc>
          <w:tcPr>
            <w:tcW w:w="2802" w:type="dxa"/>
          </w:tcPr>
          <w:p w:rsidR="00A12EBE" w:rsidRPr="00A12EBE" w:rsidRDefault="00A12EBE" w:rsidP="00A12EBE">
            <w:r>
              <w:t>Reason provided in revised regulatory proposals</w:t>
            </w:r>
          </w:p>
        </w:tc>
        <w:tc>
          <w:tcPr>
            <w:tcW w:w="5891" w:type="dxa"/>
          </w:tcPr>
          <w:p w:rsidR="00A12EBE" w:rsidRPr="00A12EBE" w:rsidRDefault="00A12EBE" w:rsidP="00A12EBE">
            <w:r>
              <w:t>AER view</w:t>
            </w:r>
          </w:p>
        </w:tc>
      </w:tr>
      <w:tr w:rsidR="00A12EBE" w:rsidTr="00CE146C">
        <w:tc>
          <w:tcPr>
            <w:tcW w:w="2802" w:type="dxa"/>
          </w:tcPr>
          <w:p w:rsidR="00A12EBE" w:rsidRPr="00A12EBE" w:rsidRDefault="00A12EBE" w:rsidP="00A12EBE">
            <w:r>
              <w:t>A</w:t>
            </w:r>
            <w:r w:rsidRPr="00A12EBE">
              <w:t xml:space="preserve">n immediate (or hybrid) transition is consistent with a historically-based definition of efficient financing costs. </w:t>
            </w:r>
          </w:p>
        </w:tc>
        <w:tc>
          <w:tcPr>
            <w:tcW w:w="5891" w:type="dxa"/>
          </w:tcPr>
          <w:p w:rsidR="00A12EBE" w:rsidRPr="00A12EBE" w:rsidRDefault="00A12EBE" w:rsidP="00A12EBE">
            <w:r>
              <w:t>We do not consider 'efficient financing costs' in the ARORO refers to historical costs, requiring compensation for losses</w:t>
            </w:r>
            <w:r w:rsidRPr="00A12EBE">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A12EBE">
              <w:fldChar w:fldCharType="begin"/>
            </w:r>
            <w:r w:rsidRPr="00A12EBE">
              <w:instrText xml:space="preserve"> REF _Ref446603900 \r \h </w:instrText>
            </w:r>
            <w:r w:rsidRPr="00A12EBE">
              <w:fldChar w:fldCharType="separate"/>
            </w:r>
            <w:r w:rsidR="000230CB">
              <w:t>H.2.1</w:t>
            </w:r>
            <w:r w:rsidRPr="00A12EBE">
              <w:fldChar w:fldCharType="end"/>
            </w:r>
            <w:r w:rsidRPr="00A12EBE">
              <w:t xml:space="preserve">). If provided with ex-ante efficient compensation, then a benchmark efficient entity has a reasonable opportunity to recover its efficient debt financing costs. </w:t>
            </w:r>
          </w:p>
          <w:p w:rsidR="00A12EBE" w:rsidRPr="00A12EBE" w:rsidRDefault="00A12EBE" w:rsidP="00A12EBE">
            <w:r>
              <w:t>The</w:t>
            </w:r>
            <w:r w:rsidRPr="00A12EBE">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A12EBE">
              <w:fldChar w:fldCharType="begin"/>
            </w:r>
            <w:r w:rsidRPr="00A12EBE">
              <w:instrText xml:space="preserve"> REF _Ref446405872 \r \h </w:instrText>
            </w:r>
            <w:r w:rsidRPr="00A12EBE">
              <w:fldChar w:fldCharType="separate"/>
            </w:r>
            <w:r w:rsidR="000230CB">
              <w:t>H.1.1</w:t>
            </w:r>
            <w:r w:rsidRPr="00A12EBE">
              <w:fldChar w:fldCharType="end"/>
            </w:r>
            <w:r w:rsidRPr="00A12EBE">
              <w:t>).</w:t>
            </w:r>
            <w:r w:rsidRPr="00A12EBE">
              <w:rPr>
                <w:rStyle w:val="FootnoteReference"/>
              </w:rPr>
              <w:footnoteReference w:id="1225"/>
            </w:r>
          </w:p>
          <w:p w:rsidR="00A12EBE" w:rsidRPr="00A12EBE" w:rsidRDefault="00A12EBE" w:rsidP="00A12EBE">
            <w:r>
              <w:t>The</w:t>
            </w:r>
            <w:r w:rsidRPr="00A12EBE">
              <w:t xml:space="preserve"> trailing average approach can also reflect prevailing market rates because one-tenth of the historical average is updated each year to reflect prevailing market rates (see section </w:t>
            </w:r>
            <w:r w:rsidRPr="00A12EBE">
              <w:fldChar w:fldCharType="begin"/>
            </w:r>
            <w:r w:rsidRPr="00A12EBE">
              <w:instrText xml:space="preserve"> REF _Ref444773920 \r \h </w:instrText>
            </w:r>
            <w:r w:rsidRPr="00A12EBE">
              <w:fldChar w:fldCharType="separate"/>
            </w:r>
            <w:r w:rsidR="000230CB">
              <w:t>H.3.3</w:t>
            </w:r>
            <w:r w:rsidRPr="00A12EBE">
              <w:fldChar w:fldCharType="end"/>
            </w:r>
            <w:r w:rsidRPr="00A12EBE">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A12EBE" w:rsidTr="00CE146C">
        <w:trPr>
          <w:cnfStyle w:val="000000010000" w:firstRow="0" w:lastRow="0" w:firstColumn="0" w:lastColumn="0" w:oddVBand="0" w:evenVBand="0" w:oddHBand="0" w:evenHBand="1" w:firstRowFirstColumn="0" w:firstRowLastColumn="0" w:lastRowFirstColumn="0" w:lastRowLastColumn="0"/>
        </w:trPr>
        <w:tc>
          <w:tcPr>
            <w:tcW w:w="2802" w:type="dxa"/>
          </w:tcPr>
          <w:p w:rsidR="00A12EBE" w:rsidRPr="00A12EBE" w:rsidRDefault="00A12EBE" w:rsidP="00A12EBE">
            <w:r>
              <w:t>I</w:t>
            </w:r>
            <w:r w:rsidRPr="00A12EBE">
              <w:t>mmediately implementing a trailing average (in whole or part) would reduce the ex-post 'mismatch' between the allowed return on debt cash flows and a benchmark efficient entity's actual (historical) debt costs (or cash outflows).</w:t>
            </w:r>
            <w:r w:rsidRPr="00A12EBE">
              <w:rPr>
                <w:rStyle w:val="FootnoteReference"/>
              </w:rPr>
              <w:footnoteReference w:id="1226"/>
            </w:r>
            <w:r w:rsidRPr="00A12EBE">
              <w:t xml:space="preserve"> </w:t>
            </w:r>
          </w:p>
        </w:tc>
        <w:tc>
          <w:tcPr>
            <w:tcW w:w="5891" w:type="dxa"/>
          </w:tcPr>
          <w:p w:rsidR="00A12EBE" w:rsidRPr="00A12EBE" w:rsidRDefault="00A12EBE" w:rsidP="00A12EBE">
            <w:r>
              <w:t xml:space="preserve">As discussed in </w:t>
            </w:r>
            <w:r w:rsidRPr="00A12EBE">
              <w:t xml:space="preserve">section </w:t>
            </w:r>
            <w:r w:rsidRPr="00A12EBE">
              <w:fldChar w:fldCharType="begin"/>
            </w:r>
            <w:r w:rsidRPr="00A12EBE">
              <w:instrText xml:space="preserve"> REF _Ref446603900 \r \h </w:instrText>
            </w:r>
            <w:r w:rsidRPr="00A12EBE">
              <w:fldChar w:fldCharType="separate"/>
            </w:r>
            <w:r w:rsidR="000230CB">
              <w:t>H.2.1</w:t>
            </w:r>
            <w:r w:rsidRPr="00A12EBE">
              <w:fldChar w:fldCharType="end"/>
            </w:r>
            <w:r w:rsidRPr="00A12EBE">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A12EBE">
              <w:rPr>
                <w:rStyle w:val="FootnoteReference"/>
              </w:rPr>
              <w:footnoteReference w:id="1227"/>
            </w:r>
          </w:p>
          <w:p w:rsidR="00A12EBE" w:rsidRPr="00A12EBE" w:rsidRDefault="00A12EBE" w:rsidP="00A12EBE">
            <w:r>
              <w:t xml:space="preserve">We consider that </w:t>
            </w:r>
            <w:r w:rsidRPr="00A12EBE">
              <w:t>under ex-ante regulation, we are required to have regard to the desirability of reducing the risk of a mismatch (going forward).</w:t>
            </w:r>
            <w:r w:rsidRPr="00A12EBE">
              <w:rPr>
                <w:rStyle w:val="FootnoteReference"/>
              </w:rPr>
              <w:footnoteReference w:id="1228"/>
            </w:r>
            <w:r w:rsidRPr="00A12EBE">
              <w:t xml:space="preserve"> In contrast to what service providers suggest, we are not required to remove a mismatch that has eventuated (ex-post). Ex-post mismatch reflects the realisation of interest rate risk that has already occurred and cannot be hedged.</w:t>
            </w:r>
            <w:r w:rsidRPr="00A12EBE">
              <w:rPr>
                <w:rStyle w:val="FootnoteReference"/>
              </w:rPr>
              <w:footnoteReference w:id="1229"/>
            </w:r>
            <w:r w:rsidRPr="00A12EBE">
              <w:t xml:space="preserve"> The equity value of the service providers we regulate should already reflect the value of any losses (or gains) from interest rate movements.</w:t>
            </w:r>
            <w:r w:rsidRPr="00A12EBE">
              <w:rPr>
                <w:rStyle w:val="FootnoteReference"/>
              </w:rPr>
              <w:footnoteReference w:id="1230"/>
            </w:r>
          </w:p>
          <w:p w:rsidR="00A12EBE" w:rsidRPr="00A12EBE" w:rsidRDefault="00A12EBE" w:rsidP="00A12EBE">
            <w:r w:rsidRPr="006E1707">
              <w:t xml:space="preserve">We consider the desirability of reducing mismatch risk is only applicable to new debt. </w:t>
            </w:r>
            <w:r w:rsidRPr="00A12EBE">
              <w:t xml:space="preserve">All proposed approaches (immediate, hybrid and full transition) have 10 per cent of the allowed return on debt reset each year (see section </w:t>
            </w:r>
            <w:r w:rsidRPr="00A12EBE">
              <w:fldChar w:fldCharType="begin"/>
            </w:r>
            <w:r w:rsidRPr="00A12EBE">
              <w:instrText xml:space="preserve"> REF _Ref447886159 \r \h </w:instrText>
            </w:r>
            <w:r w:rsidRPr="00A12EBE">
              <w:fldChar w:fldCharType="separate"/>
            </w:r>
            <w:r w:rsidR="000230CB">
              <w:t>H.5.1</w:t>
            </w:r>
            <w:r w:rsidRPr="00A12EBE">
              <w:fldChar w:fldCharType="end"/>
            </w:r>
            <w:r w:rsidRPr="00A12EBE">
              <w:t>). Therefore, all proposed approaches should have the same exposure to future interest rate risk and result in the same level of genuine mismatch risk from changes in future interest rates.</w:t>
            </w:r>
          </w:p>
        </w:tc>
      </w:tr>
      <w:tr w:rsidR="00A12EBE" w:rsidTr="00CE146C">
        <w:tc>
          <w:tcPr>
            <w:tcW w:w="2802" w:type="dxa"/>
          </w:tcPr>
          <w:p w:rsidR="00A12EBE" w:rsidRPr="00A12EBE" w:rsidRDefault="00A12EBE" w:rsidP="00A12EBE">
            <w:r>
              <w:t>An immediate transition to a trailing average is consistent with outcomes in a workably competitive market because unregulated infrastructure businesses tend to hold staggered debt portfolios.</w:t>
            </w:r>
            <w:r w:rsidRPr="00A12EBE">
              <w:t xml:space="preserve"> That is, because the intent of legislation is to replicate a workably competitive market, an immediate transition is necessary to replicate the (ex-post) cost outcomes that one would expect absent regulation.</w:t>
            </w:r>
            <w:r w:rsidRPr="00A12EBE">
              <w:rPr>
                <w:rStyle w:val="FootnoteReference"/>
              </w:rPr>
              <w:footnoteReference w:id="1231"/>
            </w:r>
          </w:p>
        </w:tc>
        <w:tc>
          <w:tcPr>
            <w:tcW w:w="5891" w:type="dxa"/>
          </w:tcPr>
          <w:p w:rsidR="00A12EBE" w:rsidRPr="00A12EBE" w:rsidRDefault="00A12EBE" w:rsidP="00A12EBE">
            <w:r>
              <w:t>Given the</w:t>
            </w:r>
            <w:r w:rsidRPr="00A12EBE">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A12EBE">
              <w:fldChar w:fldCharType="begin"/>
            </w:r>
            <w:r w:rsidRPr="00A12EBE">
              <w:instrText xml:space="preserve"> REF _Ref445131744 \r \h </w:instrText>
            </w:r>
            <w:r w:rsidRPr="00A12EBE">
              <w:fldChar w:fldCharType="separate"/>
            </w:r>
            <w:r w:rsidR="000230CB">
              <w:t>H.3.1</w:t>
            </w:r>
            <w:r w:rsidRPr="00A12EBE">
              <w:fldChar w:fldCharType="end"/>
            </w:r>
            <w:r w:rsidRPr="00A12EBE">
              <w:t xml:space="preserve">). </w:t>
            </w:r>
          </w:p>
          <w:p w:rsidR="00A12EBE" w:rsidRPr="00A12EBE" w:rsidRDefault="00A12EBE" w:rsidP="00A12EBE">
            <w:r w:rsidRPr="00B71027">
              <w:t xml:space="preserve">Also, we consider </w:t>
            </w:r>
            <w:r w:rsidRPr="00A12EBE">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A12EBE" w:rsidTr="00CE146C">
        <w:trPr>
          <w:cnfStyle w:val="000000010000" w:firstRow="0" w:lastRow="0" w:firstColumn="0" w:lastColumn="0" w:oddVBand="0" w:evenVBand="0" w:oddHBand="0" w:evenHBand="1" w:firstRowFirstColumn="0" w:firstRowLastColumn="0" w:lastRowFirstColumn="0" w:lastRowLastColumn="0"/>
        </w:trPr>
        <w:tc>
          <w:tcPr>
            <w:tcW w:w="2802" w:type="dxa"/>
          </w:tcPr>
          <w:p w:rsidR="00A12EBE" w:rsidRPr="00A12EBE" w:rsidRDefault="00A12EBE" w:rsidP="00A12EBE">
            <w:r>
              <w:t>CEG advised that i</w:t>
            </w:r>
            <w:r w:rsidRPr="00A12EBE">
              <w:t>ncentives created by the on-the-day regime may not have resulted in efficient financing practices and may not be commensurate with 'efficient financing costs' referenced in the ARORO.</w:t>
            </w:r>
            <w:r w:rsidRPr="00A12EBE">
              <w:rPr>
                <w:rStyle w:val="FootnoteReference"/>
              </w:rPr>
              <w:footnoteReference w:id="1232"/>
            </w:r>
            <w:r w:rsidRPr="00A12EBE">
              <w:t xml:space="preserve"> </w:t>
            </w:r>
          </w:p>
          <w:p w:rsidR="00A12EBE" w:rsidRDefault="00A12EBE" w:rsidP="00A12EBE"/>
        </w:tc>
        <w:tc>
          <w:tcPr>
            <w:tcW w:w="5891" w:type="dxa"/>
          </w:tcPr>
          <w:p w:rsidR="00A12EBE" w:rsidRPr="00A12EBE" w:rsidRDefault="00A12EBE" w:rsidP="00A12EBE">
            <w:r w:rsidRPr="002E1E42">
              <w:t xml:space="preserve">We observe that CEG did not </w:t>
            </w:r>
            <w:r w:rsidRPr="00A12EBE">
              <w:t xml:space="preserve">indicate what it considered 'efficient financing costs' meant in the context of the ARORO. As explained in section </w:t>
            </w:r>
            <w:r w:rsidRPr="00A12EBE">
              <w:fldChar w:fldCharType="begin"/>
            </w:r>
            <w:r w:rsidRPr="00A12EBE">
              <w:instrText xml:space="preserve"> REF _Ref444778432 \r \h  \* MERGEFORMAT </w:instrText>
            </w:r>
            <w:r w:rsidRPr="00A12EBE">
              <w:fldChar w:fldCharType="separate"/>
            </w:r>
            <w:r w:rsidR="000230CB">
              <w:t>H.2</w:t>
            </w:r>
            <w:r w:rsidRPr="00A12EBE">
              <w:fldChar w:fldCharType="end"/>
            </w:r>
            <w:r w:rsidRPr="00A12EBE">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A12EBE" w:rsidTr="00CE146C">
        <w:tc>
          <w:tcPr>
            <w:tcW w:w="2802" w:type="dxa"/>
          </w:tcPr>
          <w:p w:rsidR="00A12EBE" w:rsidRPr="00A12EBE" w:rsidRDefault="00A12EBE" w:rsidP="00A12EBE">
            <w:r>
              <w:t xml:space="preserve">The AER should define a benchmark efficient entity as </w:t>
            </w:r>
            <w:r w:rsidRPr="00A12EBE">
              <w:t>unregulated rather than regulated.</w:t>
            </w:r>
            <w:r w:rsidRPr="00A12EBE">
              <w:rPr>
                <w:rStyle w:val="FootnoteReference"/>
              </w:rPr>
              <w:footnoteReference w:id="1233"/>
            </w:r>
          </w:p>
          <w:p w:rsidR="00A12EBE" w:rsidRPr="00A12EBE" w:rsidRDefault="00A12EBE" w:rsidP="00A12EBE">
            <w:r>
              <w:t xml:space="preserve">An unregulated benchmark efficient entity is consistent with the intent of the law to </w:t>
            </w:r>
            <w:r w:rsidRPr="00A12EBE">
              <w:t xml:space="preserve">replicate workably competitive market outcomes. </w:t>
            </w:r>
          </w:p>
        </w:tc>
        <w:tc>
          <w:tcPr>
            <w:tcW w:w="5891" w:type="dxa"/>
          </w:tcPr>
          <w:p w:rsidR="00A12EBE" w:rsidRPr="00A12EBE" w:rsidRDefault="00A12EBE" w:rsidP="00A12EBE">
            <w:r>
              <w:t>Section 3.3 of the rate of return attachment discusses why we consider that defining a benchmark efficient entity as regulated is required to give effect to the rules and the NEL/NGL.</w:t>
            </w:r>
          </w:p>
          <w:p w:rsidR="00A12EBE" w:rsidRPr="00A12EBE" w:rsidRDefault="00A12EBE" w:rsidP="00A12EBE">
            <w:r>
              <w:t>S</w:t>
            </w:r>
            <w:r w:rsidRPr="00A12EBE">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FE2924">
              <w:t>ting prices and service levels)</w:t>
            </w:r>
            <w:r w:rsidRPr="00A12EBE">
              <w:t>.</w:t>
            </w:r>
            <w:r w:rsidRPr="00A12EBE">
              <w:rPr>
                <w:rStyle w:val="FootnoteReference"/>
              </w:rPr>
              <w:footnoteReference w:id="1234"/>
            </w:r>
          </w:p>
          <w:p w:rsidR="00A12EBE" w:rsidRPr="00A12EBE" w:rsidRDefault="00A12EBE" w:rsidP="00A12EBE">
            <w:r>
              <w:t>We consider our approach preferable for achieving efficiency outcomes expected in a workably competitive market</w:t>
            </w:r>
            <w:r w:rsidRPr="00A12EBE">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A12EBE" w:rsidTr="00CE146C">
        <w:trPr>
          <w:cnfStyle w:val="000000010000" w:firstRow="0" w:lastRow="0" w:firstColumn="0" w:lastColumn="0" w:oddVBand="0" w:evenVBand="0" w:oddHBand="0" w:evenHBand="1" w:firstRowFirstColumn="0" w:firstRowLastColumn="0" w:lastRowFirstColumn="0" w:lastRowLastColumn="0"/>
        </w:trPr>
        <w:tc>
          <w:tcPr>
            <w:tcW w:w="2802" w:type="dxa"/>
          </w:tcPr>
          <w:p w:rsidR="00A12EBE" w:rsidRPr="00A12EBE" w:rsidRDefault="00A12EBE" w:rsidP="00A12EBE">
            <w:r w:rsidRPr="00327CCF">
              <w:t>Efficient financing costs are properly identified by reference to financing practices that would be adopted in workably competitive markets</w:t>
            </w:r>
            <w:r w:rsidRPr="00A12EBE">
              <w:t>.</w:t>
            </w:r>
            <w:r w:rsidRPr="00A12EBE">
              <w:rPr>
                <w:rStyle w:val="FootnoteReference"/>
              </w:rPr>
              <w:footnoteReference w:id="1235"/>
            </w:r>
          </w:p>
        </w:tc>
        <w:tc>
          <w:tcPr>
            <w:tcW w:w="5891" w:type="dxa"/>
          </w:tcPr>
          <w:p w:rsidR="00A12EBE" w:rsidRPr="00A12EBE" w:rsidRDefault="00A12EBE" w:rsidP="00A12EBE">
            <w:r w:rsidRPr="00327CCF">
              <w:t xml:space="preserve">We do not consider a benchmark efficient entity's </w:t>
            </w:r>
            <w:r w:rsidRPr="00A12EBE">
              <w:t xml:space="preserve">past financing practices determine its efficient financing costs (although we note we benchmark current gearing, credit rating  and debt term at issuance in determining a benchmark efficient entity's ex ante efficient allowed </w:t>
            </w:r>
            <w:r w:rsidR="0095169E" w:rsidRPr="00A12EBE">
              <w:t>return</w:t>
            </w:r>
            <w:r w:rsidRPr="00A12EBE">
              <w:t xml:space="preserve"> on debt). Rather, we consider achieving the ARORO requires a benchmark efficient entity be ex-ante appropriately compensated for its efficient financing costs in present value terms, where efficient financing costs are based on prevailing market rates (see section </w:t>
            </w:r>
            <w:r w:rsidRPr="00A12EBE">
              <w:fldChar w:fldCharType="begin"/>
            </w:r>
            <w:r w:rsidRPr="00A12EBE">
              <w:instrText xml:space="preserve"> REF _Ref446603900 \r \h </w:instrText>
            </w:r>
            <w:r w:rsidRPr="00A12EBE">
              <w:fldChar w:fldCharType="separate"/>
            </w:r>
            <w:r w:rsidR="000230CB">
              <w:t>H.2.1</w:t>
            </w:r>
            <w:r w:rsidRPr="00A12EBE">
              <w:fldChar w:fldCharType="end"/>
            </w:r>
            <w:r w:rsidRPr="00A12EBE">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A12EBE" w:rsidRPr="00A12EBE" w:rsidRDefault="00A12EBE" w:rsidP="00A12EBE">
            <w:r>
              <w:t xml:space="preserve">We note that Partington and Satchell also advise against </w:t>
            </w:r>
            <w:r w:rsidRPr="00A12EBE">
              <w:t>interpreting the efficient financing costs as relating to some assumed financing strategy. They state a number of reasons to support their view, including that what constitutes a benchmark efficient financing practice is ambiguous.</w:t>
            </w:r>
            <w:r w:rsidRPr="00A12EBE">
              <w:rPr>
                <w:rStyle w:val="FootnoteReference"/>
              </w:rPr>
              <w:footnoteReference w:id="1236"/>
            </w:r>
          </w:p>
        </w:tc>
      </w:tr>
    </w:tbl>
    <w:p w:rsidR="00A12EBE" w:rsidRPr="00032CB4" w:rsidRDefault="00A12EBE" w:rsidP="00A12EBE">
      <w:pPr>
        <w:pStyle w:val="AERtablesource"/>
      </w:pPr>
      <w:r>
        <w:t>Source:</w:t>
      </w:r>
      <w:r>
        <w:tab/>
        <w:t>AER analysis, service providers' revised proposals and supporting material.</w:t>
      </w:r>
    </w:p>
    <w:p w:rsidR="00A12EBE" w:rsidRPr="008B2981" w:rsidRDefault="00A12EBE" w:rsidP="00A12EBE">
      <w:pPr>
        <w:pStyle w:val="HeadingBoldBlue"/>
      </w:pPr>
      <w:r w:rsidRPr="008B2981">
        <w:t>Proposals for a hybrid approach based on</w:t>
      </w:r>
      <w:r>
        <w:t xml:space="preserve"> partial</w:t>
      </w:r>
      <w:r w:rsidRPr="008B2981">
        <w:t xml:space="preserve"> hedging </w:t>
      </w:r>
    </w:p>
    <w:p w:rsidR="00A12EBE" w:rsidRDefault="00A12EBE" w:rsidP="00A12EBE">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237"/>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238"/>
      </w:r>
    </w:p>
    <w:p w:rsidR="00A12EBE" w:rsidRDefault="00A12EBE" w:rsidP="00A12EBE">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rsidR="000230CB">
        <w:t xml:space="preserve">table </w:t>
      </w:r>
      <w:r w:rsidR="000230CB">
        <w:rPr>
          <w:noProof/>
        </w:rPr>
        <w:t>3</w:t>
      </w:r>
      <w:r w:rsidR="000230CB">
        <w:noBreakHyphen/>
      </w:r>
      <w:r w:rsidR="000230CB">
        <w:rPr>
          <w:noProof/>
        </w:rPr>
        <w:t>41</w:t>
      </w:r>
      <w:r>
        <w:fldChar w:fldCharType="end"/>
      </w:r>
      <w:r>
        <w:t xml:space="preserve"> above)</w:t>
      </w:r>
      <w:r w:rsidRPr="003F0287">
        <w:t>.</w:t>
      </w:r>
    </w:p>
    <w:p w:rsidR="00A12EBE" w:rsidRPr="003F0287" w:rsidRDefault="00A12EBE" w:rsidP="00A12EBE">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A12EBE" w:rsidRDefault="00A12EBE" w:rsidP="00A12EBE">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239"/>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240"/>
      </w:r>
      <w:r w:rsidRPr="003F0287">
        <w:t xml:space="preserve"> Recent annual reports</w:t>
      </w:r>
      <w:r>
        <w:t xml:space="preserve"> also</w:t>
      </w:r>
      <w:r w:rsidRPr="003F0287">
        <w:t xml:space="preserve"> show similar findings.</w:t>
      </w:r>
      <w:r w:rsidRPr="003F0287">
        <w:rPr>
          <w:rStyle w:val="FootnoteReference"/>
        </w:rPr>
        <w:footnoteReference w:id="1241"/>
      </w:r>
      <w:r w:rsidRPr="003F0287">
        <w:t xml:space="preserve"> </w:t>
      </w:r>
    </w:p>
    <w:p w:rsidR="00A12EBE" w:rsidRDefault="00A12EBE" w:rsidP="00A12EBE">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242"/>
      </w:r>
    </w:p>
    <w:p w:rsidR="00A12EBE" w:rsidRDefault="00A12EBE" w:rsidP="00A12EBE">
      <w:r>
        <w:t>Third, we responded to submissions supporting an optimal hedging ratio of less than one third (including CEG's June 2015 report) in our recent decisions, based on advice from Lally and Chairmont.</w:t>
      </w:r>
      <w:r>
        <w:rPr>
          <w:rStyle w:val="FootnoteReference"/>
        </w:rPr>
        <w:footnoteReference w:id="1243"/>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A12EBE" w:rsidRDefault="00A12EBE" w:rsidP="00A12EBE">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244"/>
      </w:r>
      <w:r>
        <w:t xml:space="preserve"> This is in line with CEG's advice (or references to Chairmont).</w:t>
      </w:r>
      <w:r>
        <w:rPr>
          <w:rStyle w:val="FootnoteReference"/>
        </w:rPr>
        <w:footnoteReference w:id="1245"/>
      </w:r>
      <w:r>
        <w:t xml:space="preserve"> We note that service providers request this allowance if we apply a hybrid transition to a trailing average.</w:t>
      </w:r>
      <w:r>
        <w:rPr>
          <w:rStyle w:val="FootnoteReference"/>
        </w:rPr>
        <w:footnoteReference w:id="1246"/>
      </w:r>
      <w:r>
        <w:t xml:space="preserve"> We maintain our view from our recent decisions.</w:t>
      </w:r>
      <w:r>
        <w:rPr>
          <w:rStyle w:val="FootnoteReference"/>
        </w:rPr>
        <w:footnoteReference w:id="1247"/>
      </w:r>
      <w:r>
        <w:t xml:space="preserve"> That is:</w:t>
      </w:r>
    </w:p>
    <w:p w:rsidR="00A12EBE" w:rsidRPr="00BB7CBA" w:rsidRDefault="00A12EBE" w:rsidP="00A12EBE">
      <w:pPr>
        <w:pStyle w:val="AERbulletlistfirststyle"/>
      </w:pPr>
      <w:r>
        <w:t xml:space="preserve">We </w:t>
      </w:r>
      <w:r w:rsidRPr="00BB7CBA">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BB7CBA">
        <w:rPr>
          <w:rStyle w:val="FootnoteReference"/>
        </w:rPr>
        <w:footnoteReference w:id="1248"/>
      </w:r>
      <w:r w:rsidRPr="00BB7CBA">
        <w:t xml:space="preserve"> We disagree. We consider a rate of return that meets the ARORO must provide for ex-ante efficient compensation (see section </w:t>
      </w:r>
      <w:r w:rsidRPr="00BB7CBA">
        <w:fldChar w:fldCharType="begin"/>
      </w:r>
      <w:r w:rsidRPr="00BB7CBA">
        <w:instrText xml:space="preserve"> REF _Ref444778432 \r \h </w:instrText>
      </w:r>
      <w:r w:rsidRPr="00BB7CBA">
        <w:fldChar w:fldCharType="separate"/>
      </w:r>
      <w:r w:rsidR="000230CB">
        <w:t>H.2</w:t>
      </w:r>
      <w:r w:rsidRPr="00BB7CBA">
        <w:fldChar w:fldCharType="end"/>
      </w:r>
      <w:r w:rsidRPr="00BB7CBA">
        <w:t>), and this view does not invalidate our reference to the NERA report.</w:t>
      </w:r>
    </w:p>
    <w:p w:rsidR="00A12EBE" w:rsidRPr="00BB7CBA" w:rsidRDefault="00A12EBE" w:rsidP="00A12EBE">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BB7CBA">
        <w:t xml:space="preserve"> hedge when the benefits outweigh the costs, stating that this 'suggests the costs are covered by the value enhancement that results'.</w:t>
      </w:r>
      <w:r w:rsidRPr="00BB7CBA">
        <w:rPr>
          <w:rStyle w:val="FootnoteReference"/>
        </w:rPr>
        <w:footnoteReference w:id="1249"/>
      </w:r>
    </w:p>
    <w:p w:rsidR="0091587C" w:rsidRPr="0091587C" w:rsidRDefault="00A12EBE" w:rsidP="00A12EBE">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250"/>
      </w:r>
      <w:r>
        <w:t xml:space="preserve"> Therefore, even if we are incorrect in assuming hedging costs do not need compensation, we have effectively provided an allowance for these costs by using a ten year term on the base rate</w:t>
      </w:r>
      <w:r w:rsidR="0091587C">
        <w:t>.</w:t>
      </w:r>
    </w:p>
    <w:p w:rsidR="00D673C6" w:rsidRDefault="00D673C6" w:rsidP="00D673C6"/>
    <w:p w:rsidR="00D673C6" w:rsidRDefault="00D673C6" w:rsidP="00D673C6">
      <w:pPr>
        <w:pStyle w:val="Heading7"/>
      </w:pPr>
      <w:bookmarkStart w:id="282" w:name="_Ref451328704"/>
      <w:bookmarkStart w:id="283" w:name="_Ref451328952"/>
      <w:bookmarkStart w:id="284" w:name="_Ref451334872"/>
      <w:bookmarkStart w:id="285" w:name="_Toc451943822"/>
      <w:r>
        <w:t>Return on debt implementation</w:t>
      </w:r>
      <w:bookmarkEnd w:id="282"/>
      <w:bookmarkEnd w:id="283"/>
      <w:bookmarkEnd w:id="284"/>
      <w:bookmarkEnd w:id="285"/>
    </w:p>
    <w:p w:rsidR="00AA1057" w:rsidRDefault="00AA1057" w:rsidP="00AA1057">
      <w:r>
        <w:t>This section sets out our detailed analysis of the key issues raised by stakeholders relating to the implementation of the return on debt approach. The analysis is set out in the following sections:</w:t>
      </w:r>
    </w:p>
    <w:p w:rsidR="00AA1057" w:rsidRPr="00AA1057" w:rsidRDefault="00AA1057" w:rsidP="00AA1057">
      <w:pPr>
        <w:pStyle w:val="AERbulletlistfirststyle"/>
      </w:pPr>
      <w:r>
        <w:t>the Thomson Reuters curve</w:t>
      </w:r>
    </w:p>
    <w:p w:rsidR="00AA1057" w:rsidRPr="00AA1057" w:rsidRDefault="00AA1057" w:rsidP="00AA1057">
      <w:pPr>
        <w:pStyle w:val="AERbulletlistfirststyle"/>
      </w:pPr>
      <w:r>
        <w:t>new criticisms of the BVAL curve</w:t>
      </w:r>
    </w:p>
    <w:p w:rsidR="00AA1057" w:rsidRDefault="00AA1057" w:rsidP="00AA1057">
      <w:pPr>
        <w:pStyle w:val="AERbulletlistsecondstyle"/>
      </w:pPr>
      <w:r>
        <w:t>comparative movement of yield estimates</w:t>
      </w:r>
    </w:p>
    <w:p w:rsidR="00AA1057" w:rsidRDefault="00AA1057" w:rsidP="00AA1057">
      <w:pPr>
        <w:pStyle w:val="AERbulletlistsecondstyle"/>
      </w:pPr>
      <w:r>
        <w:t>the Asciano bond</w:t>
      </w:r>
    </w:p>
    <w:p w:rsidR="00AA1057" w:rsidRDefault="00AA1057" w:rsidP="00AA1057">
      <w:pPr>
        <w:pStyle w:val="AERbulletlistsecondstyle"/>
      </w:pPr>
      <w:r>
        <w:t>CEG's analysis of sample size</w:t>
      </w:r>
    </w:p>
    <w:p w:rsidR="00AA1057" w:rsidRPr="00A47C51" w:rsidRDefault="00AA1057" w:rsidP="00AA1057">
      <w:pPr>
        <w:pStyle w:val="AERbulletlistsecondstyle"/>
      </w:pPr>
      <w:r>
        <w:t>CEG's analysis of foreign bonds</w:t>
      </w:r>
    </w:p>
    <w:p w:rsidR="00AA1057" w:rsidRPr="00AA1057" w:rsidRDefault="00AA1057" w:rsidP="00AA1057">
      <w:pPr>
        <w:pStyle w:val="AERbulletlistfirststyle"/>
      </w:pPr>
      <w:r>
        <w:t>other issues</w:t>
      </w:r>
    </w:p>
    <w:p w:rsidR="00AA1057" w:rsidRDefault="00AA1057" w:rsidP="00AA1057">
      <w:pPr>
        <w:pStyle w:val="AERbulletlistsecondstyle"/>
      </w:pPr>
      <w:r>
        <w:t>CEG's new criteria and weightings</w:t>
      </w:r>
    </w:p>
    <w:p w:rsidR="00AA1057" w:rsidRDefault="00AA1057" w:rsidP="00AA1057">
      <w:pPr>
        <w:pStyle w:val="AERbulletlistsecondstyle"/>
      </w:pPr>
      <w:r>
        <w:t>analy</w:t>
      </w:r>
      <w:r w:rsidR="008638C7">
        <w:t>sis of mean squared error (MSE)</w:t>
      </w:r>
    </w:p>
    <w:p w:rsidR="008638C7" w:rsidRDefault="008638C7" w:rsidP="00AA1057">
      <w:pPr>
        <w:pStyle w:val="AERbulletlistfirststyle"/>
      </w:pPr>
      <w:r>
        <w:t>the new issue premium, and</w:t>
      </w:r>
    </w:p>
    <w:p w:rsidR="00AA1057" w:rsidRPr="00AA1057" w:rsidRDefault="008638C7" w:rsidP="00AA1057">
      <w:pPr>
        <w:pStyle w:val="AERbulletlistfirststyle"/>
      </w:pPr>
      <w:r>
        <w:t>a</w:t>
      </w:r>
      <w:r w:rsidR="00AA1057" w:rsidRPr="00AA1057">
        <w:t>veraging periods</w:t>
      </w:r>
      <w:r>
        <w:t>.</w:t>
      </w:r>
    </w:p>
    <w:p w:rsidR="004E4474" w:rsidRPr="004E4474" w:rsidRDefault="004E4474" w:rsidP="004E4474">
      <w:r w:rsidRPr="004E4474">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4E4474" w:rsidRPr="004E4474" w:rsidRDefault="004E4474" w:rsidP="004E4474">
      <w:r w:rsidRPr="004E4474">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4E4474" w:rsidRPr="004E4474" w:rsidRDefault="004E4474" w:rsidP="00DB4FCE">
      <w:pPr>
        <w:pStyle w:val="Heading8"/>
        <w:keepNext/>
        <w:numPr>
          <w:ilvl w:val="1"/>
          <w:numId w:val="34"/>
        </w:numPr>
      </w:pPr>
      <w:bookmarkStart w:id="286" w:name="_Toc449624775"/>
      <w:bookmarkStart w:id="287" w:name="_Toc451943823"/>
      <w:r w:rsidRPr="004E4474">
        <w:t>The Thomson Reuters curve</w:t>
      </w:r>
      <w:bookmarkEnd w:id="286"/>
      <w:bookmarkEnd w:id="287"/>
    </w:p>
    <w:p w:rsidR="004E4474" w:rsidRPr="004E4474" w:rsidRDefault="004E4474" w:rsidP="00DB4FCE">
      <w:pPr>
        <w:keepNext/>
      </w:pPr>
      <w:r w:rsidRPr="004E4474">
        <w:t>Our final decision is not to adopt the Thomson Reuters Curve for the following reasons:</w:t>
      </w:r>
    </w:p>
    <w:p w:rsidR="004E4474" w:rsidRPr="004E4474" w:rsidRDefault="004E4474" w:rsidP="00DB4FCE">
      <w:pPr>
        <w:pStyle w:val="AERbulletlistfirststyle"/>
        <w:keepNext/>
      </w:pPr>
      <w:r w:rsidRPr="004E4474">
        <w:t>The Thomson Reuters curve was proposed for the first time in this revised proposal. This results in two distinct problems:</w:t>
      </w:r>
    </w:p>
    <w:p w:rsidR="004E4474" w:rsidRPr="004E4474" w:rsidRDefault="004E4474" w:rsidP="004E4474">
      <w:pPr>
        <w:pStyle w:val="AERbulletlistsecondstyle"/>
      </w:pPr>
      <w:r w:rsidRPr="004E4474">
        <w:t>we have insufficient time to properly assess and consult on the Reuters curve. We discuss this in attachment 3.</w:t>
      </w:r>
    </w:p>
    <w:p w:rsidR="004E4474" w:rsidRPr="004E4474" w:rsidRDefault="004E4474" w:rsidP="004E4474">
      <w:pPr>
        <w:pStyle w:val="AERbulletlistsecondstyle"/>
      </w:pPr>
      <w:r w:rsidRPr="004E4474">
        <w:t>at the time the service providers departed from their initial proposals, their averaging periods had either elapsed, were underway, or were about to commence. We are therefore not satisfied that the proposal is unbiased.</w:t>
      </w:r>
    </w:p>
    <w:p w:rsidR="004E4474" w:rsidRPr="004E4474" w:rsidRDefault="004E4474" w:rsidP="004E4474">
      <w:pPr>
        <w:pStyle w:val="AERbulletlistfirststyle"/>
      </w:pPr>
      <w:r w:rsidRPr="004E4474">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4E4474" w:rsidRPr="004E4474" w:rsidRDefault="004E4474" w:rsidP="004E4474">
      <w:r w:rsidRPr="004E4474">
        <w:t xml:space="preserve">Nonetheless, we are open to further consideration of the Thomson Reuters curve in future determinations following a proper period of consultation. </w:t>
      </w:r>
    </w:p>
    <w:p w:rsidR="004E4474" w:rsidRPr="004E4474" w:rsidRDefault="004E4474" w:rsidP="004E4474">
      <w:pPr>
        <w:pStyle w:val="Heading9"/>
      </w:pPr>
      <w:bookmarkStart w:id="288" w:name="_Toc449624776"/>
      <w:r w:rsidRPr="004E4474">
        <w:t>Timing of proposal</w:t>
      </w:r>
      <w:bookmarkEnd w:id="288"/>
    </w:p>
    <w:p w:rsidR="004E4474" w:rsidRPr="004E4474" w:rsidRDefault="004E4474" w:rsidP="004E4474">
      <w:r w:rsidRPr="004E4474">
        <w:t>The Thomson Reuters curve was submitted for consideration for the first time in the revised proposals. This left minimal time to run a robust process of analysis and consultation on the Thomson Reuters curve prior to publication of the final decisions. The process of assessing the Bloomberg and RBA curves took several stages of consultation between April 2014 until their use in a final decision in April 2015.</w:t>
      </w:r>
      <w:r w:rsidRPr="004E4474">
        <w:rPr>
          <w:rStyle w:val="FootnoteReference"/>
        </w:rPr>
        <w:footnoteReference w:id="1251"/>
      </w:r>
      <w:r w:rsidRPr="004E4474">
        <w:t xml:space="preserve"> This multi-stage process allowed detailed analysis from third party experts, as well as submissions from all affected stakeholders. In contrast, the service providers' proposal to adopt the Reuters curve allows significantly less time for analysis and consultation.</w:t>
      </w:r>
      <w:r w:rsidRPr="004E4474">
        <w:rPr>
          <w:rStyle w:val="FootnoteReference"/>
        </w:rPr>
        <w:footnoteReference w:id="1252"/>
      </w:r>
      <w:r w:rsidRPr="004E4474">
        <w:t xml:space="preserve"> Due to the uncertainty involved in ‘locking in’ a curve to generate estimates annually over the 5 year regulatory period, this consultation and analysis is critical in satisfying ourselves that the approach will achieve the rate of return objective. This notwithstanding, we have corresponded with Thompson Reuters and have assessed the curve to the fullest extent possible.</w:t>
      </w:r>
    </w:p>
    <w:p w:rsidR="004E4474" w:rsidRPr="004E4474" w:rsidRDefault="004E4474" w:rsidP="004E4474">
      <w:r w:rsidRPr="004E4474">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4E4474" w:rsidRDefault="004E4474" w:rsidP="004E4474">
      <w:r w:rsidRPr="004E4474">
        <w:t xml:space="preserve">In their initial proposals, all of the Victorian distribution service providers proposed to adopt a combination of the RBA and BVAL curves in some form.  For the service providers now proposing to include the Thomson Reuters curve in estimates, </w:t>
      </w:r>
      <w:r w:rsidR="00577226">
        <w:fldChar w:fldCharType="begin"/>
      </w:r>
      <w:r w:rsidR="00577226">
        <w:instrText xml:space="preserve"> REF _Ref451513915 \h </w:instrText>
      </w:r>
      <w:r w:rsidR="00577226">
        <w:fldChar w:fldCharType="separate"/>
      </w:r>
      <w:r w:rsidR="000230CB">
        <w:t xml:space="preserve">Figure </w:t>
      </w:r>
      <w:r w:rsidR="000230CB">
        <w:rPr>
          <w:noProof/>
        </w:rPr>
        <w:t>3</w:t>
      </w:r>
      <w:r w:rsidR="000230CB">
        <w:noBreakHyphen/>
      </w:r>
      <w:r w:rsidR="000230CB">
        <w:rPr>
          <w:noProof/>
        </w:rPr>
        <w:t>19</w:t>
      </w:r>
      <w:r w:rsidR="00577226">
        <w:fldChar w:fldCharType="end"/>
      </w:r>
      <w:r w:rsidRPr="004E4474">
        <w:t xml:space="preserve"> illustrates the timing of proposals and averaging periods compared to the results produced by the curve options. </w:t>
      </w:r>
    </w:p>
    <w:p w:rsidR="00577226" w:rsidRPr="004E4474" w:rsidRDefault="00577226" w:rsidP="00577226">
      <w:pPr>
        <w:pStyle w:val="Caption"/>
      </w:pPr>
      <w:bookmarkStart w:id="289" w:name="_Ref451513915"/>
      <w:r>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19</w:t>
      </w:r>
      <w:r w:rsidR="00527450">
        <w:rPr>
          <w:noProof/>
        </w:rPr>
        <w:fldChar w:fldCharType="end"/>
      </w:r>
      <w:bookmarkEnd w:id="289"/>
      <w:r>
        <w:tab/>
      </w:r>
      <w:r>
        <w:tab/>
      </w:r>
      <w:r w:rsidRPr="00577226">
        <w:t>Thomson Reuters compared to the AER's approach</w:t>
      </w:r>
    </w:p>
    <w:p w:rsidR="004E4474" w:rsidRPr="004E4474" w:rsidRDefault="004E4474" w:rsidP="004E4474">
      <w:r w:rsidRPr="004E4474">
        <w:rPr>
          <w:noProof/>
          <w:lang w:eastAsia="en-AU"/>
        </w:rPr>
        <w:drawing>
          <wp:inline distT="0" distB="0" distL="0" distR="0" wp14:anchorId="5F77E81E" wp14:editId="1610C05C">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4E4474" w:rsidRPr="004E4474" w:rsidRDefault="004E4474" w:rsidP="004E4474">
      <w:pPr>
        <w:pStyle w:val="AERtablesource"/>
      </w:pPr>
      <w:r w:rsidRPr="004E4474">
        <w:t>Source:</w:t>
      </w:r>
      <w:r w:rsidRPr="004E4474">
        <w:tab/>
        <w:t>CEG, AER analysis</w:t>
      </w:r>
    </w:p>
    <w:p w:rsidR="004E4474" w:rsidRPr="004E4474" w:rsidRDefault="004E4474" w:rsidP="004E4474">
      <w:pPr>
        <w:pStyle w:val="AERtablesource"/>
      </w:pPr>
      <w:r w:rsidRPr="004E4474">
        <w:t>Note:</w:t>
      </w:r>
      <w:r w:rsidRPr="004E4474">
        <w:tab/>
        <w:t>The vertical line indicates the date on which revised proposals were submitted.</w:t>
      </w:r>
    </w:p>
    <w:p w:rsidR="004E4474" w:rsidRPr="004E4474" w:rsidRDefault="004E4474" w:rsidP="004E4474">
      <w:r w:rsidRPr="004E4474">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4E4474" w:rsidRPr="004E4474" w:rsidRDefault="004E4474" w:rsidP="004E4474">
      <w:r w:rsidRPr="004E4474">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sidRPr="004E4474">
        <w:rPr>
          <w:rStyle w:val="FootnoteReference"/>
        </w:rPr>
        <w:footnoteReference w:id="1253"/>
      </w:r>
    </w:p>
    <w:p w:rsidR="004E4474" w:rsidRPr="004E4474" w:rsidRDefault="004E4474" w:rsidP="004E4474">
      <w:r w:rsidRPr="004E4474">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4E4474" w:rsidRPr="004E4474" w:rsidRDefault="004E4474" w:rsidP="004E4474">
      <w:pPr>
        <w:pStyle w:val="Heading9"/>
      </w:pPr>
      <w:bookmarkStart w:id="290" w:name="_Toc449624777"/>
      <w:r w:rsidRPr="004E4474">
        <w:t>Limited assessment of the Thomson Reuters curve</w:t>
      </w:r>
      <w:bookmarkEnd w:id="290"/>
    </w:p>
    <w:p w:rsidR="004E4474" w:rsidRPr="004E4474" w:rsidRDefault="004E4474" w:rsidP="004E4474">
      <w:r w:rsidRPr="004E4474">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4E4474" w:rsidRPr="004E4474" w:rsidRDefault="004E4474" w:rsidP="004E4474">
      <w:pPr>
        <w:pStyle w:val="AERbulletlistfirststyle"/>
      </w:pPr>
      <w:r w:rsidRPr="004E4474">
        <w:t>comparison of yield curve characteristics</w:t>
      </w:r>
    </w:p>
    <w:p w:rsidR="004E4474" w:rsidRPr="004E4474" w:rsidRDefault="004E4474" w:rsidP="004E4474">
      <w:pPr>
        <w:pStyle w:val="AERbulletlistfirststyle"/>
      </w:pPr>
      <w:r w:rsidRPr="004E4474">
        <w:t>comparison of outcomes</w:t>
      </w:r>
    </w:p>
    <w:p w:rsidR="004E4474" w:rsidRPr="004E4474" w:rsidRDefault="004E4474" w:rsidP="004E4474">
      <w:pPr>
        <w:pStyle w:val="HeadingBoldBlue"/>
      </w:pPr>
      <w:r w:rsidRPr="004E4474">
        <w:t>Comparison of yield curve characteristics</w:t>
      </w:r>
    </w:p>
    <w:p w:rsidR="00A050AF" w:rsidRPr="00A050AF" w:rsidRDefault="00A050AF" w:rsidP="00A050AF">
      <w:r w:rsidRPr="00A050AF">
        <w:t>To assist in our assessment of the Thomson Reuters curve, we sought further information from Thomson Reuters,</w:t>
      </w:r>
      <w:r w:rsidRPr="00A050AF">
        <w:rPr>
          <w:rStyle w:val="FootnoteReference"/>
        </w:rPr>
        <w:footnoteReference w:id="1254"/>
      </w:r>
      <w:r w:rsidRPr="00A050AF">
        <w:t xml:space="preserve"> and from CEG.</w:t>
      </w:r>
      <w:r w:rsidRPr="00A050AF">
        <w:rPr>
          <w:rStyle w:val="FootnoteReference"/>
        </w:rPr>
        <w:footnoteReference w:id="1255"/>
      </w:r>
      <w:r w:rsidRPr="00A050AF">
        <w:t xml:space="preserve"> Thomson Reuters advised that some data filtering aspects of the bond selection criteria are discretionary and therefore proprietary. However, they indicated that:</w:t>
      </w:r>
    </w:p>
    <w:p w:rsidR="004E4474" w:rsidRPr="004E4474" w:rsidRDefault="004E4474" w:rsidP="004E4474">
      <w:pPr>
        <w:pStyle w:val="AERbulletlistfirststyle"/>
      </w:pPr>
      <w:r w:rsidRPr="004E4474">
        <w:t>the curve fitting methodology is a 'basis spline' model</w:t>
      </w:r>
      <w:r w:rsidR="00A050AF">
        <w:t>.</w:t>
      </w:r>
    </w:p>
    <w:p w:rsidR="004E4474" w:rsidRPr="004E4474" w:rsidRDefault="004E4474" w:rsidP="004E4474">
      <w:pPr>
        <w:pStyle w:val="AERbulletlistfirststyle"/>
      </w:pPr>
      <w:r w:rsidRPr="004E4474">
        <w:t>the bond selection criteria includes the following characteristics:</w:t>
      </w:r>
    </w:p>
    <w:p w:rsidR="004E4474" w:rsidRPr="004E4474" w:rsidRDefault="004E4474" w:rsidP="004E4474">
      <w:pPr>
        <w:pStyle w:val="AERbulletlistsecondstyle"/>
      </w:pPr>
      <w:r w:rsidRPr="004E4474">
        <w:t>only fixed-rate (ie no floating) senior unsecured bonds</w:t>
      </w:r>
    </w:p>
    <w:p w:rsidR="004E4474" w:rsidRPr="004E4474" w:rsidRDefault="004E4474" w:rsidP="004E4474">
      <w:pPr>
        <w:pStyle w:val="AERbulletlistsecondstyle"/>
      </w:pPr>
      <w:r w:rsidRPr="004E4474">
        <w:t>no bonds with embedded options</w:t>
      </w:r>
    </w:p>
    <w:p w:rsidR="004E4474" w:rsidRPr="004E4474" w:rsidRDefault="004E4474" w:rsidP="004E4474">
      <w:pPr>
        <w:pStyle w:val="AERbulletlistsecondstyle"/>
      </w:pPr>
      <w:r w:rsidRPr="004E4474">
        <w:t>Thomson Reuters specifically avoids including bonds issued in other markets because it requires strong assumptions to generate meaningful comparative pricing data.</w:t>
      </w:r>
    </w:p>
    <w:p w:rsidR="004E4474" w:rsidRPr="004E4474" w:rsidRDefault="004E4474" w:rsidP="004E4474">
      <w:pPr>
        <w:pStyle w:val="AERbulletlistsecondstyle"/>
      </w:pPr>
      <w:r w:rsidRPr="004E4474">
        <w:t>Thomson Reuters removes outliers from the bond universe based on a fairly straightforward standard deviation style filter in comparison to the universe of bonds in term/rating ‘buckets’.</w:t>
      </w:r>
    </w:p>
    <w:p w:rsidR="004E4474" w:rsidRPr="004E4474" w:rsidRDefault="004E4474" w:rsidP="004E4474">
      <w:pPr>
        <w:pStyle w:val="AERbulletlistsecondstyle"/>
      </w:pPr>
      <w:r w:rsidRPr="004E4474">
        <w:fldChar w:fldCharType="begin"/>
      </w:r>
      <w:r w:rsidRPr="004E4474">
        <w:instrText xml:space="preserve"> REF _Ref450900503 \h </w:instrText>
      </w:r>
      <w:r w:rsidRPr="004E4474">
        <w:fldChar w:fldCharType="separate"/>
      </w:r>
      <w:r w:rsidR="000230CB" w:rsidRPr="004E4474">
        <w:t xml:space="preserve">Table </w:t>
      </w:r>
      <w:r w:rsidR="000230CB">
        <w:rPr>
          <w:noProof/>
        </w:rPr>
        <w:t>3</w:t>
      </w:r>
      <w:r w:rsidR="000230CB">
        <w:noBreakHyphen/>
      </w:r>
      <w:r w:rsidR="000230CB">
        <w:rPr>
          <w:noProof/>
        </w:rPr>
        <w:t>42</w:t>
      </w:r>
      <w:r w:rsidRPr="004E4474">
        <w:fldChar w:fldCharType="end"/>
      </w:r>
      <w:r w:rsidRPr="004E4474">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4E4474" w:rsidRPr="004E4474" w:rsidRDefault="004E4474" w:rsidP="004E4474">
      <w:pPr>
        <w:pStyle w:val="Caption"/>
      </w:pPr>
      <w:bookmarkStart w:id="291" w:name="_Ref450900503"/>
      <w:r w:rsidRPr="004E4474">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42</w:t>
      </w:r>
      <w:r w:rsidR="00527450">
        <w:rPr>
          <w:noProof/>
        </w:rPr>
        <w:fldChar w:fldCharType="end"/>
      </w:r>
      <w:bookmarkEnd w:id="291"/>
      <w:r w:rsidRPr="004E4474">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4E4474" w:rsidTr="007E6AB8">
        <w:trPr>
          <w:cnfStyle w:val="100000000000" w:firstRow="1" w:lastRow="0" w:firstColumn="0" w:lastColumn="0" w:oddVBand="0" w:evenVBand="0" w:oddHBand="0" w:evenHBand="0" w:firstRowFirstColumn="0" w:firstRowLastColumn="0" w:lastRowFirstColumn="0" w:lastRowLastColumn="0"/>
        </w:trPr>
        <w:tc>
          <w:tcPr>
            <w:tcW w:w="2173" w:type="dxa"/>
          </w:tcPr>
          <w:p w:rsidR="004E4474" w:rsidRPr="004E4474" w:rsidRDefault="004E4474" w:rsidP="004E4474">
            <w:r w:rsidRPr="004E4474">
              <w:t>Criteria</w:t>
            </w:r>
          </w:p>
        </w:tc>
        <w:tc>
          <w:tcPr>
            <w:tcW w:w="2173" w:type="dxa"/>
          </w:tcPr>
          <w:p w:rsidR="004E4474" w:rsidRPr="004E4474" w:rsidRDefault="004E4474" w:rsidP="004E4474">
            <w:r w:rsidRPr="004E4474">
              <w:t>RBA</w:t>
            </w:r>
          </w:p>
        </w:tc>
        <w:tc>
          <w:tcPr>
            <w:tcW w:w="2173" w:type="dxa"/>
          </w:tcPr>
          <w:p w:rsidR="004E4474" w:rsidRPr="004E4474" w:rsidRDefault="004E4474" w:rsidP="004E4474">
            <w:r w:rsidRPr="004E4474">
              <w:t>BVAL</w:t>
            </w:r>
          </w:p>
        </w:tc>
        <w:tc>
          <w:tcPr>
            <w:tcW w:w="2174" w:type="dxa"/>
          </w:tcPr>
          <w:p w:rsidR="004E4474" w:rsidRPr="004E4474" w:rsidRDefault="004E4474" w:rsidP="004E4474">
            <w:r w:rsidRPr="004E4474">
              <w:t>Thomson Reuters</w:t>
            </w:r>
          </w:p>
        </w:tc>
      </w:tr>
      <w:tr w:rsidR="004E4474" w:rsidTr="007E6AB8">
        <w:tc>
          <w:tcPr>
            <w:tcW w:w="2173" w:type="dxa"/>
          </w:tcPr>
          <w:p w:rsidR="004E4474" w:rsidRPr="004E4474" w:rsidRDefault="004E4474" w:rsidP="004E4474">
            <w:r w:rsidRPr="004E4474">
              <w:t>Size of issue/quality of pricing data</w:t>
            </w:r>
          </w:p>
        </w:tc>
        <w:tc>
          <w:tcPr>
            <w:tcW w:w="2173" w:type="dxa"/>
          </w:tcPr>
          <w:p w:rsidR="004E4474" w:rsidRPr="004E4474" w:rsidRDefault="004E4474" w:rsidP="004E4474">
            <w:r w:rsidRPr="004E4474">
              <w:t>At least A$100 million (or equivalent) and at least one year remaining term to maturity</w:t>
            </w:r>
          </w:p>
        </w:tc>
        <w:tc>
          <w:tcPr>
            <w:tcW w:w="2173" w:type="dxa"/>
          </w:tcPr>
          <w:p w:rsidR="004E4474" w:rsidRPr="004E4474" w:rsidRDefault="004E4474" w:rsidP="004E4474">
            <w:r w:rsidRPr="004E4474">
              <w:t>BVAL score of 6 or higher , and at least two months remaining term to maturity</w:t>
            </w:r>
          </w:p>
        </w:tc>
        <w:tc>
          <w:tcPr>
            <w:tcW w:w="2174" w:type="dxa"/>
          </w:tcPr>
          <w:p w:rsidR="004E4474" w:rsidRPr="004E4474" w:rsidRDefault="004E4474" w:rsidP="004E4474">
            <w:r w:rsidRPr="004E4474">
              <w:t xml:space="preserve">Simple outlier-style filter, in addition to other discretionary filtering. </w:t>
            </w:r>
          </w:p>
        </w:tc>
      </w:tr>
      <w:tr w:rsidR="004E4474" w:rsidTr="007E6AB8">
        <w:trPr>
          <w:cnfStyle w:val="000000010000" w:firstRow="0" w:lastRow="0" w:firstColumn="0" w:lastColumn="0" w:oddVBand="0" w:evenVBand="0" w:oddHBand="0" w:evenHBand="1" w:firstRowFirstColumn="0" w:firstRowLastColumn="0" w:lastRowFirstColumn="0" w:lastRowLastColumn="0"/>
        </w:trPr>
        <w:tc>
          <w:tcPr>
            <w:tcW w:w="2173" w:type="dxa"/>
          </w:tcPr>
          <w:p w:rsidR="004E4474" w:rsidRPr="004E4474" w:rsidRDefault="004E4474" w:rsidP="004E4474">
            <w:r w:rsidRPr="004E4474">
              <w:t>Secured/unsecured</w:t>
            </w:r>
          </w:p>
        </w:tc>
        <w:tc>
          <w:tcPr>
            <w:tcW w:w="2173" w:type="dxa"/>
          </w:tcPr>
          <w:p w:rsidR="004E4474" w:rsidRPr="004E4474" w:rsidRDefault="004E4474" w:rsidP="004E4474">
            <w:r w:rsidRPr="004E4474">
              <w:t>Both secured and unsecured bonds</w:t>
            </w:r>
          </w:p>
        </w:tc>
        <w:tc>
          <w:tcPr>
            <w:tcW w:w="2173" w:type="dxa"/>
          </w:tcPr>
          <w:p w:rsidR="004E4474" w:rsidRPr="004E4474" w:rsidRDefault="004E4474" w:rsidP="004E4474">
            <w:r w:rsidRPr="004E4474">
              <w:t>Unsecured senior bonds only</w:t>
            </w:r>
          </w:p>
        </w:tc>
        <w:tc>
          <w:tcPr>
            <w:tcW w:w="2174" w:type="dxa"/>
          </w:tcPr>
          <w:p w:rsidR="004E4474" w:rsidRPr="004E4474" w:rsidRDefault="004E4474" w:rsidP="004E4474">
            <w:r w:rsidRPr="004E4474">
              <w:t>Unsecured senior bonds only</w:t>
            </w:r>
          </w:p>
        </w:tc>
      </w:tr>
      <w:tr w:rsidR="004E4474" w:rsidTr="007E6AB8">
        <w:tc>
          <w:tcPr>
            <w:tcW w:w="2173" w:type="dxa"/>
          </w:tcPr>
          <w:p w:rsidR="004E4474" w:rsidRPr="004E4474" w:rsidRDefault="004E4474" w:rsidP="004E4474">
            <w:r w:rsidRPr="004E4474">
              <w:t>Embedded options</w:t>
            </w:r>
          </w:p>
        </w:tc>
        <w:tc>
          <w:tcPr>
            <w:tcW w:w="2173" w:type="dxa"/>
          </w:tcPr>
          <w:p w:rsidR="004E4474" w:rsidRPr="004E4474" w:rsidRDefault="004E4474" w:rsidP="004E4474">
            <w:r w:rsidRPr="004E4474">
              <w:t>Includes bonds with embedded options</w:t>
            </w:r>
          </w:p>
        </w:tc>
        <w:tc>
          <w:tcPr>
            <w:tcW w:w="2173" w:type="dxa"/>
          </w:tcPr>
          <w:p w:rsidR="004E4474" w:rsidRPr="004E4474" w:rsidRDefault="004E4474" w:rsidP="004E4474">
            <w:r w:rsidRPr="004E4474">
              <w:t>Excludes bonds with embedded options</w:t>
            </w:r>
          </w:p>
        </w:tc>
        <w:tc>
          <w:tcPr>
            <w:tcW w:w="2174" w:type="dxa"/>
          </w:tcPr>
          <w:p w:rsidR="004E4474" w:rsidRPr="004E4474" w:rsidRDefault="004E4474" w:rsidP="004E4474">
            <w:r w:rsidRPr="004E4474">
              <w:t>Excludes bonds with embedded options</w:t>
            </w:r>
          </w:p>
        </w:tc>
      </w:tr>
      <w:tr w:rsidR="004E4474" w:rsidTr="007E6AB8">
        <w:trPr>
          <w:cnfStyle w:val="000000010000" w:firstRow="0" w:lastRow="0" w:firstColumn="0" w:lastColumn="0" w:oddVBand="0" w:evenVBand="0" w:oddHBand="0" w:evenHBand="1" w:firstRowFirstColumn="0" w:firstRowLastColumn="0" w:lastRowFirstColumn="0" w:lastRowLastColumn="0"/>
        </w:trPr>
        <w:tc>
          <w:tcPr>
            <w:tcW w:w="2173" w:type="dxa"/>
          </w:tcPr>
          <w:p w:rsidR="004E4474" w:rsidRPr="004E4474" w:rsidRDefault="004E4474" w:rsidP="004E4474">
            <w:r w:rsidRPr="004E4474">
              <w:t>Currency of issue</w:t>
            </w:r>
          </w:p>
        </w:tc>
        <w:tc>
          <w:tcPr>
            <w:tcW w:w="2173" w:type="dxa"/>
          </w:tcPr>
          <w:p w:rsidR="004E4474" w:rsidRPr="004E4474" w:rsidRDefault="004E4474" w:rsidP="004E4474">
            <w:r w:rsidRPr="004E4474">
              <w:t>AUD, EU, USD</w:t>
            </w:r>
          </w:p>
        </w:tc>
        <w:tc>
          <w:tcPr>
            <w:tcW w:w="2173" w:type="dxa"/>
          </w:tcPr>
          <w:p w:rsidR="004E4474" w:rsidRPr="004E4474" w:rsidRDefault="004E4474" w:rsidP="004E4474">
            <w:r w:rsidRPr="004E4474">
              <w:t>AUD only</w:t>
            </w:r>
          </w:p>
        </w:tc>
        <w:tc>
          <w:tcPr>
            <w:tcW w:w="2174" w:type="dxa"/>
          </w:tcPr>
          <w:p w:rsidR="004E4474" w:rsidRPr="004E4474" w:rsidRDefault="004E4474" w:rsidP="004E4474">
            <w:r w:rsidRPr="004E4474">
              <w:t>AUD only</w:t>
            </w:r>
          </w:p>
        </w:tc>
      </w:tr>
    </w:tbl>
    <w:p w:rsidR="004E4474" w:rsidRPr="004E4474" w:rsidRDefault="004E4474" w:rsidP="004E4474">
      <w:pPr>
        <w:pStyle w:val="AERtablesource"/>
      </w:pPr>
      <w:r w:rsidRPr="004E4474">
        <w:t>Source:</w:t>
      </w:r>
      <w:r w:rsidRPr="004E4474">
        <w:tab/>
        <w:t>RBA, BVAL, Thomson Reuters.</w:t>
      </w:r>
    </w:p>
    <w:p w:rsidR="004E4474" w:rsidRPr="004E4474" w:rsidRDefault="004E4474" w:rsidP="004E4474">
      <w:pPr>
        <w:pStyle w:val="HeadingBoldBlue"/>
      </w:pPr>
      <w:r w:rsidRPr="004E4474">
        <w:t>Comparison of outcomes</w:t>
      </w:r>
    </w:p>
    <w:p w:rsidR="004E4474" w:rsidRPr="004E4474" w:rsidRDefault="004E4474" w:rsidP="004E4474">
      <w:r w:rsidRPr="004E4474">
        <w:t xml:space="preserve">Since publication of the 10 year Thomson Reuters yield estimate, it appears to produce results that are comparable to the existing combination, except for a temporary and material divergence over November and December 2015. This is illustrated in </w:t>
      </w:r>
      <w:r w:rsidRPr="004E4474">
        <w:fldChar w:fldCharType="begin"/>
      </w:r>
      <w:r w:rsidRPr="004E4474">
        <w:instrText xml:space="preserve"> REF _Ref450900769 \h </w:instrText>
      </w:r>
      <w:r w:rsidRPr="004E4474">
        <w:fldChar w:fldCharType="separate"/>
      </w:r>
      <w:r w:rsidR="000230CB" w:rsidRPr="004E4474">
        <w:t xml:space="preserve">Figure </w:t>
      </w:r>
      <w:r w:rsidR="000230CB">
        <w:rPr>
          <w:noProof/>
        </w:rPr>
        <w:t>3</w:t>
      </w:r>
      <w:r w:rsidR="000230CB">
        <w:noBreakHyphen/>
      </w:r>
      <w:r w:rsidR="000230CB">
        <w:rPr>
          <w:noProof/>
        </w:rPr>
        <w:t>20</w:t>
      </w:r>
      <w:r w:rsidRPr="004E4474">
        <w:fldChar w:fldCharType="end"/>
      </w:r>
      <w:r w:rsidRPr="004E4474">
        <w:t>.</w:t>
      </w:r>
    </w:p>
    <w:p w:rsidR="004E4474" w:rsidRPr="004E4474" w:rsidRDefault="004E4474" w:rsidP="004E4474">
      <w:pPr>
        <w:pStyle w:val="Caption"/>
      </w:pPr>
      <w:bookmarkStart w:id="292" w:name="_Ref450900769"/>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20</w:t>
      </w:r>
      <w:r w:rsidR="00527450">
        <w:rPr>
          <w:noProof/>
        </w:rPr>
        <w:fldChar w:fldCharType="end"/>
      </w:r>
      <w:bookmarkEnd w:id="292"/>
      <w:r w:rsidRPr="004E4474">
        <w:tab/>
        <w:t>Comparison of Thomson Reuters 10 year estimate against the AER approach</w:t>
      </w:r>
    </w:p>
    <w:p w:rsidR="004E4474" w:rsidRPr="004E4474" w:rsidRDefault="004E4474" w:rsidP="004E4474">
      <w:r w:rsidRPr="004E4474">
        <w:rPr>
          <w:noProof/>
          <w:lang w:eastAsia="en-AU"/>
        </w:rPr>
        <w:drawing>
          <wp:inline distT="0" distB="0" distL="0" distR="0" wp14:anchorId="09307F20" wp14:editId="2489AA32">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4E4474" w:rsidRPr="004E4474" w:rsidRDefault="004E4474" w:rsidP="004E4474">
      <w:pPr>
        <w:pStyle w:val="AERtablesource"/>
      </w:pPr>
      <w:r w:rsidRPr="004E4474">
        <w:t>Source:</w:t>
      </w:r>
      <w:r w:rsidRPr="004E4474">
        <w:tab/>
        <w:t>AER analysis, RBA, Bloomberg, Thompson Reuters.</w:t>
      </w:r>
    </w:p>
    <w:p w:rsidR="004E4474" w:rsidRPr="004E4474" w:rsidRDefault="004E4474" w:rsidP="004E4474">
      <w:r w:rsidRPr="004E4474">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4E4474" w:rsidRPr="004E4474" w:rsidRDefault="004E4474" w:rsidP="004E4474">
      <w:r w:rsidRPr="004E4474">
        <w:t>Nonetheless, CEG has relied on comparative analysis of yields in support of adopting the Thomson Reuters curve.</w:t>
      </w:r>
      <w:r w:rsidRPr="004E4474">
        <w:rPr>
          <w:rStyle w:val="FootnoteReference"/>
        </w:rPr>
        <w:footnoteReference w:id="1256"/>
      </w:r>
      <w:r w:rsidRPr="004E4474">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4E4474">
        <w:fldChar w:fldCharType="begin"/>
      </w:r>
      <w:r w:rsidRPr="004E4474">
        <w:instrText xml:space="preserve"> REF _Ref450900734 \h </w:instrText>
      </w:r>
      <w:r w:rsidRPr="004E4474">
        <w:fldChar w:fldCharType="separate"/>
      </w:r>
      <w:r w:rsidR="000230CB" w:rsidRPr="004E4474">
        <w:t xml:space="preserve">Table </w:t>
      </w:r>
      <w:r w:rsidR="000230CB">
        <w:rPr>
          <w:noProof/>
        </w:rPr>
        <w:t>3</w:t>
      </w:r>
      <w:r w:rsidR="000230CB">
        <w:noBreakHyphen/>
      </w:r>
      <w:r w:rsidR="000230CB">
        <w:rPr>
          <w:noProof/>
        </w:rPr>
        <w:t>43</w:t>
      </w:r>
      <w:r w:rsidRPr="004E4474">
        <w:fldChar w:fldCharType="end"/>
      </w:r>
      <w:r w:rsidRPr="004E4474">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4E4474" w:rsidRPr="004E4474" w:rsidRDefault="004E4474" w:rsidP="004E4474">
      <w:pPr>
        <w:pStyle w:val="Caption"/>
      </w:pPr>
      <w:bookmarkStart w:id="293" w:name="_Ref450900734"/>
      <w:r w:rsidRPr="004E4474">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43</w:t>
      </w:r>
      <w:r w:rsidR="00527450">
        <w:rPr>
          <w:noProof/>
        </w:rPr>
        <w:fldChar w:fldCharType="end"/>
      </w:r>
      <w:bookmarkEnd w:id="293"/>
      <w:r w:rsidRPr="004E4474">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4E4474" w:rsidTr="007E6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4E4474" w:rsidRPr="004E4474" w:rsidRDefault="004E4474" w:rsidP="004E4474">
            <w:r w:rsidRPr="004E4474">
              <w:t>Time period</w:t>
            </w:r>
          </w:p>
        </w:tc>
        <w:tc>
          <w:tcPr>
            <w:tcW w:w="2118" w:type="dxa"/>
          </w:tcPr>
          <w:p w:rsidR="004E4474" w:rsidRPr="004E4474" w:rsidRDefault="004E4474" w:rsidP="004E4474">
            <w:pPr>
              <w:cnfStyle w:val="100000000000" w:firstRow="1" w:lastRow="0" w:firstColumn="0" w:lastColumn="0" w:oddVBand="0" w:evenVBand="0" w:oddHBand="0" w:evenHBand="0" w:firstRowFirstColumn="0" w:firstRowLastColumn="0" w:lastRowFirstColumn="0" w:lastRowLastColumn="0"/>
            </w:pPr>
            <w:r w:rsidRPr="004E4474">
              <w:t>AER approach (BVAL and RBA)</w:t>
            </w:r>
          </w:p>
        </w:tc>
        <w:tc>
          <w:tcPr>
            <w:tcW w:w="2118" w:type="dxa"/>
          </w:tcPr>
          <w:p w:rsidR="004E4474" w:rsidRPr="004E4474" w:rsidRDefault="004E4474" w:rsidP="004E4474">
            <w:pPr>
              <w:cnfStyle w:val="100000000000" w:firstRow="1" w:lastRow="0" w:firstColumn="0" w:lastColumn="0" w:oddVBand="0" w:evenVBand="0" w:oddHBand="0" w:evenHBand="0" w:firstRowFirstColumn="0" w:firstRowLastColumn="0" w:lastRowFirstColumn="0" w:lastRowLastColumn="0"/>
            </w:pPr>
            <w:r w:rsidRPr="004E4474">
              <w:t>Reuters curve</w:t>
            </w:r>
          </w:p>
        </w:tc>
        <w:tc>
          <w:tcPr>
            <w:tcW w:w="2118" w:type="dxa"/>
          </w:tcPr>
          <w:p w:rsidR="004E4474" w:rsidRPr="004E4474" w:rsidRDefault="004E4474" w:rsidP="004E4474">
            <w:pPr>
              <w:cnfStyle w:val="100000000000" w:firstRow="1" w:lastRow="0" w:firstColumn="0" w:lastColumn="0" w:oddVBand="0" w:evenVBand="0" w:oddHBand="0" w:evenHBand="0" w:firstRowFirstColumn="0" w:firstRowLastColumn="0" w:lastRowFirstColumn="0" w:lastRowLastColumn="0"/>
            </w:pPr>
            <w:r w:rsidRPr="004E4474">
              <w:t>Difference</w:t>
            </w:r>
          </w:p>
        </w:tc>
      </w:tr>
      <w:tr w:rsidR="004E4474" w:rsidTr="007E6AB8">
        <w:tc>
          <w:tcPr>
            <w:cnfStyle w:val="001000000000" w:firstRow="0" w:lastRow="0" w:firstColumn="1" w:lastColumn="0" w:oddVBand="0" w:evenVBand="0" w:oddHBand="0" w:evenHBand="0" w:firstRowFirstColumn="0" w:firstRowLastColumn="0" w:lastRowFirstColumn="0" w:lastRowLastColumn="0"/>
            <w:tcW w:w="2339" w:type="dxa"/>
          </w:tcPr>
          <w:p w:rsidR="004E4474" w:rsidRPr="004E4474" w:rsidRDefault="004E4474" w:rsidP="004E4474">
            <w:r w:rsidRPr="004E4474">
              <w:t>Since Reuters publication</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5.39</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5.48</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9 basis points</w:t>
            </w:r>
          </w:p>
        </w:tc>
      </w:tr>
      <w:tr w:rsidR="004E4474" w:rsidTr="007E6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4E4474" w:rsidRPr="004E4474" w:rsidRDefault="004E4474" w:rsidP="004E4474">
            <w:r w:rsidRPr="004E4474">
              <w:t>Excluding November and December 2015</w:t>
            </w:r>
          </w:p>
        </w:tc>
        <w:tc>
          <w:tcPr>
            <w:tcW w:w="2118" w:type="dxa"/>
          </w:tcPr>
          <w:p w:rsidR="004E4474" w:rsidRPr="004E4474" w:rsidRDefault="004E4474" w:rsidP="004E4474">
            <w:pPr>
              <w:cnfStyle w:val="000000010000" w:firstRow="0" w:lastRow="0" w:firstColumn="0" w:lastColumn="0" w:oddVBand="0" w:evenVBand="0" w:oddHBand="0" w:evenHBand="1" w:firstRowFirstColumn="0" w:firstRowLastColumn="0" w:lastRowFirstColumn="0" w:lastRowLastColumn="0"/>
            </w:pPr>
            <w:r w:rsidRPr="004E4474">
              <w:t>5.31</w:t>
            </w:r>
          </w:p>
        </w:tc>
        <w:tc>
          <w:tcPr>
            <w:tcW w:w="2118" w:type="dxa"/>
          </w:tcPr>
          <w:p w:rsidR="004E4474" w:rsidRPr="004E4474" w:rsidRDefault="004E4474" w:rsidP="004E4474">
            <w:pPr>
              <w:cnfStyle w:val="000000010000" w:firstRow="0" w:lastRow="0" w:firstColumn="0" w:lastColumn="0" w:oddVBand="0" w:evenVBand="0" w:oddHBand="0" w:evenHBand="1" w:firstRowFirstColumn="0" w:firstRowLastColumn="0" w:lastRowFirstColumn="0" w:lastRowLastColumn="0"/>
            </w:pPr>
            <w:r w:rsidRPr="004E4474">
              <w:t>5.34</w:t>
            </w:r>
          </w:p>
        </w:tc>
        <w:tc>
          <w:tcPr>
            <w:tcW w:w="2118" w:type="dxa"/>
          </w:tcPr>
          <w:p w:rsidR="004E4474" w:rsidRPr="004E4474" w:rsidRDefault="004E4474" w:rsidP="004E4474">
            <w:pPr>
              <w:cnfStyle w:val="000000010000" w:firstRow="0" w:lastRow="0" w:firstColumn="0" w:lastColumn="0" w:oddVBand="0" w:evenVBand="0" w:oddHBand="0" w:evenHBand="1" w:firstRowFirstColumn="0" w:firstRowLastColumn="0" w:lastRowFirstColumn="0" w:lastRowLastColumn="0"/>
            </w:pPr>
            <w:r w:rsidRPr="004E4474">
              <w:t>2 basis points</w:t>
            </w:r>
          </w:p>
        </w:tc>
      </w:tr>
      <w:tr w:rsidR="004E4474" w:rsidTr="007E6AB8">
        <w:tc>
          <w:tcPr>
            <w:cnfStyle w:val="001000000000" w:firstRow="0" w:lastRow="0" w:firstColumn="1" w:lastColumn="0" w:oddVBand="0" w:evenVBand="0" w:oddHBand="0" w:evenHBand="0" w:firstRowFirstColumn="0" w:firstRowLastColumn="0" w:lastRowFirstColumn="0" w:lastRowLastColumn="0"/>
            <w:tcW w:w="2339" w:type="dxa"/>
          </w:tcPr>
          <w:p w:rsidR="004E4474" w:rsidRPr="004E4474" w:rsidRDefault="004E4474" w:rsidP="004E4474">
            <w:r w:rsidRPr="004E4474">
              <w:t>Only November and December 2015</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5.57</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5.85</w:t>
            </w:r>
          </w:p>
        </w:tc>
        <w:tc>
          <w:tcPr>
            <w:tcW w:w="2118" w:type="dxa"/>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27 basis points</w:t>
            </w:r>
          </w:p>
        </w:tc>
      </w:tr>
    </w:tbl>
    <w:p w:rsidR="004E4474" w:rsidRPr="004E4474" w:rsidRDefault="004E4474" w:rsidP="004E4474">
      <w:pPr>
        <w:pStyle w:val="AERtablesource"/>
      </w:pPr>
      <w:r w:rsidRPr="004E4474">
        <w:t>Source:</w:t>
      </w:r>
      <w:r w:rsidRPr="004E4474">
        <w:tab/>
        <w:t>AER analysis, RBA, Bloomberg, Thompson Reuters.</w:t>
      </w:r>
    </w:p>
    <w:p w:rsidR="004E4474" w:rsidRPr="004E4474" w:rsidRDefault="004E4474" w:rsidP="004E4474">
      <w:pPr>
        <w:pStyle w:val="Heading8"/>
      </w:pPr>
      <w:bookmarkStart w:id="294" w:name="_Toc449624778"/>
      <w:bookmarkStart w:id="295" w:name="_Ref450660756"/>
      <w:bookmarkStart w:id="296" w:name="_Toc451943824"/>
      <w:r w:rsidRPr="004E4474">
        <w:t>Criticisms of the BVAL curve</w:t>
      </w:r>
      <w:bookmarkEnd w:id="294"/>
      <w:bookmarkEnd w:id="295"/>
      <w:bookmarkEnd w:id="296"/>
    </w:p>
    <w:p w:rsidR="004E4474" w:rsidRPr="004E4474" w:rsidRDefault="004E4474" w:rsidP="004E4474">
      <w:r w:rsidRPr="004E4474">
        <w:t>Some service providers made updated criticisms of the BVAL curve. Most of these criticisms drew upon new analysis by CEG.</w:t>
      </w:r>
      <w:r w:rsidRPr="004E4474">
        <w:rPr>
          <w:rStyle w:val="FootnoteReference"/>
        </w:rPr>
        <w:footnoteReference w:id="1257"/>
      </w:r>
      <w:r w:rsidRPr="004E4474">
        <w:t xml:space="preserve"> In a new report, and in two memoranda submitted after the revised proposals,</w:t>
      </w:r>
      <w:r w:rsidRPr="004E4474">
        <w:rPr>
          <w:rStyle w:val="FootnoteReference"/>
        </w:rPr>
        <w:footnoteReference w:id="1258"/>
      </w:r>
      <w:r w:rsidRPr="004E4474">
        <w:t xml:space="preserve"> CEG submitted that:</w:t>
      </w:r>
    </w:p>
    <w:p w:rsidR="004E4474" w:rsidRPr="004E4474" w:rsidRDefault="004E4474" w:rsidP="004E4474">
      <w:pPr>
        <w:pStyle w:val="AERbulletlistfirststyle"/>
      </w:pPr>
      <w:r w:rsidRPr="004E4474">
        <w:t>the Bloomberg curve appears to be influenced at the 10 year term exclusively by the Asciano bond</w:t>
      </w:r>
    </w:p>
    <w:p w:rsidR="004E4474" w:rsidRPr="004E4474" w:rsidRDefault="004E4474" w:rsidP="004E4474">
      <w:pPr>
        <w:pStyle w:val="AERbulletlistfirststyle"/>
      </w:pPr>
      <w:r w:rsidRPr="004E4474">
        <w:t>There are market specific factors influencing the Asciano bond which imply it is not reflective of the typical BBB bond</w:t>
      </w:r>
    </w:p>
    <w:p w:rsidR="004E4474" w:rsidRPr="004E4474" w:rsidRDefault="004E4474" w:rsidP="004E4474">
      <w:pPr>
        <w:pStyle w:val="AERbulletlistfirststyle"/>
      </w:pPr>
      <w:r w:rsidRPr="004E4474">
        <w:t>The BVAL curve does not include foreign bonds and is therefore not representative of the benchmark efficient firm given the tendency of Australian firms to issue longer term debt in overseas markets</w:t>
      </w:r>
    </w:p>
    <w:p w:rsidR="004E4474" w:rsidRPr="004E4474" w:rsidRDefault="004E4474" w:rsidP="004E4474">
      <w:pPr>
        <w:pStyle w:val="AERbulletlistfirststyle"/>
      </w:pPr>
      <w:r w:rsidRPr="004E4474">
        <w:t>The BVAL bond sample is smaller than the RBA bond sample.</w:t>
      </w:r>
    </w:p>
    <w:p w:rsidR="004E4474" w:rsidRPr="004E4474" w:rsidRDefault="004E4474" w:rsidP="004E4474">
      <w:r w:rsidRPr="004E4474">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4E4474" w:rsidRPr="004E4474" w:rsidRDefault="004E4474" w:rsidP="004E4474">
      <w:r w:rsidRPr="004E4474">
        <w:t>In decisions since publication of the guideline, we have concluded that at various points in time, it is likely that one curve or the other is more likely to produce an estimate that is more reflective of the costs faced by the benchmark efficient entity.</w:t>
      </w:r>
      <w:r w:rsidRPr="004E4474">
        <w:rPr>
          <w:rStyle w:val="FootnoteReference"/>
        </w:rPr>
        <w:footnoteReference w:id="1259"/>
      </w:r>
      <w:r w:rsidRPr="004E4474">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4E4474" w:rsidRPr="004E4474" w:rsidRDefault="004E4474" w:rsidP="004E4474">
      <w:r w:rsidRPr="004E4474">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D4167E" w:rsidRPr="00D4167E" w:rsidRDefault="00D4167E" w:rsidP="00D4167E">
      <w:r w:rsidRPr="00D4167E">
        <w:t>Finally, we note that as of October 2015 the RBA made retrospective changes to its yield curve.</w:t>
      </w:r>
      <w:r w:rsidRPr="00D4167E">
        <w:rPr>
          <w:rStyle w:val="FootnoteReference"/>
        </w:rPr>
        <w:footnoteReference w:id="1260"/>
      </w:r>
      <w:r w:rsidRPr="00D4167E">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D4167E">
        <w:rPr>
          <w:rStyle w:val="FootnoteReference"/>
        </w:rPr>
        <w:footnoteReference w:id="1261"/>
      </w:r>
      <w:r w:rsidRPr="00D4167E">
        <w:t xml:space="preserve"> Nonetheless, we note that none of the service providers appear to have engaged in the revised proposals or subsequent submissions with the potential risks and implications of material retrospective changes made to the RBA curve.</w:t>
      </w:r>
    </w:p>
    <w:p w:rsidR="004E4474" w:rsidRPr="004E4474" w:rsidRDefault="004E4474" w:rsidP="004E4474">
      <w:r w:rsidRPr="004E4474">
        <w:t>In this section, we have addressed the following substantially new issues raised by the service providers and their consultants:</w:t>
      </w:r>
    </w:p>
    <w:p w:rsidR="004E4474" w:rsidRPr="004E4474" w:rsidRDefault="004E4474" w:rsidP="004E4474">
      <w:pPr>
        <w:pStyle w:val="AERbulletlistfirststyle"/>
      </w:pPr>
      <w:r w:rsidRPr="004E4474">
        <w:t>the comparative movement of the yield estimates between the RBA and BVAL curves</w:t>
      </w:r>
    </w:p>
    <w:p w:rsidR="004E4474" w:rsidRPr="004E4474" w:rsidRDefault="004E4474" w:rsidP="004E4474">
      <w:pPr>
        <w:pStyle w:val="AERbulletlistfirststyle"/>
      </w:pPr>
      <w:r w:rsidRPr="004E4474">
        <w:t>the incremental impact of the Asciano bond on the implied DRPs in the Bloomberg curve</w:t>
      </w:r>
    </w:p>
    <w:p w:rsidR="004E4474" w:rsidRPr="004E4474" w:rsidRDefault="004E4474" w:rsidP="004E4474">
      <w:pPr>
        <w:pStyle w:val="AERbulletlistfirststyle"/>
      </w:pPr>
      <w:r w:rsidRPr="004E4474">
        <w:t>CEG's analysis of sample size</w:t>
      </w:r>
    </w:p>
    <w:p w:rsidR="004E4474" w:rsidRPr="004E4474" w:rsidRDefault="004E4474" w:rsidP="004E4474">
      <w:pPr>
        <w:pStyle w:val="AERbulletlistfirststyle"/>
      </w:pPr>
      <w:r w:rsidRPr="004E4474">
        <w:t xml:space="preserve">CEG's analysis of foreign bonds </w:t>
      </w:r>
    </w:p>
    <w:p w:rsidR="004E4474" w:rsidRPr="004E4474" w:rsidRDefault="004E4474" w:rsidP="004E4474">
      <w:pPr>
        <w:pStyle w:val="HeadingBoldBlue"/>
        <w:rPr>
          <w:rStyle w:val="AERtextitalic"/>
        </w:rPr>
      </w:pPr>
      <w:r w:rsidRPr="004E4474">
        <w:rPr>
          <w:rStyle w:val="AERtextitalic"/>
        </w:rPr>
        <w:t>Comparative movement of yield estimates</w:t>
      </w:r>
    </w:p>
    <w:p w:rsidR="004E4474" w:rsidRPr="004E4474" w:rsidRDefault="004E4474" w:rsidP="004E4474">
      <w:r w:rsidRPr="004E4474">
        <w:t>In its reports and memoranda, CEG has used comparative movements of yield estimates to compare and critique the BVAL curve compared to the RBA and Reuters curves.</w:t>
      </w:r>
      <w:r w:rsidRPr="004E4474">
        <w:rPr>
          <w:rStyle w:val="FootnoteReference"/>
        </w:rPr>
        <w:footnoteReference w:id="1262"/>
      </w:r>
      <w:r w:rsidRPr="004E4474">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4E4474" w:rsidRPr="004E4474" w:rsidRDefault="004E4474" w:rsidP="004E4474">
      <w:r w:rsidRPr="004E4474">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4E4474">
        <w:rPr>
          <w:rStyle w:val="FootnoteReference"/>
        </w:rPr>
        <w:footnoteReference w:id="1263"/>
      </w:r>
      <w:r w:rsidRPr="004E4474">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4E4474" w:rsidRPr="004E4474" w:rsidRDefault="004E4474" w:rsidP="004E4474">
      <w:r w:rsidRPr="004E4474">
        <w:t xml:space="preserve">Nonetheless, to the extent that these comparisons are informative, we are not persuaded that a comparison of the Bloomberg and RBA curves suggest anomalous performance of either curve. </w:t>
      </w:r>
      <w:r w:rsidRPr="004E4474">
        <w:fldChar w:fldCharType="begin"/>
      </w:r>
      <w:r w:rsidRPr="004E4474">
        <w:instrText xml:space="preserve"> REF _Ref448326341 \h </w:instrText>
      </w:r>
      <w:r w:rsidRPr="004E4474">
        <w:fldChar w:fldCharType="separate"/>
      </w:r>
      <w:r w:rsidR="000230CB" w:rsidRPr="004E4474">
        <w:t xml:space="preserve">Figure </w:t>
      </w:r>
      <w:r w:rsidR="000230CB">
        <w:rPr>
          <w:noProof/>
        </w:rPr>
        <w:t>3</w:t>
      </w:r>
      <w:r w:rsidR="000230CB">
        <w:noBreakHyphen/>
      </w:r>
      <w:r w:rsidR="000230CB">
        <w:rPr>
          <w:noProof/>
        </w:rPr>
        <w:t>21</w:t>
      </w:r>
      <w:r w:rsidRPr="004E4474">
        <w:fldChar w:fldCharType="end"/>
      </w:r>
      <w:r w:rsidRPr="004E4474">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4E4474" w:rsidRPr="004E4474" w:rsidRDefault="004E4474" w:rsidP="004E4474">
      <w:pPr>
        <w:pStyle w:val="Caption"/>
      </w:pPr>
      <w:bookmarkStart w:id="297" w:name="_Ref448326341"/>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21</w:t>
      </w:r>
      <w:r w:rsidR="00527450">
        <w:rPr>
          <w:noProof/>
        </w:rPr>
        <w:fldChar w:fldCharType="end"/>
      </w:r>
      <w:bookmarkEnd w:id="297"/>
      <w:r w:rsidRPr="004E4474">
        <w:tab/>
        <w:t xml:space="preserve">Comparison of RBA and BVAL yields </w:t>
      </w:r>
    </w:p>
    <w:p w:rsidR="004E4474" w:rsidRPr="004E4474" w:rsidRDefault="004E4474" w:rsidP="004E4474">
      <w:r w:rsidRPr="004E4474">
        <w:rPr>
          <w:noProof/>
          <w:lang w:eastAsia="en-AU"/>
        </w:rPr>
        <w:drawing>
          <wp:inline distT="0" distB="0" distL="0" distR="0" wp14:anchorId="0D863264" wp14:editId="7047DAC6">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4E4474" w:rsidRPr="004E4474" w:rsidRDefault="004E4474" w:rsidP="004E4474">
      <w:pPr>
        <w:pStyle w:val="AERtablesource"/>
      </w:pPr>
      <w:r w:rsidRPr="004E4474">
        <w:t>Source:</w:t>
      </w:r>
      <w:r w:rsidRPr="004E4474">
        <w:tab/>
        <w:t>AER analysis, Bloomberg, RBA.</w:t>
      </w:r>
    </w:p>
    <w:p w:rsidR="004E4474" w:rsidRPr="004E4474" w:rsidRDefault="004E4474" w:rsidP="004E4474">
      <w:pPr>
        <w:pStyle w:val="HeadingBoldBlue"/>
        <w:rPr>
          <w:rStyle w:val="AERtextitalic"/>
        </w:rPr>
      </w:pPr>
      <w:r w:rsidRPr="004E4474">
        <w:rPr>
          <w:rStyle w:val="AERtextitalic"/>
        </w:rPr>
        <w:t>The Asciano bond</w:t>
      </w:r>
    </w:p>
    <w:p w:rsidR="004E4474" w:rsidRPr="004E4474" w:rsidRDefault="004E4474" w:rsidP="004E4474">
      <w:r w:rsidRPr="004E4474">
        <w:t>CEG and AusNet Services submit that the Asciano bond is having a disproportionate downward impact on the 10 year spread-to-swap estimate implied by the BVAL curve.</w:t>
      </w:r>
      <w:r w:rsidRPr="004E4474">
        <w:rPr>
          <w:rStyle w:val="FootnoteReference"/>
        </w:rPr>
        <w:footnoteReference w:id="1264"/>
      </w:r>
      <w:r w:rsidRPr="004E4474">
        <w:t xml:space="preserve"> Further, they submit that the movement of the Asciano bond is substantially affected by firm specific factors and therefore is not reflective of the benchmark BBB+ bond.</w:t>
      </w:r>
      <w:r w:rsidRPr="004E4474">
        <w:rPr>
          <w:rStyle w:val="FootnoteReference"/>
        </w:rPr>
        <w:footnoteReference w:id="1265"/>
      </w:r>
      <w:r w:rsidRPr="004E4474">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4E4474">
        <w:br/>
      </w:r>
      <w:r w:rsidRPr="004E4474">
        <w:br/>
        <w:t>In summary of its analysis, CEG submits that the BVAL bond selection criteria 'results in a sample containing only a single bond'.</w:t>
      </w:r>
      <w:r w:rsidRPr="004E4474">
        <w:rPr>
          <w:rStyle w:val="FootnoteReference"/>
        </w:rPr>
        <w:footnoteReference w:id="1266"/>
      </w:r>
      <w:r w:rsidRPr="004E4474">
        <w:t xml:space="preserve"> As noted in recent decisions,</w:t>
      </w:r>
      <w:r w:rsidRPr="004E4474">
        <w:rPr>
          <w:rStyle w:val="FootnoteReference"/>
        </w:rPr>
        <w:footnoteReference w:id="1267"/>
      </w:r>
      <w:r w:rsidRPr="004E4474">
        <w:t xml:space="preserve"> this is not a correct characterisation of Bloomberg's approach. In a recent report, CEG submitted that the Bloomberg estimate from beyond 7 years was exclusively informed by the CGS curve.</w:t>
      </w:r>
      <w:r w:rsidRPr="004E4474">
        <w:rPr>
          <w:rStyle w:val="FootnoteReference"/>
        </w:rPr>
        <w:footnoteReference w:id="1268"/>
      </w:r>
      <w:r w:rsidRPr="004E4474">
        <w:t xml:space="preserve"> In response, we corresponded with Bloomberg who confirmed that the yield estimate at 10 years is influenced by all of the constituent bonds within the curve, even where there are few or no constituent bonds within the 7 to 10 year band.</w:t>
      </w:r>
      <w:r w:rsidRPr="004E4474">
        <w:rPr>
          <w:rStyle w:val="FootnoteReference"/>
        </w:rPr>
        <w:footnoteReference w:id="1269"/>
      </w:r>
      <w:r w:rsidRPr="004E4474">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4E4474" w:rsidRPr="004E4474" w:rsidRDefault="004E4474" w:rsidP="004E4474">
      <w:r w:rsidRPr="004E4474">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4E4474" w:rsidRPr="004E4474" w:rsidRDefault="004E4474" w:rsidP="004E4474">
      <w:r w:rsidRPr="004E4474">
        <w:t>We have assessed these new submissions in two sections:</w:t>
      </w:r>
    </w:p>
    <w:p w:rsidR="004E4474" w:rsidRPr="004E4474" w:rsidRDefault="004E4474" w:rsidP="004E4474">
      <w:pPr>
        <w:pStyle w:val="AERbulletlistfirststyle"/>
      </w:pPr>
      <w:r w:rsidRPr="004E4474">
        <w:t>how sensitive the 10 year BVAL estimate is to the Asciano bond</w:t>
      </w:r>
    </w:p>
    <w:p w:rsidR="004E4474" w:rsidRPr="004E4474" w:rsidRDefault="004E4474" w:rsidP="004E4474">
      <w:pPr>
        <w:pStyle w:val="AERbulletlistfirststyle"/>
      </w:pPr>
      <w:r w:rsidRPr="004E4474">
        <w:t>what impact this is exerting on BVAL curve estimates</w:t>
      </w:r>
    </w:p>
    <w:p w:rsidR="004E4474" w:rsidRPr="004E4474" w:rsidRDefault="004E4474" w:rsidP="004E4474">
      <w:pPr>
        <w:pStyle w:val="HeadingItalic"/>
      </w:pPr>
      <w:r w:rsidRPr="004E4474">
        <w:t>Sensitivity of the BVAL estimate to the Asciano bond</w:t>
      </w:r>
    </w:p>
    <w:p w:rsidR="004E4474" w:rsidRPr="004E4474" w:rsidRDefault="004E4474" w:rsidP="004E4474">
      <w:r w:rsidRPr="004E4474">
        <w:t>In its report submitted with the revised proposals, CEG highlighted the similar movements between the Asciano 10 year bond yield and the BVAL 10 year yield estimate.</w:t>
      </w:r>
      <w:r w:rsidRPr="004E4474">
        <w:rPr>
          <w:rStyle w:val="FootnoteReference"/>
        </w:rPr>
        <w:footnoteReference w:id="1270"/>
      </w:r>
      <w:r w:rsidRPr="004E4474">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4E4474" w:rsidRPr="004E4474" w:rsidRDefault="004E4474" w:rsidP="004E4474">
      <w:r w:rsidRPr="004E4474">
        <w:t>More recently, CEG submitted regression analysis to establish a causative relationship between the 10 year Asciano spread to swap.</w:t>
      </w:r>
      <w:r w:rsidRPr="004E4474">
        <w:rPr>
          <w:rStyle w:val="FootnoteReference"/>
        </w:rPr>
        <w:footnoteReference w:id="1271"/>
      </w:r>
      <w:r w:rsidRPr="004E4474">
        <w:t xml:space="preserve"> CEG's regression analysis was submitted for the first time in a late submission,</w:t>
      </w:r>
      <w:r w:rsidRPr="004E4474">
        <w:rPr>
          <w:rStyle w:val="FootnoteReference"/>
        </w:rPr>
        <w:footnoteReference w:id="1272"/>
      </w:r>
      <w:r w:rsidRPr="004E4474">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4E4474" w:rsidRPr="004E4474" w:rsidRDefault="004E4474" w:rsidP="004E4474">
      <w:pPr>
        <w:pStyle w:val="AERbulletlistfirststyle"/>
      </w:pPr>
      <w:r w:rsidRPr="004E4474">
        <w:t>Since the Asciano bond was issued, there is a strong negative correlation between the swap curve matching the Asciano bond’s term to maturity and the spread-to-swap on the Asciano bond.</w:t>
      </w:r>
      <w:r w:rsidRPr="004E4474">
        <w:rPr>
          <w:rStyle w:val="FootnoteReference"/>
        </w:rPr>
        <w:footnoteReference w:id="1273"/>
      </w:r>
      <w:r w:rsidRPr="004E4474">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4E4474" w:rsidRPr="004E4474" w:rsidRDefault="004E4474" w:rsidP="004E4474">
      <w:pPr>
        <w:pStyle w:val="AERbulletlistfirststyle"/>
      </w:pPr>
      <w:r w:rsidRPr="004E4474">
        <w:t>Similarly, we mirrored CEG's approach and regressed the BVAL 10 year spread-to-swap against the swap rate. This regression produced a higher R</w:t>
      </w:r>
      <w:r w:rsidRPr="004E4474">
        <w:rPr>
          <w:rStyle w:val="AERsuperscript"/>
        </w:rPr>
        <w:t>2</w:t>
      </w:r>
      <w:r w:rsidRPr="004E4474">
        <w:t xml:space="preserve"> value (0.95) than CEG's regression (0.93). This might indicate a degree of multicollinearity within the regression, which would in turn suggest that CEG's results should be interpreted cautiously.</w:t>
      </w:r>
    </w:p>
    <w:p w:rsidR="004E4474" w:rsidRPr="004E4474" w:rsidRDefault="004E4474" w:rsidP="004E4474">
      <w:r w:rsidRPr="004E4474">
        <w:t>CEG also does not appear to have tested:</w:t>
      </w:r>
    </w:p>
    <w:p w:rsidR="004E4474" w:rsidRPr="004E4474" w:rsidRDefault="004E4474" w:rsidP="004E4474">
      <w:pPr>
        <w:pStyle w:val="AERbulletlistfirststyle"/>
      </w:pPr>
      <w:r w:rsidRPr="004E4474">
        <w:t>the impact of any variable for the base rate, either a risk free rate (CGS) or a swap rate (ADSWAP)</w:t>
      </w:r>
    </w:p>
    <w:p w:rsidR="004E4474" w:rsidRPr="004E4474" w:rsidRDefault="004E4474" w:rsidP="004E4474">
      <w:pPr>
        <w:pStyle w:val="AERbulletlistfirststyle"/>
      </w:pPr>
      <w:r w:rsidRPr="004E4474">
        <w:t>whether spreads to swap within either the RBA or BVAL samples are substantially influenced by movements in the risk free rate or swap curve</w:t>
      </w:r>
    </w:p>
    <w:p w:rsidR="004E4474" w:rsidRPr="004E4474" w:rsidRDefault="004E4474" w:rsidP="004E4474">
      <w:pPr>
        <w:pStyle w:val="AERbulletlistfirststyle"/>
      </w:pPr>
      <w:r w:rsidRPr="004E4474">
        <w:t>the consequences of these issues for the explanatory power of its submission.</w:t>
      </w:r>
    </w:p>
    <w:p w:rsidR="004E4474" w:rsidRPr="004E4474" w:rsidRDefault="004E4474" w:rsidP="004E4474">
      <w:r w:rsidRPr="004E4474">
        <w:t>In addition, CEG has not explained methodological choices and assumptions in its regression. For example, CEG has:</w:t>
      </w:r>
    </w:p>
    <w:p w:rsidR="004E4474" w:rsidRPr="004E4474" w:rsidRDefault="004E4474" w:rsidP="004E4474">
      <w:pPr>
        <w:pStyle w:val="AERbulletlistfirststyle"/>
      </w:pPr>
      <w:r w:rsidRPr="004E4474">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4E4474" w:rsidRPr="004E4474" w:rsidRDefault="004E4474" w:rsidP="004E4474">
      <w:pPr>
        <w:pStyle w:val="AERbulletlistfirststyle"/>
      </w:pPr>
      <w:r w:rsidRPr="004E4474">
        <w:t>averaged all bond data within term-to-maturity bands—again, it is unclear how this improves the efficacy of the regression, but it does appear to reduce the number of observations and mask potential variation in these underlying data points.</w:t>
      </w:r>
    </w:p>
    <w:p w:rsidR="004E4474" w:rsidRPr="004E4474" w:rsidRDefault="004E4474" w:rsidP="004E4474">
      <w:r w:rsidRPr="004E4474">
        <w:t xml:space="preserve">Overall, we are not satisfied that CEG's regression analysis persuasively indicates that the 10 year BVAL estimate is not fit for purpose. Further, </w:t>
      </w:r>
      <w:r w:rsidR="0059650E">
        <w:t>t</w:t>
      </w:r>
      <w:r w:rsidRPr="004E4474">
        <w:t>his analysis was submitted allowing very little time for assessment, and CEG has undertaken minimal testing and explanation of its methodological choices.</w:t>
      </w:r>
    </w:p>
    <w:p w:rsidR="004E4474" w:rsidRPr="004E4474" w:rsidRDefault="004E4474" w:rsidP="004E4474">
      <w:pPr>
        <w:pStyle w:val="HeadingItalic"/>
      </w:pPr>
      <w:r w:rsidRPr="004E4474">
        <w:t>Impact of the Asciano bond on the BVAL estimate</w:t>
      </w:r>
    </w:p>
    <w:p w:rsidR="004E4474" w:rsidRPr="004E4474" w:rsidRDefault="004E4474" w:rsidP="004E4474">
      <w:r w:rsidRPr="004E4474">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4E4474">
        <w:rPr>
          <w:rStyle w:val="FootnoteReference"/>
        </w:rPr>
        <w:footnoteReference w:id="1274"/>
      </w:r>
      <w:r w:rsidRPr="004E4474">
        <w:t xml:space="preserve"> </w:t>
      </w:r>
    </w:p>
    <w:p w:rsidR="004E4474" w:rsidRPr="004E4474" w:rsidRDefault="004E4474" w:rsidP="004E4474">
      <w:pPr>
        <w:pStyle w:val="Caption"/>
      </w:pPr>
      <w:bookmarkStart w:id="298" w:name="_Ref444068389"/>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22</w:t>
      </w:r>
      <w:r w:rsidR="00527450">
        <w:rPr>
          <w:noProof/>
        </w:rPr>
        <w:fldChar w:fldCharType="end"/>
      </w:r>
      <w:bookmarkEnd w:id="298"/>
      <w:r w:rsidRPr="004E4474">
        <w:tab/>
        <w:t>Comparison of 7 to 10 year spreads to swap between the published 10 year Bloomberg estimate and the extrapolated RBA estimates</w:t>
      </w:r>
    </w:p>
    <w:p w:rsidR="004E4474" w:rsidRPr="004E4474" w:rsidRDefault="00B90CB4" w:rsidP="004E4474">
      <w:r>
        <w:rPr>
          <w:noProof/>
          <w:lang w:eastAsia="en-AU"/>
        </w:rPr>
        <w:drawing>
          <wp:inline distT="0" distB="0" distL="0" distR="0" wp14:anchorId="0FA0E3D4" wp14:editId="2A510645">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4E4474" w:rsidRPr="004E4474" w:rsidRDefault="004E4474" w:rsidP="004E4474">
      <w:pPr>
        <w:pStyle w:val="AERtablesource"/>
      </w:pPr>
      <w:r w:rsidRPr="004E4474">
        <w:t>Note:</w:t>
      </w:r>
      <w:r w:rsidRPr="004E4474">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4E4474" w:rsidRPr="004E4474" w:rsidRDefault="004E4474" w:rsidP="004E4474">
      <w:r w:rsidRPr="004E4474">
        <w:t xml:space="preserve">As set out in </w:t>
      </w:r>
      <w:r w:rsidRPr="004E4474">
        <w:fldChar w:fldCharType="begin"/>
      </w:r>
      <w:r w:rsidRPr="004E4474">
        <w:instrText xml:space="preserve"> REF _Ref444068389 \h  \* MERGEFORMAT </w:instrText>
      </w:r>
      <w:r w:rsidRPr="004E4474">
        <w:fldChar w:fldCharType="separate"/>
      </w:r>
      <w:r w:rsidR="000230CB" w:rsidRPr="004E4474">
        <w:t xml:space="preserve">Figure </w:t>
      </w:r>
      <w:r w:rsidR="000230CB">
        <w:t>3</w:t>
      </w:r>
      <w:r w:rsidR="000230CB">
        <w:noBreakHyphen/>
        <w:t>22</w:t>
      </w:r>
      <w:r w:rsidRPr="004E4474">
        <w:fldChar w:fldCharType="end"/>
      </w:r>
      <w:r w:rsidRPr="004E4474">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4E4474" w:rsidRPr="004E4474" w:rsidRDefault="004E4474" w:rsidP="00DB4FCE">
      <w:pPr>
        <w:pStyle w:val="HeadingItalic"/>
        <w:keepNext/>
      </w:pPr>
      <w:r w:rsidRPr="004E4474">
        <w:t>Representativeness of the Asciano bond</w:t>
      </w:r>
    </w:p>
    <w:p w:rsidR="004E4474" w:rsidRPr="004E4474" w:rsidRDefault="004E4474" w:rsidP="00DB4FCE">
      <w:pPr>
        <w:keepNext/>
      </w:pPr>
      <w:r w:rsidRPr="004E4474">
        <w:t>In CEG's analysis, it compares the movement of the Asciano curve over January 2015 to bonds issued exclusively in Europe or the United States.</w:t>
      </w:r>
      <w:r w:rsidRPr="004E4474">
        <w:rPr>
          <w:rStyle w:val="FootnoteReference"/>
        </w:rPr>
        <w:footnoteReference w:id="1275"/>
      </w:r>
      <w:r w:rsidRPr="004E4474">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4E4474" w:rsidRPr="004E4474" w:rsidRDefault="004E4474" w:rsidP="004E4474">
      <w:r w:rsidRPr="004E4474">
        <w:t xml:space="preserve">To illustrate this, </w:t>
      </w:r>
      <w:r w:rsidRPr="004E4474">
        <w:fldChar w:fldCharType="begin"/>
      </w:r>
      <w:r w:rsidRPr="004E4474">
        <w:instrText xml:space="preserve"> REF _Ref447617152 \h </w:instrText>
      </w:r>
      <w:r w:rsidRPr="004E4474">
        <w:fldChar w:fldCharType="separate"/>
      </w:r>
      <w:r w:rsidR="000230CB" w:rsidRPr="004E4474">
        <w:t xml:space="preserve">Figure </w:t>
      </w:r>
      <w:r w:rsidR="000230CB">
        <w:rPr>
          <w:noProof/>
        </w:rPr>
        <w:t>3</w:t>
      </w:r>
      <w:r w:rsidR="000230CB">
        <w:noBreakHyphen/>
      </w:r>
      <w:r w:rsidR="000230CB">
        <w:rPr>
          <w:noProof/>
        </w:rPr>
        <w:t>23</w:t>
      </w:r>
      <w:r w:rsidRPr="004E4474">
        <w:fldChar w:fldCharType="end"/>
      </w:r>
      <w:r w:rsidRPr="004E4474">
        <w:t xml:space="preserve"> sets out the spreads to swap for the published RBA and BVAL estimates over Jan</w:t>
      </w:r>
      <w:r w:rsidR="0059650E">
        <w:t>uary</w:t>
      </w:r>
      <w:r w:rsidRPr="004E4474">
        <w:t xml:space="preserve"> 2016 to March 2016.</w:t>
      </w:r>
    </w:p>
    <w:p w:rsidR="004E4474" w:rsidRPr="004E4474" w:rsidRDefault="004E4474" w:rsidP="004E4474">
      <w:pPr>
        <w:pStyle w:val="Caption"/>
      </w:pPr>
      <w:bookmarkStart w:id="299" w:name="_Ref447617152"/>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23</w:t>
      </w:r>
      <w:r w:rsidR="00527450">
        <w:rPr>
          <w:noProof/>
        </w:rPr>
        <w:fldChar w:fldCharType="end"/>
      </w:r>
      <w:bookmarkEnd w:id="299"/>
      <w:r w:rsidRPr="004E4474">
        <w:t xml:space="preserve"> Spread-to-swap profile for published curves in 2016</w:t>
      </w:r>
    </w:p>
    <w:p w:rsidR="004E4474" w:rsidRPr="004E4474" w:rsidRDefault="004E4474" w:rsidP="004E4474">
      <w:r w:rsidRPr="004E4474">
        <w:rPr>
          <w:noProof/>
          <w:lang w:eastAsia="en-AU"/>
        </w:rPr>
        <w:drawing>
          <wp:inline distT="0" distB="0" distL="0" distR="0" wp14:anchorId="2DB91359" wp14:editId="3027F9A7">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4E4474" w:rsidRPr="004E4474" w:rsidRDefault="004E4474" w:rsidP="004E4474">
      <w:pPr>
        <w:pStyle w:val="AERtablesource"/>
      </w:pPr>
      <w:r w:rsidRPr="004E4474">
        <w:t>Source: AER analysis, RBA</w:t>
      </w:r>
    </w:p>
    <w:p w:rsidR="004E4474" w:rsidRPr="004E4474" w:rsidRDefault="004E4474" w:rsidP="004E4474">
      <w:r w:rsidRPr="004E4474">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4E4474" w:rsidRPr="004E4474" w:rsidRDefault="004E4474" w:rsidP="004E4474">
      <w:pPr>
        <w:pStyle w:val="AERbulletlistfirststyle"/>
      </w:pPr>
      <w:r w:rsidRPr="004E4474">
        <w:t>the BVAL spread-to-swap curve reflects a more 'typical' upward sloping yield curve</w:t>
      </w:r>
    </w:p>
    <w:p w:rsidR="004E4474" w:rsidRPr="004E4474" w:rsidRDefault="004E4474" w:rsidP="004E4474">
      <w:pPr>
        <w:pStyle w:val="AERbulletlistfirststyle"/>
      </w:pPr>
      <w:r w:rsidRPr="004E4474">
        <w:t xml:space="preserve">the RBA curve in 2016 has consistently exhibited a higher spread-to-swap at the 3 year published estimate compared to the 10 year published estimate. </w:t>
      </w:r>
    </w:p>
    <w:p w:rsidR="004E4474" w:rsidRPr="004E4474" w:rsidRDefault="004E4474" w:rsidP="004E4474">
      <w:r w:rsidRPr="004E4474">
        <w:t>Specifically, in its most recent report,</w:t>
      </w:r>
      <w:r w:rsidRPr="004E4474">
        <w:rPr>
          <w:rStyle w:val="FootnoteReference"/>
        </w:rPr>
        <w:footnoteReference w:id="1276"/>
      </w:r>
      <w:r w:rsidRPr="004E4474">
        <w:t xml:space="preserve"> CEG cited a prior report in which it submitted the following argument for not recommending sole use of Bloomberg's prior curve (the BFVC) during the GFC:</w:t>
      </w:r>
    </w:p>
    <w:p w:rsidR="004E4474" w:rsidRPr="004E4474" w:rsidRDefault="004E4474" w:rsidP="004E4474">
      <w:pPr>
        <w:pStyle w:val="AERquote"/>
      </w:pPr>
      <w:r w:rsidRPr="004E4474">
        <w:t>It would give rise to estimates that are inconsistent with standard predictions of finance theory in that it would impose a downward sloping term structure for credit spreads (and inconsistent with a clear upward slope where there is available data);</w:t>
      </w:r>
    </w:p>
    <w:p w:rsidR="004E4474" w:rsidRPr="004E4474" w:rsidRDefault="004E4474" w:rsidP="004E4474">
      <w:r w:rsidRPr="004E4474">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4E4474" w:rsidRPr="004E4474" w:rsidRDefault="004E4474" w:rsidP="004E4474">
      <w:r w:rsidRPr="004E4474">
        <w:t>AusNet Services submitted further qualitative analysis of why it considers the Asciano bond would artificially depress the BVAL estimates.</w:t>
      </w:r>
      <w:r w:rsidRPr="004E4474">
        <w:rPr>
          <w:rStyle w:val="FootnoteReference"/>
        </w:rPr>
        <w:footnoteReference w:id="1277"/>
      </w:r>
      <w:r w:rsidRPr="004E4474">
        <w:t xml:space="preserve"> Overall, we consider AusNet's analysis draws unsubstantiated qualitative conclusions about an empirical question of relative valuation. AusNet Services argues that the impact of the takeover bid for Asciano:</w:t>
      </w:r>
    </w:p>
    <w:p w:rsidR="004E4474" w:rsidRPr="004E4474" w:rsidRDefault="004E4474" w:rsidP="004E4474">
      <w:pPr>
        <w:pStyle w:val="AERbulletlistfirststyle"/>
      </w:pPr>
      <w:r w:rsidRPr="004E4474">
        <w:t>would necessarily have led to a downward impact on the yield of the Asciano bond</w:t>
      </w:r>
    </w:p>
    <w:p w:rsidR="004E4474" w:rsidRPr="004E4474" w:rsidRDefault="004E4474" w:rsidP="004E4474">
      <w:pPr>
        <w:pStyle w:val="AERbulletlistfirststyle"/>
      </w:pPr>
      <w:r w:rsidRPr="004E4474">
        <w:t>would have swamped other market impacts on the spread-to-swap of the Asciano bond, such that it was unrepresentative of its sample group.</w:t>
      </w:r>
    </w:p>
    <w:p w:rsidR="004E4474" w:rsidRPr="004E4474" w:rsidRDefault="004E4474" w:rsidP="004E4474">
      <w:r w:rsidRPr="004E4474">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4E4474">
        <w:rPr>
          <w:rStyle w:val="FootnoteReference"/>
        </w:rPr>
        <w:footnoteReference w:id="1278"/>
      </w:r>
      <w:r w:rsidRPr="004E4474">
        <w:t xml:space="preserve"> As set out in our previous decisions, the BVAL bond criteria includes only AUD denominated bonds.</w:t>
      </w:r>
      <w:r w:rsidRPr="004E4474">
        <w:rPr>
          <w:rStyle w:val="FootnoteReference"/>
        </w:rPr>
        <w:footnoteReference w:id="1279"/>
      </w:r>
      <w:r w:rsidRPr="004E4474">
        <w:t xml:space="preserve"> The Reuters </w:t>
      </w:r>
      <w:r w:rsidR="0059650E" w:rsidRPr="004E4474">
        <w:t>criteria similarly allow</w:t>
      </w:r>
      <w:r w:rsidRPr="004E4474">
        <w:t xml:space="preserve"> only AUD denominated bonds.</w:t>
      </w:r>
      <w:r w:rsidRPr="004E4474">
        <w:rPr>
          <w:rStyle w:val="FootnoteReference"/>
        </w:rPr>
        <w:footnoteReference w:id="1280"/>
      </w:r>
      <w:r w:rsidRPr="004E4474">
        <w:t xml:space="preserve"> In contrast, the RBA curve includes AUD denominated bonds, but the majority of bonds within the RBA curve are USD or EU denominated.</w:t>
      </w:r>
      <w:r w:rsidRPr="004E4474">
        <w:rPr>
          <w:rStyle w:val="FootnoteReference"/>
        </w:rPr>
        <w:footnoteReference w:id="1281"/>
      </w:r>
      <w:r w:rsidRPr="004E4474">
        <w:t xml:space="preserve"> </w:t>
      </w:r>
    </w:p>
    <w:p w:rsidR="004E4474" w:rsidRPr="004E4474" w:rsidRDefault="004E4474" w:rsidP="004E4474">
      <w:r w:rsidRPr="004E4474">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4E4474" w:rsidRPr="004E4474" w:rsidRDefault="004E4474" w:rsidP="004E4474">
      <w:pPr>
        <w:pStyle w:val="AERbulletlistfirststyle"/>
      </w:pPr>
      <w:r w:rsidRPr="004E4474">
        <w:t>While we have adopted a 10 year benchmark term, this was based on a weighted average term to maturity of 8.7 years.</w:t>
      </w:r>
      <w:r w:rsidRPr="004E4474">
        <w:rPr>
          <w:rStyle w:val="FootnoteReference"/>
        </w:rPr>
        <w:footnoteReference w:id="1282"/>
      </w:r>
      <w:r w:rsidRPr="004E4474">
        <w:t xml:space="preserve"> We have extrapolated both the RBA and Bloomberg curves for consistency with our benchmark. However, this arguably introduces an upward bias into our estimate in more common circumstances where the yield curve is upward sloping.</w:t>
      </w:r>
    </w:p>
    <w:p w:rsidR="004E4474" w:rsidRPr="004E4474" w:rsidRDefault="004E4474" w:rsidP="004E4474">
      <w:pPr>
        <w:pStyle w:val="AERbulletlistfirststyle"/>
      </w:pPr>
      <w:r w:rsidRPr="004E4474">
        <w:t xml:space="preserve">While we have adopted an industry benchmark credit rating of BBB+, both the BVAL and RBA curves include BBB+, BBB and BBB– rated bonds. </w:t>
      </w:r>
    </w:p>
    <w:p w:rsidR="004E4474" w:rsidRPr="004E4474" w:rsidRDefault="004E4474" w:rsidP="004E4474">
      <w:r w:rsidRPr="004E4474">
        <w:t>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Tribunal, remain valid.</w:t>
      </w:r>
      <w:r w:rsidRPr="004E4474">
        <w:rPr>
          <w:rStyle w:val="FootnoteReference"/>
        </w:rPr>
        <w:footnoteReference w:id="1283"/>
      </w:r>
      <w:r w:rsidRPr="004E4474">
        <w:t xml:space="preserve"> To the extent that there are shortcomings in the BVAL curve beyond </w:t>
      </w:r>
      <w:r w:rsidR="0059650E" w:rsidRPr="004E4474">
        <w:t>its</w:t>
      </w:r>
      <w:r w:rsidRPr="004E4474">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4E4474" w:rsidRPr="004E4474" w:rsidRDefault="004E4474" w:rsidP="004E4474">
      <w:r w:rsidRPr="004E4474">
        <w:t xml:space="preserve">Over AusNet Services' averaging period, the average 7–10 year extrapolation margins are as set out in </w:t>
      </w:r>
      <w:r w:rsidRPr="004E4474">
        <w:fldChar w:fldCharType="begin"/>
      </w:r>
      <w:r w:rsidRPr="004E4474">
        <w:instrText xml:space="preserve"> REF _Ref449100287 \h </w:instrText>
      </w:r>
      <w:r w:rsidRPr="004E4474">
        <w:fldChar w:fldCharType="separate"/>
      </w:r>
      <w:r w:rsidR="000230CB" w:rsidRPr="004E4474">
        <w:t xml:space="preserve">Table </w:t>
      </w:r>
      <w:r w:rsidR="000230CB">
        <w:rPr>
          <w:noProof/>
        </w:rPr>
        <w:t>3</w:t>
      </w:r>
      <w:r w:rsidR="000230CB">
        <w:noBreakHyphen/>
      </w:r>
      <w:r w:rsidR="000230CB">
        <w:rPr>
          <w:noProof/>
        </w:rPr>
        <w:t>44</w:t>
      </w:r>
      <w:r w:rsidRPr="004E4474">
        <w:fldChar w:fldCharType="end"/>
      </w:r>
      <w:r w:rsidRPr="004E4474">
        <w:t>, below.</w:t>
      </w:r>
    </w:p>
    <w:p w:rsidR="004E4474" w:rsidRPr="004E4474" w:rsidRDefault="004E4474" w:rsidP="004E4474">
      <w:pPr>
        <w:pStyle w:val="Caption"/>
      </w:pPr>
      <w:bookmarkStart w:id="300" w:name="_Ref449100287"/>
      <w:r w:rsidRPr="004E4474">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44</w:t>
      </w:r>
      <w:r w:rsidR="00527450">
        <w:rPr>
          <w:noProof/>
        </w:rPr>
        <w:fldChar w:fldCharType="end"/>
      </w:r>
      <w:bookmarkEnd w:id="300"/>
      <w:r w:rsidRPr="004E4474">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4E4474" w:rsidTr="007E6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E4474" w:rsidRPr="004E4474" w:rsidRDefault="004E4474" w:rsidP="004E4474">
            <w:r w:rsidRPr="004E4474">
              <w:t>Approach</w:t>
            </w:r>
          </w:p>
        </w:tc>
        <w:tc>
          <w:tcPr>
            <w:tcW w:w="1666" w:type="pct"/>
          </w:tcPr>
          <w:p w:rsidR="004E4474" w:rsidRPr="004E4474" w:rsidRDefault="004E4474" w:rsidP="004E4474">
            <w:pPr>
              <w:cnfStyle w:val="100000000000" w:firstRow="1" w:lastRow="0" w:firstColumn="0" w:lastColumn="0" w:oddVBand="0" w:evenVBand="0" w:oddHBand="0" w:evenHBand="0" w:firstRowFirstColumn="0" w:firstRowLastColumn="0" w:lastRowFirstColumn="0" w:lastRowLastColumn="0"/>
            </w:pPr>
            <w:r w:rsidRPr="004E4474">
              <w:t>BVAL extrapolation formula</w:t>
            </w:r>
          </w:p>
        </w:tc>
        <w:tc>
          <w:tcPr>
            <w:tcW w:w="1667" w:type="pct"/>
          </w:tcPr>
          <w:p w:rsidR="004E4474" w:rsidRPr="004E4474" w:rsidRDefault="004E4474" w:rsidP="004E4474">
            <w:pPr>
              <w:cnfStyle w:val="100000000000" w:firstRow="1" w:lastRow="0" w:firstColumn="0" w:lastColumn="0" w:oddVBand="0" w:evenVBand="0" w:oddHBand="0" w:evenHBand="0" w:firstRowFirstColumn="0" w:firstRowLastColumn="0" w:lastRowFirstColumn="0" w:lastRowLastColumn="0"/>
            </w:pPr>
            <w:r w:rsidRPr="004E4474">
              <w:t>BVAL extrapolation margin</w:t>
            </w:r>
          </w:p>
        </w:tc>
      </w:tr>
      <w:tr w:rsidR="004E4474" w:rsidTr="007E6AB8">
        <w:tc>
          <w:tcPr>
            <w:cnfStyle w:val="001000000000" w:firstRow="0" w:lastRow="0" w:firstColumn="1" w:lastColumn="0" w:oddVBand="0" w:evenVBand="0" w:oddHBand="0" w:evenHBand="0" w:firstRowFirstColumn="0" w:firstRowLastColumn="0" w:lastRowFirstColumn="0" w:lastRowLastColumn="0"/>
            <w:tcW w:w="1666" w:type="pct"/>
          </w:tcPr>
          <w:p w:rsidR="004E4474" w:rsidRPr="004E4474" w:rsidRDefault="004E4474" w:rsidP="004E4474">
            <w:r w:rsidRPr="004E4474">
              <w:t>Final decision approach</w:t>
            </w:r>
          </w:p>
        </w:tc>
        <w:tc>
          <w:tcPr>
            <w:tcW w:w="1666" w:type="pct"/>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Uses published BVAL 10 year yield estimate</w:t>
            </w:r>
          </w:p>
        </w:tc>
        <w:tc>
          <w:tcPr>
            <w:tcW w:w="1667" w:type="pct"/>
          </w:tcPr>
          <w:p w:rsidR="004E4474" w:rsidRPr="004E4474" w:rsidRDefault="004E4474" w:rsidP="004E4474">
            <w:pPr>
              <w:cnfStyle w:val="000000000000" w:firstRow="0" w:lastRow="0" w:firstColumn="0" w:lastColumn="0" w:oddVBand="0" w:evenVBand="0" w:oddHBand="0" w:evenHBand="0" w:firstRowFirstColumn="0" w:firstRowLastColumn="0" w:lastRowFirstColumn="0" w:lastRowLastColumn="0"/>
            </w:pPr>
            <w:r w:rsidRPr="004E4474">
              <w:t>+39 basis points</w:t>
            </w:r>
          </w:p>
        </w:tc>
      </w:tr>
      <w:tr w:rsidR="004E4474" w:rsidTr="007E6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E4474" w:rsidRPr="004E4474" w:rsidRDefault="004E4474" w:rsidP="004E4474">
            <w:r w:rsidRPr="004E4474">
              <w:t>Contingency approach— where BVAL 10 year published estimate is unavailable</w:t>
            </w:r>
          </w:p>
        </w:tc>
        <w:tc>
          <w:tcPr>
            <w:tcW w:w="1666" w:type="pct"/>
          </w:tcPr>
          <w:p w:rsidR="004E4474" w:rsidRPr="004E4474" w:rsidRDefault="004E4474" w:rsidP="004E4474">
            <w:pPr>
              <w:cnfStyle w:val="000000010000" w:firstRow="0" w:lastRow="0" w:firstColumn="0" w:lastColumn="0" w:oddVBand="0" w:evenVBand="0" w:oddHBand="0" w:evenHBand="1" w:firstRowFirstColumn="0" w:firstRowLastColumn="0" w:lastRowFirstColumn="0" w:lastRowLastColumn="0"/>
            </w:pPr>
            <w:r w:rsidRPr="004E4474">
              <w:t>BVAL 10 year yield = BVAL published 7 year yield + RBA 10 year yield – RBA 7 year yield</w:t>
            </w:r>
          </w:p>
        </w:tc>
        <w:tc>
          <w:tcPr>
            <w:tcW w:w="1667" w:type="pct"/>
          </w:tcPr>
          <w:p w:rsidR="004E4474" w:rsidRPr="004E4474" w:rsidRDefault="004E4474" w:rsidP="004E4474">
            <w:pPr>
              <w:cnfStyle w:val="000000010000" w:firstRow="0" w:lastRow="0" w:firstColumn="0" w:lastColumn="0" w:oddVBand="0" w:evenVBand="0" w:oddHBand="0" w:evenHBand="1" w:firstRowFirstColumn="0" w:firstRowLastColumn="0" w:lastRowFirstColumn="0" w:lastRowLastColumn="0"/>
            </w:pPr>
            <w:r w:rsidRPr="004E4474">
              <w:t>–16 basis points</w:t>
            </w:r>
          </w:p>
        </w:tc>
      </w:tr>
    </w:tbl>
    <w:p w:rsidR="004E4474" w:rsidRPr="004E4474" w:rsidRDefault="004E4474" w:rsidP="004E4474">
      <w:pPr>
        <w:pStyle w:val="AERtablesource"/>
      </w:pPr>
      <w:r w:rsidRPr="004E4474">
        <w:t>Source:</w:t>
      </w:r>
      <w:r w:rsidRPr="004E4474">
        <w:tab/>
        <w:t>AER, RBA, Bloomberg.</w:t>
      </w:r>
    </w:p>
    <w:p w:rsidR="004E4474" w:rsidRPr="004E4474" w:rsidRDefault="004E4474" w:rsidP="004E4474">
      <w:r w:rsidRPr="004E4474">
        <w:t>Therefore, if we were to agree with CEG and AusNet Services' criticisms of the published BVAL 10 year estimate, our next preferred approach would result in a reduction to the BVAL estimate of 55 basis points. We note that this extrapolation approach was upheld by the Tribunal after being appealed by Ausgrid, Endeavour Energy, Essential Energy and Jemena Gas Network and that no party sought to challenge those findings on appeal.</w:t>
      </w:r>
      <w:r w:rsidRPr="004E4474">
        <w:rPr>
          <w:rStyle w:val="FootnoteReference"/>
        </w:rPr>
        <w:footnoteReference w:id="1284"/>
      </w:r>
    </w:p>
    <w:p w:rsidR="004E4474" w:rsidRPr="004E4474" w:rsidRDefault="004E4474" w:rsidP="004E4474">
      <w:pPr>
        <w:pStyle w:val="HeadingBoldBlue"/>
        <w:rPr>
          <w:rStyle w:val="AERtextitalic"/>
        </w:rPr>
      </w:pPr>
      <w:r w:rsidRPr="004E4474">
        <w:rPr>
          <w:rStyle w:val="AERtextitalic"/>
        </w:rPr>
        <w:t>CEG's analysis of sample size</w:t>
      </w:r>
    </w:p>
    <w:p w:rsidR="004E4474" w:rsidRPr="004E4474" w:rsidRDefault="004E4474" w:rsidP="004E4474">
      <w:r w:rsidRPr="004E4474">
        <w:t>In its reports, CEG has criticised the relatively smaller sample size arising from the BVAL selection criteria compared to the RBA selection criteria.</w:t>
      </w:r>
      <w:r w:rsidRPr="004E4474">
        <w:rPr>
          <w:rStyle w:val="FootnoteReference"/>
        </w:rPr>
        <w:footnoteReference w:id="1285"/>
      </w:r>
      <w:r w:rsidRPr="004E4474">
        <w:t xml:space="preserve"> We agree that a large sample size is clearly preferable to a smaller sample where it is clear that the data is of as good or better quality. However:</w:t>
      </w:r>
    </w:p>
    <w:p w:rsidR="004E4474" w:rsidRPr="004E4474" w:rsidRDefault="004E4474" w:rsidP="004E4474">
      <w:pPr>
        <w:pStyle w:val="AERbulletlistfirststyle"/>
      </w:pPr>
      <w:r w:rsidRPr="004E4474">
        <w:t>where it is not clear that the data is of as good or better quality, it is a complex exercise to determine whether the benefits of a larger sample outweigh the disadvantages of lower quality data</w:t>
      </w:r>
    </w:p>
    <w:p w:rsidR="004E4474" w:rsidRPr="004E4474" w:rsidRDefault="004E4474" w:rsidP="004E4474">
      <w:pPr>
        <w:pStyle w:val="AERbulletlistfirststyle"/>
      </w:pPr>
      <w:r w:rsidRPr="004E4474">
        <w:t>a smaller sample does not imply that a curve is not fit for purpose. A larger sample of high quality data is an advantageous feature of a curve, however it needs to be considered in the context of all of the curve's other features and criteria.</w:t>
      </w:r>
    </w:p>
    <w:p w:rsidR="004E4474" w:rsidRPr="004E4474" w:rsidRDefault="004E4474" w:rsidP="004E4474">
      <w:r w:rsidRPr="004E4474">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4E4474">
        <w:rPr>
          <w:rStyle w:val="FootnoteReference"/>
        </w:rPr>
        <w:footnoteReference w:id="1286"/>
      </w:r>
      <w:r w:rsidRPr="004E4474">
        <w:t xml:space="preserve"> While we agree that individual estimates RBA curve is based on a larger data sample, we are not persuaded that the relatively smaller BVAL sample will not contribute to an estimate which achieves the allowed rate of return objective.</w:t>
      </w:r>
    </w:p>
    <w:p w:rsidR="004E4474" w:rsidRPr="004E4474" w:rsidRDefault="004E4474" w:rsidP="004E4474">
      <w:r w:rsidRPr="004E4474">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4E4474">
        <w:rPr>
          <w:rStyle w:val="FootnoteReference"/>
        </w:rPr>
        <w:footnoteReference w:id="1287"/>
      </w:r>
    </w:p>
    <w:p w:rsidR="004E4474" w:rsidRPr="004E4474" w:rsidRDefault="004E4474" w:rsidP="004E4474">
      <w:r w:rsidRPr="004E4474">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4E4474" w:rsidRPr="004E4474" w:rsidRDefault="004E4474" w:rsidP="004E4474">
      <w:pPr>
        <w:pStyle w:val="Caption"/>
      </w:pPr>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24</w:t>
      </w:r>
      <w:r w:rsidR="00527450">
        <w:rPr>
          <w:noProof/>
        </w:rPr>
        <w:fldChar w:fldCharType="end"/>
      </w:r>
      <w:r w:rsidRPr="004E4474">
        <w:tab/>
        <w:t>Illustration of monthly publication on sample size and error</w:t>
      </w:r>
    </w:p>
    <w:p w:rsidR="004E4474" w:rsidRPr="004E4474" w:rsidRDefault="004E4474" w:rsidP="004E4474">
      <w:r w:rsidRPr="004E4474">
        <w:rPr>
          <w:noProof/>
          <w:lang w:eastAsia="en-AU"/>
        </w:rPr>
        <w:drawing>
          <wp:inline distT="0" distB="0" distL="0" distR="0" wp14:anchorId="79890DA0" wp14:editId="19DCA71E">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4E4474" w:rsidRPr="004E4474" w:rsidRDefault="004E4474" w:rsidP="004E4474">
      <w:r w:rsidRPr="004E4474">
        <w:t xml:space="preserve">In addition, the RBA's publication of data on one day a month masks any underlying daily volatility in its estimates. </w:t>
      </w:r>
    </w:p>
    <w:p w:rsidR="004E4474" w:rsidRPr="004E4474" w:rsidRDefault="004E4474" w:rsidP="004E4474">
      <w:r w:rsidRPr="004E4474">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4E4474">
        <w:rPr>
          <w:rStyle w:val="FootnoteReference"/>
        </w:rPr>
        <w:footnoteReference w:id="1288"/>
      </w:r>
      <w:r w:rsidRPr="004E4474">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4E4474" w:rsidRPr="004E4474" w:rsidRDefault="004E4474" w:rsidP="004E4474">
      <w:pPr>
        <w:pStyle w:val="HeadingBoldBlue"/>
        <w:rPr>
          <w:rStyle w:val="AERtextitalic"/>
        </w:rPr>
      </w:pPr>
      <w:r w:rsidRPr="004E4474">
        <w:rPr>
          <w:rStyle w:val="AERtextitalic"/>
        </w:rPr>
        <w:t>CEG's analysis of foreign bonds</w:t>
      </w:r>
    </w:p>
    <w:p w:rsidR="004E4474" w:rsidRPr="004E4474" w:rsidRDefault="004E4474" w:rsidP="004E4474">
      <w:r w:rsidRPr="004E4474">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4E4474" w:rsidRPr="004E4474" w:rsidRDefault="004E4474" w:rsidP="004E4474">
      <w:pPr>
        <w:pStyle w:val="AERbulletlistfirststyle"/>
      </w:pPr>
      <w:r w:rsidRPr="004E4474">
        <w:t>CEG submits that Australian companies have tended to issue long term debt in foreign debt markets</w:t>
      </w:r>
    </w:p>
    <w:p w:rsidR="004E4474" w:rsidRPr="004E4474" w:rsidRDefault="004E4474" w:rsidP="004E4474">
      <w:pPr>
        <w:pStyle w:val="AERbulletlistfirststyle"/>
      </w:pPr>
      <w:r w:rsidRPr="004E4474">
        <w:t>CEG has argued that the Asciano bond is behaving in a way unrepresentative of the benchmark entity with exclusive reference to price movements of foreign bonds.</w:t>
      </w:r>
    </w:p>
    <w:p w:rsidR="004E4474" w:rsidRPr="004E4474" w:rsidRDefault="004E4474" w:rsidP="004E4474">
      <w:r w:rsidRPr="004E4474">
        <w:t>CEG has also submitted analysis suggesting that the RBA curve better reflects the benchmark efficient entity's debt raising practices because Australian companies with long term debt currently on issue have typically done so in overseas markets.</w:t>
      </w:r>
      <w:r w:rsidRPr="004E4474">
        <w:rPr>
          <w:rStyle w:val="FootnoteReference"/>
        </w:rPr>
        <w:footnoteReference w:id="1289"/>
      </w:r>
      <w:r w:rsidRPr="004E4474">
        <w:t xml:space="preserve"> CEG submits that there are two primary reasons for Australian firms commonly issuing foreign currency debt, being:</w:t>
      </w:r>
      <w:r w:rsidRPr="004E4474">
        <w:rPr>
          <w:rStyle w:val="FootnoteReference"/>
        </w:rPr>
        <w:footnoteReference w:id="1290"/>
      </w:r>
    </w:p>
    <w:p w:rsidR="004E4474" w:rsidRPr="004E4474" w:rsidRDefault="004E4474" w:rsidP="004E4474">
      <w:pPr>
        <w:pStyle w:val="AERquotebullet1"/>
      </w:pPr>
      <w:r w:rsidRPr="004E4474">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4E4474" w:rsidRPr="004E4474" w:rsidRDefault="004E4474" w:rsidP="004E4474">
      <w:pPr>
        <w:pStyle w:val="AERquotebullet1"/>
      </w:pPr>
      <w:r w:rsidRPr="004E4474">
        <w:t>Second, there are benefits from diversifying funding sources and maintaining a presence (relationship with funders) in a number of markets so that these markets can be used in future as needed</w:t>
      </w:r>
    </w:p>
    <w:p w:rsidR="004E4474" w:rsidRPr="004E4474" w:rsidRDefault="004E4474" w:rsidP="004E4474">
      <w:r w:rsidRPr="004E4474">
        <w:t>However, in recommending a choice of data series over this period, CEG has recommended adopting the Bloomberg and RBA estimates extrapolated using the AER approach. For example, in an April 2015 report submitted by AusNet Services, CEG concluded that:</w:t>
      </w:r>
      <w:r w:rsidRPr="004E4474">
        <w:rPr>
          <w:rStyle w:val="FootnoteReference"/>
        </w:rPr>
        <w:footnoteReference w:id="1291"/>
      </w:r>
    </w:p>
    <w:p w:rsidR="004E4474" w:rsidRPr="004E4474" w:rsidRDefault="004E4474" w:rsidP="004E4474">
      <w:pPr>
        <w:pStyle w:val="AERquote"/>
      </w:pPr>
      <w:r w:rsidRPr="004E4474">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4E4474" w:rsidRPr="004E4474" w:rsidRDefault="004E4474" w:rsidP="004E4474">
      <w:r w:rsidRPr="004E4474">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4E4474" w:rsidRPr="004E4474" w:rsidRDefault="004E4474" w:rsidP="004E4474">
      <w:r w:rsidRPr="004E4474">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4E4474">
        <w:rPr>
          <w:rStyle w:val="FootnoteReference"/>
        </w:rPr>
        <w:footnoteReference w:id="1292"/>
      </w:r>
      <w:r w:rsidRPr="004E4474">
        <w:t xml:space="preserve"> Specifically, CEG's analysis suggests that service providers will seek debt raising strategies at least in part where they are less costly.</w:t>
      </w:r>
    </w:p>
    <w:p w:rsidR="004E4474" w:rsidRPr="004E4474" w:rsidRDefault="004E4474" w:rsidP="004E4474">
      <w:r w:rsidRPr="004E4474">
        <w:t>As identified by Chairmont, service providers have a number of options for efficiently departing from the strict benchmark characteristics, including amongst other strategies:</w:t>
      </w:r>
    </w:p>
    <w:p w:rsidR="004E4474" w:rsidRPr="004E4474" w:rsidRDefault="004E4474" w:rsidP="004E4474">
      <w:pPr>
        <w:pStyle w:val="AERbulletlistfirststyle"/>
      </w:pPr>
      <w:r w:rsidRPr="004E4474">
        <w:t>issuing shorter term debt or longer term debt than the 10 year benchmark</w:t>
      </w:r>
    </w:p>
    <w:p w:rsidR="004E4474" w:rsidRPr="004E4474" w:rsidRDefault="004E4474" w:rsidP="004E4474">
      <w:pPr>
        <w:pStyle w:val="AERbulletlistfirststyle"/>
      </w:pPr>
      <w:r w:rsidRPr="004E4474">
        <w:t>issuing 'lumpy' debt where market conditions are favourable and reducing debt issuance where they are unfavourable.</w:t>
      </w:r>
      <w:r w:rsidRPr="004E4474">
        <w:rPr>
          <w:rStyle w:val="FootnoteReference"/>
        </w:rPr>
        <w:footnoteReference w:id="1293"/>
      </w:r>
    </w:p>
    <w:p w:rsidR="004E4474" w:rsidRPr="004E4474" w:rsidRDefault="004E4474" w:rsidP="004E4474">
      <w:r w:rsidRPr="004E4474">
        <w:t xml:space="preserve">These options appear to be consistent with the actual practices of the service providers. For example, during the </w:t>
      </w:r>
      <w:r w:rsidR="00CC1847">
        <w:t>G</w:t>
      </w:r>
      <w:r w:rsidRPr="004E4474">
        <w:t>uideline, the ENA provided debt issuance information for eleven privately owned service providers.</w:t>
      </w:r>
      <w:r w:rsidRPr="004E4474">
        <w:rPr>
          <w:rStyle w:val="FootnoteReference"/>
        </w:rPr>
        <w:footnoteReference w:id="1294"/>
      </w:r>
      <w:r w:rsidRPr="004E4474">
        <w:t xml:space="preserve"> This evidence supported a conclusion that service providers raised debt using:</w:t>
      </w:r>
    </w:p>
    <w:p w:rsidR="004E4474" w:rsidRPr="004E4474" w:rsidRDefault="004E4474" w:rsidP="004E4474">
      <w:pPr>
        <w:pStyle w:val="AERbulletlistfirststyle"/>
      </w:pPr>
      <w:r w:rsidRPr="004E4474">
        <w:t>bank debt and commercial paper which have issuance tenors of between 1 month and 7.0 years</w:t>
      </w:r>
    </w:p>
    <w:p w:rsidR="004E4474" w:rsidRPr="004E4474" w:rsidRDefault="004E4474" w:rsidP="004E4474">
      <w:pPr>
        <w:pStyle w:val="AERbulletlistfirststyle"/>
      </w:pPr>
      <w:r w:rsidRPr="004E4474">
        <w:t>Australian bonds which have issuance tenors of between 2.7 and 21.3 years</w:t>
      </w:r>
    </w:p>
    <w:p w:rsidR="004E4474" w:rsidRPr="004E4474" w:rsidRDefault="004E4474" w:rsidP="004E4474">
      <w:pPr>
        <w:pStyle w:val="AERbulletlistfirststyle"/>
      </w:pPr>
      <w:r w:rsidRPr="004E4474">
        <w:t>offshore bonds which have tenors of between 4 and 30 years.</w:t>
      </w:r>
      <w:r w:rsidRPr="004E4474">
        <w:rPr>
          <w:rStyle w:val="FootnoteReference"/>
        </w:rPr>
        <w:footnoteReference w:id="1295"/>
      </w:r>
    </w:p>
    <w:p w:rsidR="004E4474" w:rsidRPr="004E4474" w:rsidRDefault="004E4474" w:rsidP="004E4474">
      <w:r w:rsidRPr="004E4474">
        <w:fldChar w:fldCharType="begin"/>
      </w:r>
      <w:r w:rsidRPr="004E4474">
        <w:instrText xml:space="preserve"> REF _Ref444861217 \h </w:instrText>
      </w:r>
      <w:r w:rsidRPr="004E4474">
        <w:fldChar w:fldCharType="separate"/>
      </w:r>
      <w:r w:rsidR="000230CB" w:rsidRPr="004E4474">
        <w:t xml:space="preserve">Figure </w:t>
      </w:r>
      <w:r w:rsidR="000230CB">
        <w:rPr>
          <w:noProof/>
        </w:rPr>
        <w:t>3</w:t>
      </w:r>
      <w:r w:rsidR="000230CB">
        <w:noBreakHyphen/>
      </w:r>
      <w:r w:rsidR="000230CB">
        <w:rPr>
          <w:noProof/>
        </w:rPr>
        <w:t>25</w:t>
      </w:r>
      <w:r w:rsidRPr="004E4474">
        <w:fldChar w:fldCharType="end"/>
      </w:r>
      <w:r w:rsidRPr="004E4474">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4E4474" w:rsidRPr="004E4474" w:rsidRDefault="004E4474" w:rsidP="004E4474">
      <w:pPr>
        <w:pStyle w:val="Caption"/>
      </w:pPr>
      <w:bookmarkStart w:id="301" w:name="_Ref444861217"/>
      <w:r w:rsidRPr="004E4474">
        <w:t xml:space="preserve">Figure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1010DE">
        <w:noBreakHyphen/>
      </w:r>
      <w:r w:rsidR="00527450">
        <w:fldChar w:fldCharType="begin"/>
      </w:r>
      <w:r w:rsidR="00527450">
        <w:instrText xml:space="preserve"> SEQ Figure \* ARABIC \s 1 </w:instrText>
      </w:r>
      <w:r w:rsidR="00527450">
        <w:fldChar w:fldCharType="separate"/>
      </w:r>
      <w:r w:rsidR="000230CB">
        <w:rPr>
          <w:noProof/>
        </w:rPr>
        <w:t>25</w:t>
      </w:r>
      <w:r w:rsidR="00527450">
        <w:rPr>
          <w:noProof/>
        </w:rPr>
        <w:fldChar w:fldCharType="end"/>
      </w:r>
      <w:bookmarkEnd w:id="301"/>
      <w:r w:rsidRPr="004E4474">
        <w:tab/>
        <w:t>Service providers' terms at issuance of bonds (as at 30 June-20 September 2013, years)</w:t>
      </w:r>
    </w:p>
    <w:p w:rsidR="004E4474" w:rsidRPr="004E4474" w:rsidRDefault="004E4474" w:rsidP="004E4474">
      <w:pPr>
        <w:pStyle w:val="AERbulletlistfirststyle"/>
      </w:pPr>
      <w:r w:rsidRPr="004E4474">
        <w:rPr>
          <w:noProof/>
          <w:lang w:eastAsia="en-AU"/>
        </w:rPr>
        <w:drawing>
          <wp:inline distT="0" distB="0" distL="0" distR="0" wp14:anchorId="44C88343" wp14:editId="5B6078EE">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80953" cy="3485715"/>
                    </a:xfrm>
                    <a:prstGeom prst="rect">
                      <a:avLst/>
                    </a:prstGeom>
                  </pic:spPr>
                </pic:pic>
              </a:graphicData>
            </a:graphic>
          </wp:inline>
        </w:drawing>
      </w:r>
    </w:p>
    <w:p w:rsidR="004E4474" w:rsidRPr="004E4474" w:rsidRDefault="004E4474" w:rsidP="004E4474">
      <w:pPr>
        <w:pStyle w:val="AERtablesource"/>
      </w:pPr>
      <w:r w:rsidRPr="004E4474">
        <w:t xml:space="preserve">Source: </w:t>
      </w:r>
      <w:r w:rsidRPr="004E4474">
        <w:tab/>
        <w:t>ENA provided eleven business debt portfolios, AER analysis.</w:t>
      </w:r>
    </w:p>
    <w:p w:rsidR="004E4474" w:rsidRPr="004E4474" w:rsidRDefault="004E4474" w:rsidP="004E4474">
      <w:pPr>
        <w:pStyle w:val="AERtablesource"/>
      </w:pPr>
      <w:r w:rsidRPr="004E4474">
        <w:t xml:space="preserve">Note: </w:t>
      </w:r>
      <w:r w:rsidRPr="004E4474">
        <w:tab/>
        <w:t>Two businesses provided portfolio information as at 30 June 2013, eight as at 30 August 2013 and one as at 20 September 2013.</w:t>
      </w:r>
    </w:p>
    <w:p w:rsidR="004E4474" w:rsidRPr="004E4474" w:rsidRDefault="004E4474" w:rsidP="004E4474">
      <w:r w:rsidRPr="004E4474">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4E4474" w:rsidRPr="004E4474" w:rsidRDefault="004E4474" w:rsidP="004E4474">
      <w:pPr>
        <w:pStyle w:val="Heading8"/>
      </w:pPr>
      <w:bookmarkStart w:id="302" w:name="_Toc449624779"/>
      <w:bookmarkStart w:id="303" w:name="_Toc451943825"/>
      <w:r w:rsidRPr="004E4474">
        <w:t>Other issues</w:t>
      </w:r>
      <w:bookmarkEnd w:id="302"/>
      <w:bookmarkEnd w:id="303"/>
    </w:p>
    <w:p w:rsidR="004E4474" w:rsidRPr="004E4474" w:rsidRDefault="004E4474" w:rsidP="004E4474">
      <w:r w:rsidRPr="004E4474">
        <w:t>This section sets out our analysis of other issues raised by CEG. Specifically, we address:</w:t>
      </w:r>
    </w:p>
    <w:p w:rsidR="004E4474" w:rsidRPr="004E4474" w:rsidRDefault="004E4474" w:rsidP="004E4474">
      <w:pPr>
        <w:pStyle w:val="AERbulletlistfirststyle"/>
      </w:pPr>
      <w:r w:rsidRPr="004E4474">
        <w:t>CEG's new criteria for selecting bonds and their impact on weighting</w:t>
      </w:r>
    </w:p>
    <w:p w:rsidR="004E4474" w:rsidRPr="004E4474" w:rsidRDefault="004E4474" w:rsidP="004E4474">
      <w:pPr>
        <w:pStyle w:val="AERbulletlistfirststyle"/>
      </w:pPr>
      <w:r w:rsidRPr="004E4474">
        <w:t>Analysis of the mean squared error (MSE) for determining weighting</w:t>
      </w:r>
    </w:p>
    <w:p w:rsidR="004E4474" w:rsidRPr="004E4474" w:rsidRDefault="004E4474" w:rsidP="00DB4FCE">
      <w:pPr>
        <w:pStyle w:val="HeadingBoldBlue"/>
        <w:keepNext/>
        <w:rPr>
          <w:rStyle w:val="AERtextitalic"/>
          <w:rFonts w:eastAsiaTheme="minorHAnsi" w:cs="Times New Roman"/>
          <w:b w:val="0"/>
          <w:bCs w:val="0"/>
          <w:color w:val="auto"/>
          <w:sz w:val="22"/>
        </w:rPr>
      </w:pPr>
      <w:r w:rsidRPr="004E4474">
        <w:rPr>
          <w:rStyle w:val="AERtextitalic"/>
        </w:rPr>
        <w:t>Weighting and criteria</w:t>
      </w:r>
    </w:p>
    <w:p w:rsidR="004E4474" w:rsidRPr="004E4474" w:rsidRDefault="004E4474" w:rsidP="00DB4FCE">
      <w:pPr>
        <w:keepNext/>
      </w:pPr>
      <w:r w:rsidRPr="004E4474">
        <w:t>In the event that we were to consider inclusion of additional curves in future, we are not persuaded by the methodology adopted by CEG to justify a recommendation of either 100% reliance on the RBA curve, or of unequal weighting between curves.</w:t>
      </w:r>
      <w:r w:rsidRPr="004E4474">
        <w:rPr>
          <w:rStyle w:val="FootnoteReference"/>
        </w:rPr>
        <w:footnoteReference w:id="1296"/>
      </w:r>
      <w:r w:rsidRPr="004E4474">
        <w:t xml:space="preserve"> This particular weighting appears arbitrary and is based on qualitative criteria set out by CEG which do not appear to improve on or replace the set of principles that were set out in the </w:t>
      </w:r>
      <w:r w:rsidR="00CC1847">
        <w:t>G</w:t>
      </w:r>
      <w:r w:rsidRPr="004E4474">
        <w:t>uideline and consulted on more widely.</w:t>
      </w:r>
      <w:r w:rsidRPr="004E4474">
        <w:rPr>
          <w:rStyle w:val="FootnoteReference"/>
        </w:rPr>
        <w:footnoteReference w:id="1297"/>
      </w:r>
      <w:r w:rsidRPr="004E4474">
        <w:t xml:space="preserve"> As noted recently by the Tribunal in relation to the choice of data sets adopted in our guideline:</w:t>
      </w:r>
    </w:p>
    <w:p w:rsidR="004E4474" w:rsidRPr="004E4474" w:rsidRDefault="004E4474" w:rsidP="004E4474">
      <w:pPr>
        <w:pStyle w:val="AERquote"/>
      </w:pPr>
      <w:r w:rsidRPr="004E4474">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4E4474">
        <w:rPr>
          <w:rStyle w:val="FootnoteReference"/>
        </w:rPr>
        <w:footnoteReference w:id="1298"/>
      </w:r>
    </w:p>
    <w:p w:rsidR="004E4474" w:rsidRPr="004E4474" w:rsidRDefault="004E4474" w:rsidP="004E4474">
      <w:r w:rsidRPr="004E4474">
        <w:t xml:space="preserve">We remain satisfied that our criteria developed and applied in the </w:t>
      </w:r>
      <w:r w:rsidR="00CC1847">
        <w:t>G</w:t>
      </w:r>
      <w:r w:rsidRPr="004E4474">
        <w:t>uideline and subsequent decisions remain fit for purpose. Further, we are satisfied that application of these criteria will contribute to estimates that will achieve the allowed rate of return objective.</w:t>
      </w:r>
    </w:p>
    <w:p w:rsidR="004E4474" w:rsidRPr="004E4474" w:rsidRDefault="004E4474" w:rsidP="004E4474">
      <w:pPr>
        <w:pStyle w:val="HeadingBoldBlue"/>
        <w:rPr>
          <w:rStyle w:val="AERtextitalic"/>
        </w:rPr>
      </w:pPr>
      <w:r w:rsidRPr="004E4474">
        <w:rPr>
          <w:rStyle w:val="AERtextitalic"/>
        </w:rPr>
        <w:t>Mean squared error</w:t>
      </w:r>
    </w:p>
    <w:p w:rsidR="004E4474" w:rsidRPr="004E4474" w:rsidRDefault="004E4474" w:rsidP="004E4474">
      <w:r w:rsidRPr="004E4474">
        <w:t>We are not persuaded by CEG's analysis of the MSE. In determining the weighting that we would adopt for the average of the BVAL and RBA curves, we have relied on advice from Lally.</w:t>
      </w:r>
      <w:r w:rsidRPr="004E4474">
        <w:rPr>
          <w:rStyle w:val="FootnoteReference"/>
        </w:rPr>
        <w:footnoteReference w:id="1299"/>
      </w:r>
      <w:r w:rsidRPr="004E4474">
        <w:t xml:space="preserve"> Specifically, Lally concluded that a simple average of the BVAL and RBA curves would be likely to minimise the mean squared error (MSE) of the estimator.</w:t>
      </w:r>
      <w:r w:rsidRPr="004E4474">
        <w:rPr>
          <w:rStyle w:val="FootnoteReference"/>
        </w:rPr>
        <w:footnoteReference w:id="1300"/>
      </w:r>
      <w:r w:rsidRPr="004E4474">
        <w:t xml:space="preserve"> CEG disagrees with Lally's analysis of the mean squared error (MSE) of the curve combination, which contributed to our adoption of a simple average between the Bloomberg and RBA curves.</w:t>
      </w:r>
      <w:r w:rsidRPr="004E4474">
        <w:rPr>
          <w:rStyle w:val="FootnoteReference"/>
        </w:rPr>
        <w:footnoteReference w:id="1301"/>
      </w:r>
      <w:r w:rsidRPr="004E4474">
        <w:t xml:space="preserve"> In particular, CEG submits that that the MSE should be evaluated every year, rather than over time,</w:t>
      </w:r>
      <w:r w:rsidRPr="004E4474">
        <w:rPr>
          <w:rStyle w:val="FootnoteReference"/>
        </w:rPr>
        <w:footnoteReference w:id="1302"/>
      </w:r>
      <w:r w:rsidRPr="004E4474">
        <w:t xml:space="preserve"> and that the Bloomberg curve is downwardly biased.</w:t>
      </w:r>
      <w:r w:rsidRPr="004E4474">
        <w:rPr>
          <w:rStyle w:val="FootnoteReference"/>
        </w:rPr>
        <w:footnoteReference w:id="1303"/>
      </w:r>
      <w:r w:rsidRPr="004E4474">
        <w:t xml:space="preserve"> </w:t>
      </w:r>
    </w:p>
    <w:p w:rsidR="004E4474" w:rsidRPr="004E4474" w:rsidRDefault="004E4474" w:rsidP="004E4474">
      <w:r w:rsidRPr="004E4474">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4E4474">
        <w:rPr>
          <w:rStyle w:val="FootnoteReference"/>
        </w:rPr>
        <w:footnoteReference w:id="1304"/>
      </w:r>
      <w:r w:rsidRPr="004E4474">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4E4474" w:rsidRPr="004E4474" w:rsidRDefault="004E4474" w:rsidP="004E4474">
      <w:r w:rsidRPr="004E4474">
        <w:t>Further, we are not satisfied that CEG has substantiated the existence of downward bias within the BVAL curve. In contrast, we consider:</w:t>
      </w:r>
    </w:p>
    <w:p w:rsidR="004E4474" w:rsidRPr="004E4474" w:rsidRDefault="004E4474" w:rsidP="004E4474">
      <w:pPr>
        <w:pStyle w:val="AERbulletlistfirststyle"/>
      </w:pPr>
      <w:r w:rsidRPr="004E4474">
        <w:t xml:space="preserve">CEG has not substantiated evidence of bias in the Bloomberg curve between 7 and 10 years. As discussed in section </w:t>
      </w:r>
      <w:r w:rsidRPr="004E4474">
        <w:fldChar w:fldCharType="begin"/>
      </w:r>
      <w:r w:rsidRPr="004E4474">
        <w:instrText xml:space="preserve"> REF _Ref450660756 \r \h </w:instrText>
      </w:r>
      <w:r w:rsidRPr="004E4474">
        <w:fldChar w:fldCharType="separate"/>
      </w:r>
      <w:r w:rsidR="000230CB">
        <w:t>I.2</w:t>
      </w:r>
      <w:r w:rsidRPr="004E4474">
        <w:fldChar w:fldCharType="end"/>
      </w:r>
      <w:r w:rsidRPr="004E4474">
        <w:t xml:space="preserve"> and in previous decisions, its description of Bloomberg's methodology is inconsistent with the description confirmed by Bloomberg staff. </w:t>
      </w:r>
    </w:p>
    <w:p w:rsidR="004E4474" w:rsidRPr="004E4474" w:rsidRDefault="004E4474" w:rsidP="004E4474">
      <w:pPr>
        <w:pStyle w:val="AERbulletlistfirststyle"/>
      </w:pPr>
      <w:r w:rsidRPr="004E4474">
        <w:t>For the period 2005–2014, CEG has recommended adopting a simple average of the RBA and Bloomberg curves extrapolated using the AER approach.</w:t>
      </w:r>
      <w:r w:rsidRPr="004E4474">
        <w:rPr>
          <w:rStyle w:val="FootnoteReference"/>
        </w:rPr>
        <w:footnoteReference w:id="1305"/>
      </w:r>
      <w:r w:rsidRPr="004E4474">
        <w:t xml:space="preserve"> This appears to suggest that CEG has not observed material downward bias in the BVAL curve over the period for which the curve data is available.</w:t>
      </w:r>
    </w:p>
    <w:p w:rsidR="004E4474" w:rsidRPr="004E4474" w:rsidRDefault="004E4474" w:rsidP="004E4474">
      <w:pPr>
        <w:pStyle w:val="AERbulletlistfirststyle"/>
      </w:pPr>
      <w:r w:rsidRPr="004E4474">
        <w:t xml:space="preserve">Further, as illustrated in </w:t>
      </w:r>
      <w:r w:rsidRPr="004E4474">
        <w:fldChar w:fldCharType="begin"/>
      </w:r>
      <w:r w:rsidRPr="004E4474">
        <w:instrText xml:space="preserve"> REF _Ref444068389 \h </w:instrText>
      </w:r>
      <w:r w:rsidRPr="004E4474">
        <w:fldChar w:fldCharType="separate"/>
      </w:r>
      <w:r w:rsidR="000230CB" w:rsidRPr="004E4474">
        <w:t xml:space="preserve">Figure </w:t>
      </w:r>
      <w:r w:rsidR="000230CB">
        <w:rPr>
          <w:noProof/>
        </w:rPr>
        <w:t>3</w:t>
      </w:r>
      <w:r w:rsidR="000230CB">
        <w:noBreakHyphen/>
      </w:r>
      <w:r w:rsidR="000230CB">
        <w:rPr>
          <w:noProof/>
        </w:rPr>
        <w:t>22</w:t>
      </w:r>
      <w:r w:rsidRPr="004E4474">
        <w:fldChar w:fldCharType="end"/>
      </w:r>
      <w:r w:rsidRPr="004E4474">
        <w:t>, the 7 to 10 year margin of the BVAL DRP relative to CGS is both positive and higher than the same margin implied by the RBA curve. Therefore, we are not persuaded that there is evidence of downward bias in the BVAL curve's estimation beyond 7 years.</w:t>
      </w:r>
    </w:p>
    <w:p w:rsidR="004E4474" w:rsidRDefault="004E4474" w:rsidP="004E4474">
      <w:r w:rsidRPr="004E4474">
        <w:t xml:space="preserve">For these reasons, we remain satisfied that a simple average of the RBA and BVAL curves is likely to minimise the MSE of the estimate over time. </w:t>
      </w:r>
    </w:p>
    <w:p w:rsidR="008638C7" w:rsidRDefault="008638C7" w:rsidP="008638C7">
      <w:pPr>
        <w:pStyle w:val="Heading8"/>
      </w:pPr>
      <w:bookmarkStart w:id="304" w:name="_Toc443394033"/>
      <w:bookmarkStart w:id="305" w:name="_Toc451943826"/>
      <w:r>
        <w:t>New issue premium</w:t>
      </w:r>
      <w:bookmarkEnd w:id="304"/>
      <w:bookmarkEnd w:id="305"/>
    </w:p>
    <w:p w:rsidR="008638C7" w:rsidRDefault="008638C7" w:rsidP="008638C7">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1306"/>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1307"/>
      </w:r>
      <w:r>
        <w:t xml:space="preserve"> </w:t>
      </w:r>
      <w:r w:rsidRPr="006D5821">
        <w:t>Our main reasons for our position are:</w:t>
      </w:r>
    </w:p>
    <w:p w:rsidR="008638C7" w:rsidRDefault="008638C7" w:rsidP="008638C7">
      <w:pPr>
        <w:pStyle w:val="AERbulletlistfirststyle"/>
      </w:pPr>
      <w:r w:rsidRPr="001426E4">
        <w:t xml:space="preserve">Conceptually, we </w:t>
      </w:r>
      <w:r>
        <w:t>consider</w:t>
      </w:r>
      <w:r w:rsidRPr="001426E4">
        <w:t xml:space="preserve"> that </w:t>
      </w:r>
      <w:r>
        <w:t xml:space="preserve">a </w:t>
      </w:r>
      <w:r w:rsidRPr="001426E4">
        <w:t xml:space="preserve">benchmark efficient entity </w:t>
      </w:r>
      <w:r>
        <w:t>w</w:t>
      </w:r>
      <w:r w:rsidRPr="001426E4">
        <w:t>ould</w:t>
      </w:r>
      <w:r>
        <w:t xml:space="preserve"> not</w:t>
      </w:r>
      <w:r w:rsidRPr="001426E4">
        <w:t xml:space="preserve"> face a new issue premium as part of its efficient financing costs.</w:t>
      </w:r>
    </w:p>
    <w:p w:rsidR="008638C7" w:rsidRDefault="008638C7" w:rsidP="008638C7">
      <w:pPr>
        <w:pStyle w:val="AERbulletlistfirststyle"/>
      </w:pPr>
      <w:r>
        <w:t>T</w:t>
      </w:r>
      <w:r w:rsidRPr="0023403A">
        <w:t>he evidence before us indicates that our return on debt allowance</w:t>
      </w:r>
      <w:r>
        <w:t xml:space="preserve"> already appropriately compensates a</w:t>
      </w:r>
      <w:r w:rsidRPr="0023403A">
        <w:t xml:space="preserve"> benchmark efficient entity overall for its efficient financing costs.</w:t>
      </w:r>
    </w:p>
    <w:p w:rsidR="008638C7" w:rsidRDefault="008638C7" w:rsidP="008638C7">
      <w:pPr>
        <w:pStyle w:val="AERbulletlistfirststyle"/>
      </w:pPr>
      <w:r>
        <w:t>W</w:t>
      </w:r>
      <w:r w:rsidRPr="001426E4">
        <w:t>e consider that the empirical evidence on the new issue premium is inconclusive</w:t>
      </w:r>
      <w:r>
        <w:t xml:space="preserve"> in general and that there is little </w:t>
      </w:r>
      <w:r w:rsidRPr="001426E4">
        <w:t xml:space="preserve">consensus among experts on how </w:t>
      </w:r>
      <w:r>
        <w:t>to measure potential</w:t>
      </w:r>
      <w:r w:rsidRPr="001426E4">
        <w:t xml:space="preserve"> new issue premi</w:t>
      </w:r>
      <w:r>
        <w:t>a</w:t>
      </w:r>
      <w:r w:rsidRPr="001426E4">
        <w:t>.</w:t>
      </w:r>
    </w:p>
    <w:p w:rsidR="008638C7" w:rsidRDefault="008638C7" w:rsidP="008638C7">
      <w:pPr>
        <w:pStyle w:val="AERbulletlistfirststyle"/>
      </w:pPr>
      <w:r>
        <w:t>We are unaware of any academic literature on the new issue premium in the Australian market. On behalf of several service providers, CEG conducted an empirical analysis on the Australian marke</w:t>
      </w:r>
      <w:r w:rsidRPr="009644D3">
        <w:t>t.</w:t>
      </w:r>
      <w:r w:rsidRPr="009644D3">
        <w:rPr>
          <w:rStyle w:val="FootnoteReference"/>
        </w:rPr>
        <w:footnoteReference w:id="1308"/>
      </w:r>
      <w:r w:rsidRPr="009644D3">
        <w:t xml:space="preserve"> </w:t>
      </w:r>
      <w:r>
        <w:t xml:space="preserve">However, we have </w:t>
      </w:r>
      <w:r w:rsidRPr="009644D3">
        <w:t>concerns with CEG's methodology</w:t>
      </w:r>
      <w:r>
        <w:t>, which we do not consider CEG has satisfactorily addressed</w:t>
      </w:r>
      <w:r w:rsidRPr="009644D3">
        <w:t>.</w:t>
      </w:r>
      <w:r w:rsidRPr="009644D3">
        <w:rPr>
          <w:rStyle w:val="FootnoteReference"/>
        </w:rPr>
        <w:footnoteReference w:id="1309"/>
      </w:r>
    </w:p>
    <w:p w:rsidR="008638C7" w:rsidRDefault="008638C7" w:rsidP="008638C7">
      <w:r>
        <w:t>We set out these reasons in more detail in the sections below.</w:t>
      </w:r>
    </w:p>
    <w:p w:rsidR="008638C7" w:rsidRDefault="008638C7" w:rsidP="008638C7">
      <w:r>
        <w:t>Consequently, w</w:t>
      </w:r>
      <w:r w:rsidRPr="0018148E">
        <w:t xml:space="preserve">e do not accept </w:t>
      </w:r>
      <w:r>
        <w:t>AGN</w:t>
      </w:r>
      <w:r w:rsidRPr="0018148E">
        <w:t>'</w:t>
      </w:r>
      <w:r>
        <w:t>s revised proposal</w:t>
      </w:r>
      <w:r w:rsidRPr="0018148E">
        <w:t xml:space="preserve"> to include a new issue premium of 27 basis points in the</w:t>
      </w:r>
      <w:r>
        <w:t>ir</w:t>
      </w:r>
      <w:r w:rsidRPr="0018148E">
        <w:t xml:space="preserve"> return on debt calculation</w:t>
      </w:r>
      <w:r>
        <w:t>.</w:t>
      </w:r>
      <w:r>
        <w:rPr>
          <w:rStyle w:val="FootnoteReference"/>
        </w:rPr>
        <w:footnoteReference w:id="1310"/>
      </w:r>
      <w:r>
        <w:t xml:space="preserve"> Similarly, we do not accept United Energy's submission that we should </w:t>
      </w:r>
      <w:r w:rsidRPr="00FC1CBB">
        <w:t>include a new issue premium of 27 basis points</w:t>
      </w:r>
      <w:r>
        <w:t xml:space="preserve"> if we do not adopt the immediate transition approach to the cost of debt.</w:t>
      </w:r>
      <w:r>
        <w:rPr>
          <w:rStyle w:val="FootnoteReference"/>
        </w:rPr>
        <w:footnoteReference w:id="1311"/>
      </w:r>
      <w:r>
        <w:t xml:space="preserve"> </w:t>
      </w:r>
      <w:r w:rsidRPr="0018148E">
        <w:t>We accept the</w:t>
      </w:r>
      <w:r>
        <w:t xml:space="preserve"> revised</w:t>
      </w:r>
      <w:r w:rsidRPr="0018148E">
        <w:t xml:space="preserve"> proposals of the other service providers that did not propose to include an explicit allowance for the new issue premium. However, we do not agree with the commentary by some service providers that the exclusion of a new issue premium makes</w:t>
      </w:r>
      <w:r>
        <w:t xml:space="preserve"> their proposed return on debt 'highly conservative'</w:t>
      </w:r>
      <w:r w:rsidRPr="0018148E">
        <w:t>.</w:t>
      </w:r>
      <w:r>
        <w:rPr>
          <w:rStyle w:val="FootnoteReference"/>
        </w:rPr>
        <w:footnoteReference w:id="1312"/>
      </w:r>
    </w:p>
    <w:p w:rsidR="008638C7" w:rsidRDefault="008638C7" w:rsidP="00DB4FCE">
      <w:pPr>
        <w:pStyle w:val="HeadingBoldBlue"/>
        <w:keepNext/>
      </w:pPr>
      <w:r>
        <w:t>Conceptually, a benchmark efficient entity would not face a new issue premium</w:t>
      </w:r>
    </w:p>
    <w:p w:rsidR="008638C7" w:rsidRDefault="008638C7" w:rsidP="00DB4FCE">
      <w:pPr>
        <w:keepNext/>
      </w:pPr>
      <w:r>
        <w:t>We consider that a benchmark efficient entity would not face a new issue premium as part of its efficient financing costs. This is because we do not consider that there is a conceptual case for a benchmark efficient entity underpricing its new bond issues. Rather, there are some reasons suggesting that this premium, if it exists, arises from inefficient financing practices. Consequently, even if empirical evidence indicated that a new issue premium existed for BBB+ rated debt on average (which it does not, as we discuss in a later section), it is our view that a benchmark efficient entity would not necessarily incur this premium as part of its efficient financing costs. Therefore, we consider that an uplift for a new issue premium would not contribute to the achievement of the ARORO.</w:t>
      </w:r>
    </w:p>
    <w:p w:rsidR="008638C7" w:rsidRDefault="008638C7" w:rsidP="008638C7">
      <w:r>
        <w:t>The more prevalent explanations on the potential existence of the new issue premium in the academic literature involve market imperfections such as transaction costs and information asymmetry.</w:t>
      </w:r>
      <w:r>
        <w:rPr>
          <w:rStyle w:val="FootnoteReference"/>
        </w:rPr>
        <w:footnoteReference w:id="1313"/>
      </w:r>
      <w:r>
        <w:t xml:space="preserve"> We accept that market imperfections that result in unavoidable costs are relevant to a benchmark efficient entity's efficient financing costs. As such, in contrast to what CEG suggests, we do not discount providing an uplift for the new issue premium on this basis.</w:t>
      </w:r>
      <w:r>
        <w:rPr>
          <w:rStyle w:val="FootnoteReference"/>
        </w:rPr>
        <w:footnoteReference w:id="1314"/>
      </w:r>
      <w:r>
        <w:t xml:space="preserve"> Rather, we hold the view that we already provide appropriate compensation for efficient, unavoidable transaction costs. For instance, we provide an allowance for debt raising costs, which most of the service providers have accepted in their revised proposals.</w:t>
      </w:r>
      <w:r>
        <w:rPr>
          <w:rStyle w:val="FootnoteReference"/>
        </w:rPr>
        <w:footnoteReference w:id="1315"/>
      </w:r>
    </w:p>
    <w:p w:rsidR="008638C7" w:rsidRPr="008638C7" w:rsidRDefault="008638C7" w:rsidP="008638C7">
      <w:r>
        <w:t>W</w:t>
      </w:r>
      <w:r w:rsidRPr="008638C7">
        <w:t>e consider that the market imperfections that may explain the new issue premium would result in avoidable costs, which a benchmark efficient entity would not incur. For example, to the extent that some issuers of investment grade debt might use less reputable investment banks, these issuers might be more likely to incur a new issue premium.</w:t>
      </w:r>
      <w:r w:rsidRPr="008638C7">
        <w:rPr>
          <w:rStyle w:val="FootnoteReference"/>
        </w:rPr>
        <w:footnoteReference w:id="1316"/>
      </w:r>
      <w:r w:rsidRPr="008638C7">
        <w:t xml:space="preserve"> However, we consider a benchmark efficient entity would engage a reputable investment bank and our allowance for debt raising costs would sufficiently coves these costs.</w:t>
      </w:r>
      <w:r w:rsidRPr="008638C7">
        <w:rPr>
          <w:rStyle w:val="FootnoteReference"/>
        </w:rPr>
        <w:footnoteReference w:id="1317"/>
      </w:r>
      <w:r w:rsidRPr="008638C7">
        <w:t xml:space="preserve"> To the extent that the majority of issuers of investment grade debt engage reputable investment banks, we agree that this would provide limited support for our position if investment grade debt still incurs a new issue premium on average.</w:t>
      </w:r>
      <w:r w:rsidRPr="008638C7">
        <w:rPr>
          <w:rStyle w:val="FootnoteReference"/>
        </w:rPr>
        <w:footnoteReference w:id="1318"/>
      </w:r>
    </w:p>
    <w:p w:rsidR="008638C7" w:rsidRPr="008638C7" w:rsidRDefault="008638C7" w:rsidP="008638C7">
      <w:r>
        <w:t>In contrast to what CEG suggests,</w:t>
      </w:r>
      <w:r w:rsidRPr="008638C7">
        <w:rPr>
          <w:rStyle w:val="FootnoteReference"/>
        </w:rPr>
        <w:footnoteReference w:id="1319"/>
      </w:r>
      <w:r w:rsidRPr="008638C7">
        <w:t xml:space="preserve"> we consider that there are at least two ways in which a benchmark efficient entity would differ from other issuers of investment grade debt that are conceptually relevant to the existence of the new issue premium. First, a benchmark efficient entity would have particularly stable cash flows. This would occur if (as is our view) a benchmark efficient entity has regulated revenues. However, even if a benchmark efficient entity's revenues were not regulated, it would still have notably stable cash flows as it would face limited demand risk, having a natural monopoly position over an essential service. As CEG acknowledges, 'a BEE [benchmark efficient entity] has more stable cash-flows before interest than some, or even most, other BBB rated firms'.</w:t>
      </w:r>
      <w:r w:rsidRPr="008638C7">
        <w:rPr>
          <w:rStyle w:val="FootnoteReference"/>
        </w:rPr>
        <w:footnoteReference w:id="1320"/>
      </w:r>
      <w:r w:rsidRPr="008638C7">
        <w:t xml:space="preserve"> The Consumer Challenge Panel also noted this:</w:t>
      </w:r>
      <w:r w:rsidRPr="008638C7">
        <w:rPr>
          <w:rStyle w:val="FootnoteReference"/>
        </w:rPr>
        <w:footnoteReference w:id="1321"/>
      </w:r>
    </w:p>
    <w:p w:rsidR="008638C7" w:rsidRDefault="008638C7" w:rsidP="008638C7">
      <w:pPr>
        <w:pStyle w:val="AERquote"/>
      </w:pPr>
      <w:r>
        <w:t>[T]</w:t>
      </w:r>
      <w:r w:rsidRPr="00682CD5">
        <w:t>he very fundamental fact that the revenue streams and asset values of the</w:t>
      </w:r>
      <w:r>
        <w:t xml:space="preserve"> </w:t>
      </w:r>
      <w:r w:rsidRPr="00682CD5">
        <w:t>DNSPs are protected under the regulatory arrangements makes the Australian DNSPs</w:t>
      </w:r>
      <w:r>
        <w:t xml:space="preserve"> </w:t>
      </w:r>
      <w:r w:rsidRPr="00682CD5">
        <w:t>unique among the firms in the commercial BBB bond sector that is used to determine the</w:t>
      </w:r>
      <w:r>
        <w:t xml:space="preserve"> </w:t>
      </w:r>
      <w:r w:rsidRPr="00682CD5">
        <w:t>benchmark yield</w:t>
      </w:r>
      <w:r>
        <w:t>.</w:t>
      </w:r>
    </w:p>
    <w:p w:rsidR="008638C7" w:rsidRPr="008638C7" w:rsidRDefault="008638C7" w:rsidP="008638C7">
      <w:pPr>
        <w:pStyle w:val="ListContinue"/>
      </w:pPr>
      <w:r>
        <w:t>We consider these notably stable cash flows w</w:t>
      </w:r>
      <w:r w:rsidRPr="008638C7">
        <w:t>ould reduce the likelihood of a benchmark efficient entity incurring a new issue premium from asymmetric information regarding the performance of new investment grade issues on the secondary market. This is because the predictability of its cash flows would mean that there is less uncertainty as to the performance of its new bond issues, which in turn implies that there would be less room for any information asymmetry regarding these issues. Second, due to the essential nature of the services it provides, we would expect a benchmark efficient entity to be followed more closely by analysts than most other issuers of investment grade debt, which would also have the effect of reducing any information asymmetry.</w:t>
      </w:r>
      <w:r w:rsidRPr="008638C7">
        <w:rPr>
          <w:rStyle w:val="FootnoteReference"/>
        </w:rPr>
        <w:footnoteReference w:id="1322"/>
      </w:r>
    </w:p>
    <w:p w:rsidR="008638C7" w:rsidRDefault="008638C7" w:rsidP="00DB4FCE">
      <w:pPr>
        <w:pStyle w:val="HeadingBoldBlue"/>
        <w:keepNext/>
      </w:pPr>
      <w:r>
        <w:t>A benchmark efficient entity is currently appropriately compensated overall for its cost of debt</w:t>
      </w:r>
    </w:p>
    <w:p w:rsidR="008638C7" w:rsidRDefault="008638C7" w:rsidP="00DB4FCE">
      <w:pPr>
        <w:keepNext/>
      </w:pPr>
      <w:r>
        <w:t>Even if we were to accept that a benchmark efficient entity could conceptually face a positive new issue premium, it is not clear that an uplift would contribute to achieving the ARORO. This is because we consider our current approach already appropriately compensates service providers for their cost of debt. Neither the service providers nor CEG have submitted empirical evidence of overall undercompensation. As we stated in our SA Power Networks preliminary decision,</w:t>
      </w:r>
      <w:r>
        <w:rPr>
          <w:rStyle w:val="FootnoteReference"/>
        </w:rPr>
        <w:footnoteReference w:id="1323"/>
      </w:r>
      <w:r>
        <w:t xml:space="preserve"> we consider that there are some reasons to suggest that the service providers may in fact be overcompensated by our current approach:</w:t>
      </w:r>
    </w:p>
    <w:p w:rsidR="008638C7" w:rsidRDefault="008638C7" w:rsidP="008638C7">
      <w:pPr>
        <w:pStyle w:val="AERbulletlistfirststyle"/>
      </w:pPr>
      <w:r>
        <w:t xml:space="preserve">Our benchmark credit rating is BBB+ on Standard and Poor's </w:t>
      </w:r>
      <w:r w:rsidRPr="00B07AB1">
        <w:t xml:space="preserve">rating scale, whereas the third party data series we </w:t>
      </w:r>
      <w:r>
        <w:t>use to estimate our return on debt allowance are rated</w:t>
      </w:r>
      <w:r w:rsidRPr="00B07AB1">
        <w:t xml:space="preserve"> BBB.</w:t>
      </w:r>
    </w:p>
    <w:p w:rsidR="008638C7" w:rsidRDefault="008638C7" w:rsidP="008638C7">
      <w:pPr>
        <w:pStyle w:val="AERbulletlistfirststyle"/>
      </w:pPr>
      <w:r w:rsidRPr="00B07AB1">
        <w:t>Our benchmark debt term is 10 years, whereas the industry mean is somewhat less than 10 years, with longer term debt being typically more expensive than shorter term debt.</w:t>
      </w:r>
    </w:p>
    <w:p w:rsidR="008638C7" w:rsidRDefault="008638C7" w:rsidP="008638C7">
      <w:r>
        <w:t>In the same decision, we also referred to some historical empirical estimates of overcompensation:</w:t>
      </w:r>
      <w:r>
        <w:rPr>
          <w:rStyle w:val="FootnoteReference"/>
        </w:rPr>
        <w:footnoteReference w:id="1324"/>
      </w:r>
    </w:p>
    <w:p w:rsidR="008638C7" w:rsidRDefault="008638C7" w:rsidP="008638C7">
      <w:pPr>
        <w:pStyle w:val="AERbulletlistfirststyle"/>
      </w:pPr>
      <w:r>
        <w:t xml:space="preserve">In 2013, the Productivity Commission found that the 'average </w:t>
      </w:r>
      <w:r w:rsidRPr="00F522F2">
        <w:t>regulatory cost of debt is [125 basis points] higher than the estimated borrowing costs'</w:t>
      </w:r>
      <w:r>
        <w:t>.</w:t>
      </w:r>
      <w:r>
        <w:rPr>
          <w:rStyle w:val="FootnoteReference"/>
        </w:rPr>
        <w:footnoteReference w:id="1325"/>
      </w:r>
    </w:p>
    <w:p w:rsidR="008638C7" w:rsidRDefault="008638C7" w:rsidP="008638C7">
      <w:pPr>
        <w:pStyle w:val="AERbulletlistfirststyle"/>
      </w:pPr>
      <w:r>
        <w:t xml:space="preserve">In its rule change proposal in 2011, the Energy Users Rule Change Committee </w:t>
      </w:r>
      <w:r w:rsidRPr="00F522F2">
        <w:t>calculated that our allowed return on debt exceeded the approximate cost of debt by an average of 191 basis points for the five new bond issues by Australian electricity network service providers between February 2010 and March 2011 for which data were available</w:t>
      </w:r>
      <w:r>
        <w:t>.</w:t>
      </w:r>
      <w:r>
        <w:rPr>
          <w:rStyle w:val="FootnoteReference"/>
        </w:rPr>
        <w:footnoteReference w:id="1326"/>
      </w:r>
    </w:p>
    <w:p w:rsidR="008638C7" w:rsidRDefault="008638C7" w:rsidP="008638C7">
      <w:r>
        <w:t xml:space="preserve">CEG submitted that </w:t>
      </w:r>
      <w:r w:rsidRPr="00D03A22">
        <w:t>'the AER has not presented any reliable evidence of the magnitude of the alleged overcompensation'</w:t>
      </w:r>
      <w:r>
        <w:t xml:space="preserve"> of service providers for their efficient financing costs.</w:t>
      </w:r>
      <w:r>
        <w:rPr>
          <w:rStyle w:val="FootnoteReference"/>
        </w:rPr>
        <w:footnoteReference w:id="1327"/>
      </w:r>
      <w:r>
        <w:t xml:space="preserve"> However, CEG has not given any reasons for why it views these estimates as unreliable. We also note that there has been some broker commentary recently regarding this topic, with two brokers stating that they expect the service providers to be able to outperform our return on debt allowances.</w:t>
      </w:r>
      <w:r>
        <w:rPr>
          <w:rStyle w:val="FootnoteReference"/>
        </w:rPr>
        <w:footnoteReference w:id="1328"/>
      </w:r>
      <w:r>
        <w:t xml:space="preserve"> While we do not take these estimates and comments to be conclusive</w:t>
      </w:r>
      <w:r w:rsidRPr="00E3244E">
        <w:t xml:space="preserve">, </w:t>
      </w:r>
      <w:r>
        <w:t>we do take them to suggest that our current approach is reasonable without providing an additional allowance for a new issue premium.</w:t>
      </w:r>
    </w:p>
    <w:p w:rsidR="008638C7" w:rsidRDefault="008638C7" w:rsidP="008638C7">
      <w:r>
        <w:t>We reiterate that we are unaware of any regulators with a general policy of providing an uplift for the new issue premium.</w:t>
      </w:r>
      <w:r>
        <w:rPr>
          <w:rStyle w:val="FootnoteReference"/>
        </w:rPr>
        <w:footnoteReference w:id="1329"/>
      </w:r>
      <w:r>
        <w:t xml:space="preserve"> The ERA recently considered providing an allowance for the new issue premium, but concluded that '</w:t>
      </w:r>
      <w:r w:rsidRPr="007611C7">
        <w:t xml:space="preserve">the presence of the new issue premium is not supported by any economic </w:t>
      </w:r>
      <w:r>
        <w:t>theory or by empirical evidence'.</w:t>
      </w:r>
      <w:r>
        <w:rPr>
          <w:rStyle w:val="FootnoteReference"/>
        </w:rPr>
        <w:footnoteReference w:id="1330"/>
      </w:r>
      <w:r w:rsidRPr="001C142C">
        <w:rPr>
          <w:rStyle w:val="FootnoteReference"/>
        </w:rPr>
        <w:t xml:space="preserve"> </w:t>
      </w:r>
    </w:p>
    <w:p w:rsidR="008638C7" w:rsidRDefault="008638C7" w:rsidP="008638C7">
      <w:r>
        <w:t>We consider</w:t>
      </w:r>
      <w:r w:rsidRPr="003B082A">
        <w:t xml:space="preserve"> that </w:t>
      </w:r>
      <w:r>
        <w:t xml:space="preserve">the above evidence indicates that </w:t>
      </w:r>
      <w:r w:rsidRPr="003B082A">
        <w:t>we use an appropriate</w:t>
      </w:r>
      <w:r>
        <w:t xml:space="preserve"> (if not, a conservatively high)</w:t>
      </w:r>
      <w:r w:rsidRPr="003B082A">
        <w:t xml:space="preserve"> estimate of the cost of debt to determine allowed revenues. </w:t>
      </w:r>
      <w:r>
        <w:t>Given this, we consider Handley's advice supports our decision in stating, '</w:t>
      </w:r>
      <w:r w:rsidRPr="003B082A">
        <w:t>assuming allowed revenues are determined using an appropriate estimate of the cost of debt…then it is my view that, underpricing should not be allowed as</w:t>
      </w:r>
      <w:r>
        <w:t xml:space="preserve"> a cost of raising debt capital'.</w:t>
      </w:r>
      <w:r w:rsidRPr="003B082A">
        <w:rPr>
          <w:rStyle w:val="FootnoteReference"/>
        </w:rPr>
        <w:footnoteReference w:id="1331"/>
      </w:r>
      <w:r>
        <w:t xml:space="preserve"> While we accept CEG's observation that this advice is 'definitionally true', we do not accept that this indicates </w:t>
      </w:r>
      <w:r w:rsidRPr="003B082A">
        <w:t xml:space="preserve">that </w:t>
      </w:r>
      <w:r>
        <w:t>'</w:t>
      </w:r>
      <w:r w:rsidRPr="003B082A">
        <w:t>the new issue premium is a cost incurred by a business and should be compensated</w:t>
      </w:r>
      <w:r>
        <w:t>'</w:t>
      </w:r>
      <w:r w:rsidRPr="003B082A">
        <w:t>.</w:t>
      </w:r>
      <w:r>
        <w:rPr>
          <w:rStyle w:val="FootnoteReference"/>
        </w:rPr>
        <w:footnoteReference w:id="1332"/>
      </w:r>
      <w:r>
        <w:t xml:space="preserve"> One could only reach CEG's interpretation if Handley advised a benchmark efficient entity would incur a new issue premium and that our debt allowance was inadequate because it did not cover these costs </w:t>
      </w:r>
      <w:r w:rsidRPr="00014706">
        <w:t>―</w:t>
      </w:r>
      <w:r>
        <w:t xml:space="preserve"> neither of which Handley advised. However, we agree that by virtue of being 'definitionally true', Handley's advice in isolation cannot support our decision.</w:t>
      </w:r>
      <w:r>
        <w:rPr>
          <w:rStyle w:val="FootnoteReference"/>
        </w:rPr>
        <w:footnoteReference w:id="1333"/>
      </w:r>
      <w:r>
        <w:t xml:space="preserve"> For this reason, we do not rely on this in isolation, as CEG appears to imply.</w:t>
      </w:r>
    </w:p>
    <w:p w:rsidR="008638C7" w:rsidRDefault="008638C7" w:rsidP="008638C7">
      <w:pPr>
        <w:pStyle w:val="HeadingBoldBlue"/>
      </w:pPr>
      <w:r>
        <w:t>Empirical evidence on the new issue premium is inconclusive</w:t>
      </w:r>
    </w:p>
    <w:p w:rsidR="008638C7" w:rsidRDefault="008638C7" w:rsidP="008638C7">
      <w:r>
        <w:t>We maintain our previous view in that the literature on the new issue premium is 'inconclusive as to … [its] extent and its nature'.</w:t>
      </w:r>
      <w:r>
        <w:rPr>
          <w:rStyle w:val="FootnoteReference"/>
        </w:rPr>
        <w:footnoteReference w:id="1334"/>
      </w:r>
      <w:r>
        <w:t xml:space="preserve"> We are not aware of any new literature on the topic and CEG's new report does not refer to any such literature. In contrast to CEG's view, we consider that the literature, including that surveyed in CEG's original report, does not provide conclusive evidence of a significant, positive new issue premium.</w:t>
      </w:r>
      <w:r>
        <w:rPr>
          <w:rStyle w:val="FootnoteReference"/>
        </w:rPr>
        <w:footnoteReference w:id="1335"/>
      </w:r>
    </w:p>
    <w:p w:rsidR="008638C7" w:rsidRDefault="008638C7" w:rsidP="008638C7">
      <w:r>
        <w:t>It is also worth noting that we are unaware of any academic literature on the new issue premium in the Australian market. Rather, the limited research on the new issue premium appears to focus on the US market. As such, even if there was conclusive evidence of a positive, material new issue premium in the US (which we do not consider there is), this does not necessarily mean such a premium would exist in other markets. While one might reasonably expect a benchmark efficient entity would issue some debt in US markets, we would expect this would not constitute the majority of their debt portfolio.</w:t>
      </w:r>
      <w:r>
        <w:rPr>
          <w:rStyle w:val="FootnoteReference"/>
        </w:rPr>
        <w:footnoteReference w:id="1336"/>
      </w:r>
      <w:r>
        <w:t xml:space="preserve"> As such, any potential US new issue premium would have a diluted effect on a benchmark efficient entity.</w:t>
      </w:r>
    </w:p>
    <w:p w:rsidR="008638C7" w:rsidRDefault="008638C7" w:rsidP="008638C7">
      <w:pPr>
        <w:pStyle w:val="HeadingBoldItalic"/>
      </w:pPr>
      <w:r>
        <w:t>Papers surveyed in CEG's original report</w:t>
      </w:r>
    </w:p>
    <w:p w:rsidR="008638C7" w:rsidRPr="008638C7" w:rsidRDefault="008638C7" w:rsidP="008638C7">
      <w:r>
        <w:t xml:space="preserve">We maintain our previous view that the literature surveyed in CEG's original report does not provide conclusive evidence of a </w:t>
      </w:r>
      <w:r w:rsidRPr="008638C7">
        <w:t>significant, positive new issue premium. When reviewing academic literature on this topic, we consider evidence regarding investment grade debt generally. This is because our benchmark credit rating of BBB+ is investment grade. We note that while evidence on the new issue premium for BBB+ rated debt would be preferable, we are not aware of any relevant findings in the academic literature on BBB+ rated debt specifically.</w:t>
      </w:r>
      <w:r w:rsidRPr="008638C7">
        <w:rPr>
          <w:rStyle w:val="FootnoteReference"/>
        </w:rPr>
        <w:footnoteReference w:id="1337"/>
      </w:r>
    </w:p>
    <w:p w:rsidR="008638C7" w:rsidRPr="008638C7" w:rsidRDefault="008638C7" w:rsidP="008638C7">
      <w:r>
        <w:t>We</w:t>
      </w:r>
      <w:r w:rsidRPr="008638C7">
        <w:t xml:space="preserve"> acknowledge CEG's comment that considering investment grade debt generally might 'obscure' the potential presence of a positive new issue premium for BBB rated debt if there is a negligible or negative premium for higher rated investment grade debt.</w:t>
      </w:r>
      <w:r w:rsidRPr="008638C7">
        <w:rPr>
          <w:rStyle w:val="FootnoteReference"/>
        </w:rPr>
        <w:footnoteReference w:id="1338"/>
      </w:r>
      <w:r w:rsidRPr="008638C7">
        <w:t xml:space="preserve"> It is worth noting that the relevant debt for examining the new issue premium would be BBB+ rather than BBB debt, which is slightly below the median credit rating across the investment grade range (that is, BBB+/AAA-). Further, we consider any obscuring of a potential new issue premium would be immaterial ― and certainly less material than our use of a broad BBB credit rating band to estimate the return on debt for a BBB+ benchmark credit rating.</w:t>
      </w:r>
    </w:p>
    <w:p w:rsidR="008638C7" w:rsidRDefault="008638C7" w:rsidP="008638C7">
      <w:r>
        <w:t>We consider there is mixed evidence on the new issue premium for investment grade debt in the papers that CEG originally surveyed. We do not agree with CEG's interpretation that, 'the dominant finding [in these eight papers] was for a positive NIP [new issue premium]'.</w:t>
      </w:r>
      <w:r>
        <w:rPr>
          <w:rStyle w:val="FootnoteReference"/>
        </w:rPr>
        <w:footnoteReference w:id="1339"/>
      </w:r>
      <w:r>
        <w:t xml:space="preserve"> Rather, we consider that half of the papers that CEG reviewed contradicted this finding. Specifically, the findings regarding investment grade debt in the eight papers surveyed in CEG's original report are:</w:t>
      </w:r>
    </w:p>
    <w:p w:rsidR="008638C7" w:rsidRDefault="008638C7" w:rsidP="008638C7">
      <w:pPr>
        <w:pStyle w:val="AERbulletlistfirststyle"/>
      </w:pPr>
      <w:r>
        <w:t>One found a significant negative new issue premium for investment grade corporate bonds (Datta et al.).</w:t>
      </w:r>
      <w:r>
        <w:rPr>
          <w:rStyle w:val="FootnoteReference"/>
        </w:rPr>
        <w:footnoteReference w:id="1340"/>
      </w:r>
      <w:r>
        <w:t xml:space="preserve"> In its new report, CEG misstated that this paper found no significant premium for such bonds.</w:t>
      </w:r>
      <w:r>
        <w:rPr>
          <w:rStyle w:val="FootnoteReference"/>
        </w:rPr>
        <w:footnoteReference w:id="1341"/>
      </w:r>
    </w:p>
    <w:p w:rsidR="008638C7" w:rsidRDefault="008638C7" w:rsidP="008638C7">
      <w:pPr>
        <w:pStyle w:val="AERbulletlistfirststyle"/>
      </w:pPr>
      <w:r>
        <w:t>One found a significant negative new issue premium for US Treasury bonds (</w:t>
      </w:r>
      <w:r w:rsidRPr="00C602EA">
        <w:t>Carayannopoulos</w:t>
      </w:r>
      <w:r>
        <w:t>).</w:t>
      </w:r>
      <w:r>
        <w:rPr>
          <w:rStyle w:val="FootnoteReference"/>
        </w:rPr>
        <w:footnoteReference w:id="1342"/>
      </w:r>
    </w:p>
    <w:p w:rsidR="008638C7" w:rsidRDefault="008638C7" w:rsidP="008638C7">
      <w:pPr>
        <w:pStyle w:val="AERbulletlistfirststyle"/>
      </w:pPr>
      <w:r>
        <w:t>One found fluctuations between positive and negative new issue premiums for AA rated public utility bonds (Lindvall).</w:t>
      </w:r>
      <w:r>
        <w:rPr>
          <w:rStyle w:val="FootnoteReference"/>
        </w:rPr>
        <w:footnoteReference w:id="1343"/>
      </w:r>
    </w:p>
    <w:p w:rsidR="008638C7" w:rsidRDefault="008638C7" w:rsidP="008638C7">
      <w:pPr>
        <w:pStyle w:val="AERbulletlistfirststyle"/>
      </w:pPr>
      <w:r>
        <w:t>One found no significant new issue premium for investment grade corporate bonds (Cai et al.).</w:t>
      </w:r>
      <w:r>
        <w:rPr>
          <w:rStyle w:val="FootnoteReference"/>
        </w:rPr>
        <w:footnoteReference w:id="1344"/>
      </w:r>
    </w:p>
    <w:p w:rsidR="008638C7" w:rsidRDefault="008638C7" w:rsidP="008638C7">
      <w:pPr>
        <w:pStyle w:val="AERbulletlistfirststyle"/>
      </w:pPr>
      <w:r>
        <w:t>Three found new issue premiums for various subsets of investment grade corporate bonds (AA rated bonds in Conard and Frankena, non-convertible public utility bonds in Ederington, and non-finance bonds in Ronn and Goldberg), though the significance of each of these findings is unknown.</w:t>
      </w:r>
      <w:r>
        <w:rPr>
          <w:rStyle w:val="FootnoteReference"/>
        </w:rPr>
        <w:footnoteReference w:id="1345"/>
      </w:r>
    </w:p>
    <w:p w:rsidR="008638C7" w:rsidRDefault="008638C7" w:rsidP="008638C7">
      <w:pPr>
        <w:pStyle w:val="AERbulletlistfirststyle"/>
      </w:pPr>
      <w:r>
        <w:t>One did not consider a sample including investment grade bonds only. In any case, it found no significant new issue premium for its broader sample of industrial and utility bonds (Weinstein).</w:t>
      </w:r>
      <w:r>
        <w:rPr>
          <w:rStyle w:val="FootnoteReference"/>
        </w:rPr>
        <w:footnoteReference w:id="1346"/>
      </w:r>
    </w:p>
    <w:p w:rsidR="008638C7" w:rsidRDefault="008638C7" w:rsidP="008638C7">
      <w:pPr>
        <w:pStyle w:val="HeadingBoldItalic"/>
      </w:pPr>
      <w:r>
        <w:t>Other international empirical evidence</w:t>
      </w:r>
    </w:p>
    <w:p w:rsidR="008638C7" w:rsidRDefault="008638C7" w:rsidP="008638C7">
      <w:r>
        <w:t>Our assessment of Kozhanov and Ogden's paper, which was overlooked in CEG's original report, is that it supports our current approach of not providing an uplift for the new issue premium.</w:t>
      </w:r>
      <w:r>
        <w:rPr>
          <w:rStyle w:val="FootnoteReference"/>
        </w:rPr>
        <w:footnoteReference w:id="1347"/>
      </w:r>
      <w:r>
        <w:t xml:space="preserve"> Considered together with CEG's original survey, this paper adds to our view that the academic empirical literature on the new issue premium is mixed.</w:t>
      </w:r>
    </w:p>
    <w:p w:rsidR="008638C7" w:rsidRDefault="008638C7" w:rsidP="008638C7">
      <w:r>
        <w:t>We consider this paper's most relevant finding is an observed systematic 18.7 basis point overstatement of the yields at which firms issue investment grade industrial and utility bonds in the US by relevant benchmark yield curves, to which we referred in our preliminary decision for SA Power Networks.</w:t>
      </w:r>
      <w:r>
        <w:rPr>
          <w:rStyle w:val="FootnoteReference"/>
        </w:rPr>
        <w:footnoteReference w:id="1348"/>
      </w:r>
      <w:r>
        <w:t xml:space="preserve"> This overstatement appears to be due to the greater liquidity of these new issues. We consider this finding particularly relevant because we </w:t>
      </w:r>
      <w:r w:rsidRPr="0018148E">
        <w:t>estimate our return on debt allowance using third party</w:t>
      </w:r>
      <w:r>
        <w:t xml:space="preserve"> benchmark</w:t>
      </w:r>
      <w:r w:rsidRPr="0018148E">
        <w:t xml:space="preserve"> yield curves</w:t>
      </w:r>
      <w:r>
        <w:t>. As such, this indicates that our current approach may overcompensate service providers for their effective cost of debt. As noted by CEG, Kozhanov and Ogden also use a matching method to estimate an underpricing effect of 12 basis points.</w:t>
      </w:r>
      <w:r>
        <w:rPr>
          <w:rStyle w:val="FootnoteReference"/>
        </w:rPr>
        <w:footnoteReference w:id="1349"/>
      </w:r>
      <w:r>
        <w:t xml:space="preserve"> We acknowledge this. However, in assessing whether an adjustment to our return on debt allowance is appropriate, one should not consider this in isolation of Kozhanov and Ogden's findings regarding liquidity effects.</w:t>
      </w:r>
    </w:p>
    <w:p w:rsidR="008638C7" w:rsidRDefault="008638C7" w:rsidP="008638C7">
      <w:r>
        <w:t>We consider that CEG misinterpreted Kozhanov and Ogden's paper when it submitted that 'the authors [highlight]</w:t>
      </w:r>
      <w:r w:rsidRPr="00CC29A2">
        <w:t xml:space="preserve"> the measurement of a negative NIP</w:t>
      </w:r>
      <w:r>
        <w:t xml:space="preserve"> [new issue premium]</w:t>
      </w:r>
      <w:r w:rsidRPr="00CC29A2">
        <w:t xml:space="preserve"> as a mistake due to an incorrect</w:t>
      </w:r>
      <w:r>
        <w:t xml:space="preserve"> methodology'.</w:t>
      </w:r>
      <w:r>
        <w:rPr>
          <w:rStyle w:val="FootnoteReference"/>
        </w:rPr>
        <w:footnoteReference w:id="1350"/>
      </w:r>
      <w:r>
        <w:t xml:space="preserve"> Kozhanov and Ogden compared the yields on new bond issues to those on various benchmarks to determine what they call the 'implied initial price discrepancy', which we take to be equivalent to the new issue premium. As CEG noted, Kozhanov and Ogden's main aim was to sort the underpricing and liquidity effects constituting this price discrepancy. However, the total discrepancy is relevant to us because both effects could potentially affect our calculation of the return on debt. We note that we have focused on Kozhanov and Ogden's findings using Citi benchmarks, which we consider more comparable to the benchmarks we use in estimating the allowed return on debt.</w:t>
      </w:r>
    </w:p>
    <w:p w:rsidR="008638C7" w:rsidRPr="0094783C" w:rsidRDefault="008638C7" w:rsidP="008638C7">
      <w:pPr>
        <w:pStyle w:val="HeadingBoldBlue"/>
      </w:pPr>
      <w:r>
        <w:t>CEG's empirical analysis of the new issue premium</w:t>
      </w:r>
    </w:p>
    <w:p w:rsidR="008638C7" w:rsidRPr="008638C7" w:rsidRDefault="008638C7" w:rsidP="008638C7">
      <w:r w:rsidRPr="0018148E">
        <w:t xml:space="preserve">We do not accept </w:t>
      </w:r>
      <w:r w:rsidRPr="008638C7">
        <w:t>the reasoning provided by ActewAGL, AGN or the Victorian DNSPs for why our estimate of the allowed return on debt would be conservatively low unless we included a new issue premium of 27 basis points.</w:t>
      </w:r>
      <w:r w:rsidRPr="008638C7">
        <w:rPr>
          <w:rStyle w:val="FootnoteReference"/>
        </w:rPr>
        <w:footnoteReference w:id="1351"/>
      </w:r>
      <w:r w:rsidRPr="008638C7">
        <w:t xml:space="preserve"> Service providers based these proposals on an analysis in CEG's October 2014 report.</w:t>
      </w:r>
      <w:r w:rsidRPr="008638C7">
        <w:rPr>
          <w:rStyle w:val="FootnoteReference"/>
        </w:rPr>
        <w:footnoteReference w:id="1352"/>
      </w:r>
      <w:r w:rsidRPr="008638C7">
        <w:t xml:space="preserve"> We previously reviewed this report and concluded that there were potential limitations with the methodology and data used. Further, we found the validity of the findings was not clear and the report lacked transparency.</w:t>
      </w:r>
      <w:r w:rsidRPr="008638C7">
        <w:rPr>
          <w:rStyle w:val="FootnoteReference"/>
        </w:rPr>
        <w:footnoteReference w:id="1353"/>
      </w:r>
    </w:p>
    <w:p w:rsidR="008638C7" w:rsidRPr="008638C7" w:rsidRDefault="008638C7" w:rsidP="008638C7">
      <w:r>
        <w:t>In the revised regulatory proposals currently before us, service providers submitted an additional CEG report in r</w:t>
      </w:r>
      <w:r w:rsidRPr="008638C7">
        <w:t>esponse to our previous analysis.</w:t>
      </w:r>
      <w:r w:rsidRPr="008638C7">
        <w:rPr>
          <w:rStyle w:val="FootnoteReference"/>
        </w:rPr>
        <w:footnoteReference w:id="1354"/>
      </w:r>
      <w:r w:rsidRPr="008638C7">
        <w:t xml:space="preserve"> Having carefully considered this new material, we maintain our concerns regarding CEG's original report. We do not consider CEG adequately addressed our concerns with the empirical analysis in its original report. Consequently, we do not accept that the best estimate of a new issue premium relevant to a benchmark efficient entity would be 27 basis points.</w:t>
      </w:r>
    </w:p>
    <w:p w:rsidR="008638C7" w:rsidRDefault="008638C7" w:rsidP="008638C7">
      <w:r>
        <w:t>Generally, we consider that:</w:t>
      </w:r>
    </w:p>
    <w:p w:rsidR="008638C7" w:rsidRDefault="008638C7" w:rsidP="008638C7">
      <w:pPr>
        <w:pStyle w:val="AERbulletlistfirststyle"/>
      </w:pPr>
      <w:r w:rsidRPr="00024E1A">
        <w:t>To the extent that</w:t>
      </w:r>
      <w:r>
        <w:t xml:space="preserve"> CEG</w:t>
      </w:r>
      <w:r w:rsidRPr="00024E1A">
        <w:t xml:space="preserve"> has</w:t>
      </w:r>
      <w:r>
        <w:t xml:space="preserve"> tried to</w:t>
      </w:r>
      <w:r w:rsidRPr="00024E1A">
        <w:t xml:space="preserve"> address </w:t>
      </w:r>
      <w:r>
        <w:t>our</w:t>
      </w:r>
      <w:r w:rsidRPr="00024E1A">
        <w:t xml:space="preserve"> concerns, </w:t>
      </w:r>
      <w:r>
        <w:t>it</w:t>
      </w:r>
      <w:r w:rsidRPr="00024E1A">
        <w:t xml:space="preserve"> has not addressed them holistically. CEG's new report acknowledges that, for most of our criticisms, accounting for them would reduce but not eliminate the estimated new issue premium. We note that CEG does not state whether any of these reduced estimates are significant. We also consider it possible that if </w:t>
      </w:r>
      <w:r>
        <w:t>CEG accounted for all of our concerns</w:t>
      </w:r>
      <w:r w:rsidRPr="00024E1A">
        <w:t>, then the combined effect could be to eliminate CEG's estimate</w:t>
      </w:r>
      <w:r>
        <w:t xml:space="preserve"> of the</w:t>
      </w:r>
      <w:r w:rsidRPr="00024E1A">
        <w:t xml:space="preserve"> new issue premium.</w:t>
      </w:r>
    </w:p>
    <w:p w:rsidR="008638C7" w:rsidRDefault="008638C7" w:rsidP="008638C7">
      <w:pPr>
        <w:pStyle w:val="AERbulletlistfirststyle"/>
      </w:pPr>
      <w:r>
        <w:t>CEG overstates the reliability of its new issue premium estimate. Given the high sensitivity of its estimate to some of our suggested adjustments, we consider that it may not be reasonable to use it in our estimation of the return on debt allowance, particularly to the level of precision claimed by CEG.</w:t>
      </w:r>
    </w:p>
    <w:p w:rsidR="008638C7" w:rsidRPr="008638C7" w:rsidRDefault="008638C7" w:rsidP="008638C7">
      <w:pPr>
        <w:pStyle w:val="AERbulletlistfirststyle"/>
      </w:pPr>
      <w:r>
        <w:t>We also maintain our previous concerns about several methodological choices, which we address below. These include CEG's use of GFC data, sample of bonds, and control for interest rate movements.</w:t>
      </w:r>
    </w:p>
    <w:p w:rsidR="008638C7" w:rsidRDefault="008638C7" w:rsidP="008638C7">
      <w:pPr>
        <w:pStyle w:val="HeadingBoldItalic"/>
      </w:pPr>
      <w:r>
        <w:t>Overrepresentation of GFC data</w:t>
      </w:r>
    </w:p>
    <w:p w:rsidR="008638C7" w:rsidRPr="008638C7" w:rsidRDefault="008638C7" w:rsidP="008638C7">
      <w:r>
        <w:t xml:space="preserve">We maintain our concerns </w:t>
      </w:r>
      <w:r w:rsidRPr="008638C7">
        <w:t>that the analysis in CEG's report overrepresented GFC period data. Though the transparency of CEG's results is limited, it appears from Figure 1 in its new report that the time period of the new bond issues included in its original sample was from mid-2008 to mid-2014.</w:t>
      </w:r>
      <w:r w:rsidRPr="008638C7">
        <w:rPr>
          <w:rStyle w:val="FootnoteReference"/>
        </w:rPr>
        <w:footnoteReference w:id="1355"/>
      </w:r>
      <w:r w:rsidRPr="008638C7">
        <w:t xml:space="preserve"> We consider it possible that new bond issues in at least 2008 and 2009 could have faced abnormally elevated yields due to the extreme market conditions in the aftermath of the GFC.</w:t>
      </w:r>
      <w:r w:rsidRPr="008638C7">
        <w:rPr>
          <w:rStyle w:val="FootnoteReference"/>
        </w:rPr>
        <w:footnoteReference w:id="1356"/>
      </w:r>
      <w:r w:rsidRPr="008638C7">
        <w:t xml:space="preserve"> This is supported by CEG's analysis in that it found three of the six new bond issues it considered in these two years to have new issue premia of more than 100 basis points, with another two being more than 50 basis points.</w:t>
      </w:r>
      <w:r w:rsidRPr="008638C7">
        <w:rPr>
          <w:rStyle w:val="FootnoteReference"/>
        </w:rPr>
        <w:footnoteReference w:id="1357"/>
      </w:r>
    </w:p>
    <w:p w:rsidR="008638C7" w:rsidRPr="008638C7" w:rsidRDefault="008638C7" w:rsidP="008638C7">
      <w:r>
        <w:t>As</w:t>
      </w:r>
      <w:r w:rsidRPr="008638C7">
        <w:t xml:space="preserve"> this GFC-affected period (2008 and 2009) makes up approximately a quarter of the time period considered by CEG in calculating its estimate of the new issue premium, we consider that its estimate may not be applicable to prevailing market conditions, especially not to the level of precision claimed by CEG. SACES' advice to SACOSS is consistent with our position:</w:t>
      </w:r>
      <w:r w:rsidRPr="008638C7">
        <w:rPr>
          <w:rStyle w:val="FootnoteReference"/>
        </w:rPr>
        <w:footnoteReference w:id="1358"/>
      </w:r>
    </w:p>
    <w:p w:rsidR="008638C7" w:rsidRDefault="008638C7" w:rsidP="008638C7">
      <w:pPr>
        <w:pStyle w:val="AERquote"/>
      </w:pPr>
      <w:r w:rsidRPr="0094783C">
        <w:t xml:space="preserve">If any of the sample is pre-2009 the extreme dislocation of the financial markets in the after effects of the GFC could distort the results. (It is worth noting in this context that the distribution of the sample is very skewed, with 4 individual new issue premia of over 200 basis points in the </w:t>
      </w:r>
      <w:r>
        <w:t>'</w:t>
      </w:r>
      <w:r w:rsidRPr="0094783C">
        <w:t>12 week, full sample, relative to movements in fair value yields’ dataset when the mean value is 5 basis points. Whilst this could represent the normal shape of the data is seems more likely to us that this is driven by some of the observations coming from a period of high uncertainty and/or high yields.)</w:t>
      </w:r>
    </w:p>
    <w:p w:rsidR="008638C7" w:rsidRPr="00443E65" w:rsidRDefault="008638C7" w:rsidP="008638C7">
      <w:r>
        <w:t>In its response, CEG submitted that excluding the bonds issued in 2008 and 2009 reduces its new issue premium estimate to 13 basis points if it uses the BFV to control for general movements in interest rates or 23 basis points if it uses the swap curve, giving an average estimate of 18 basis points.</w:t>
      </w:r>
      <w:r>
        <w:rPr>
          <w:rStyle w:val="FootnoteReference"/>
        </w:rPr>
        <w:footnoteReference w:id="1359"/>
      </w:r>
      <w:r>
        <w:t xml:space="preserve"> CEG did not report the significance of these estimates. We consider that the large size of the effect of this exclusion on CEG's estimate, representing a reduction of one third, suggests that CEG's estimate may not be sufficiently reliable for us to use in estimating our return on debt allowance.</w:t>
      </w:r>
    </w:p>
    <w:p w:rsidR="008638C7" w:rsidRDefault="008638C7" w:rsidP="008638C7">
      <w:pPr>
        <w:pStyle w:val="HeadingBoldItalic"/>
      </w:pPr>
      <w:r>
        <w:t>CEG's sample inconsistent with the RBA/BVAL samples</w:t>
      </w:r>
    </w:p>
    <w:p w:rsidR="008638C7" w:rsidRPr="008638C7" w:rsidRDefault="008638C7" w:rsidP="008638C7">
      <w:r>
        <w:t xml:space="preserve">We maintain our previous concern that </w:t>
      </w:r>
      <w:r w:rsidRPr="008638C7">
        <w:t>CEG's sample of bonds seems to be inconsistent with the bond samples included in the BVAL and RBA curves, with which we estimate the allowed return on debt. For example, it included floating-rate bonds and bonds issued in British pounds, neither of which from part of the RBA or BVAL curves. Also, CEG did not appear to restrict bonds by either their BVAL score or their issue size — both of which are proxies for liquidity, which CEG hypothesises is a potential source of the new issue premium.</w:t>
      </w:r>
      <w:r w:rsidRPr="008638C7">
        <w:rPr>
          <w:rStyle w:val="FootnoteReference"/>
        </w:rPr>
        <w:footnoteReference w:id="1360"/>
      </w:r>
      <w:r w:rsidRPr="008638C7">
        <w:t xml:space="preserve"> Further, CEG used the BFV curve rather than the BVAL or RBA curves as a control for general movements in interest rates. These appear to show inconsistencies with CEG's statement that its methodology used Bloomberg data for consistency with how we estimate the allowed return on debt.</w:t>
      </w:r>
      <w:r w:rsidRPr="008638C7">
        <w:rPr>
          <w:rStyle w:val="FootnoteReference"/>
        </w:rPr>
        <w:footnoteReference w:id="1361"/>
      </w:r>
    </w:p>
    <w:p w:rsidR="008638C7" w:rsidRPr="008638C7" w:rsidRDefault="008638C7" w:rsidP="008638C7">
      <w:r>
        <w:t>In CEG's response, it</w:t>
      </w:r>
      <w:r w:rsidRPr="008638C7">
        <w:t xml:space="preserve"> submitted a calculation from its original report showing that adjusting its sample to include only fixed rate bonds, as per the BVAL sample selection criteria, reduces its new issue premium estimate to 24 basis points.</w:t>
      </w:r>
      <w:r w:rsidRPr="008638C7">
        <w:rPr>
          <w:rStyle w:val="FootnoteReference"/>
        </w:rPr>
        <w:footnoteReference w:id="1362"/>
      </w:r>
      <w:r w:rsidRPr="008638C7">
        <w:t xml:space="preserve"> If banking and finance sector bonds are also excluded, as per the RBA criteria, then CEG's adjusted estimate becomes 25 basis points.</w:t>
      </w:r>
      <w:r w:rsidRPr="008638C7">
        <w:rPr>
          <w:rStyle w:val="FootnoteReference"/>
        </w:rPr>
        <w:footnoteReference w:id="1363"/>
      </w:r>
      <w:r w:rsidRPr="008638C7">
        <w:t xml:space="preserve"> We are not satisfied that the small magnitude of these adjustments suggest that the new issue premium on the excluded bond types is generally reflective of those in the BVAL/RBA samples. CEG has not stated what would be the effect on its new issue premium estimate of excluding the GBP bonds from its sample, which we consider could reduce its estimate of the new issue premium given that the liquidity of the GBP corporate bond market appears to have fallen since 2008.</w:t>
      </w:r>
      <w:r w:rsidRPr="008638C7">
        <w:rPr>
          <w:rStyle w:val="FootnoteReference"/>
        </w:rPr>
        <w:footnoteReference w:id="1364"/>
      </w:r>
      <w:r w:rsidRPr="008638C7">
        <w:t xml:space="preserve"> Generally, we are not satisfied that a larger, conceptually inconsistent sample is preferable to the smaller, appropriate sample in this instance. Generally, we consider that CEG's choice not to make these adjustments undermines the reliability of its estimate of the new issue premium. As we estimate our return on debt allowance using the BVAL/RBA curves, we continue to consider that it is inconsistent to base the case for a change to this allowance on observations of bonds which are not in the samples underlying these curves.</w:t>
      </w:r>
    </w:p>
    <w:p w:rsidR="008638C7" w:rsidRDefault="008638C7" w:rsidP="008638C7">
      <w:pPr>
        <w:pStyle w:val="HeadingBoldItalic"/>
      </w:pPr>
      <w:r>
        <w:t>Control used for general movements in interest rates</w:t>
      </w:r>
    </w:p>
    <w:p w:rsidR="008638C7" w:rsidRDefault="008638C7" w:rsidP="008638C7">
      <w:r w:rsidRPr="003F6156">
        <w:t xml:space="preserve">We consider that using the swap curve as a form of control in </w:t>
      </w:r>
      <w:r>
        <w:t xml:space="preserve">estimating a </w:t>
      </w:r>
      <w:r w:rsidRPr="003F6156">
        <w:t xml:space="preserve">new issue premium could </w:t>
      </w:r>
      <w:r>
        <w:t>overstate (understate</w:t>
      </w:r>
      <w:r w:rsidRPr="003F6156">
        <w:t xml:space="preserve">) the estimate if periods </w:t>
      </w:r>
      <w:r>
        <w:t>where</w:t>
      </w:r>
      <w:r w:rsidRPr="003F6156">
        <w:t xml:space="preserve"> the credit spread is decreasing (increasing) are included in the sample. It is our view that, to avoid </w:t>
      </w:r>
      <w:r>
        <w:t>this</w:t>
      </w:r>
      <w:r w:rsidRPr="003F6156">
        <w:t xml:space="preserve">, CEG should not have used the swap curve as a form of control. CEG </w:t>
      </w:r>
      <w:r>
        <w:t xml:space="preserve">did not dispute </w:t>
      </w:r>
      <w:r w:rsidRPr="003F6156">
        <w:t xml:space="preserve">that its use of the swap curve overestimated the new issue premium in the period since the GFC, where the credit spread had been reducing slowly. </w:t>
      </w:r>
      <w:r>
        <w:t xml:space="preserve">However, </w:t>
      </w:r>
      <w:r w:rsidRPr="003F6156">
        <w:t xml:space="preserve">CEG </w:t>
      </w:r>
      <w:r>
        <w:t>noted</w:t>
      </w:r>
      <w:r w:rsidRPr="003F6156">
        <w:t xml:space="preserve"> that if our reasoning is corr</w:t>
      </w:r>
      <w:r>
        <w:t xml:space="preserve">ect, then the swap curve would </w:t>
      </w:r>
      <w:r w:rsidRPr="003F6156">
        <w:t xml:space="preserve">underestimate </w:t>
      </w:r>
      <w:r>
        <w:t xml:space="preserve">the new issue premium </w:t>
      </w:r>
      <w:r w:rsidRPr="003F6156">
        <w:t>when risk premiums were rising in the lead up to the GFC</w:t>
      </w:r>
      <w:r>
        <w:t>.</w:t>
      </w:r>
      <w:r w:rsidRPr="003F6156">
        <w:rPr>
          <w:rStyle w:val="FootnoteReference"/>
        </w:rPr>
        <w:footnoteReference w:id="1365"/>
      </w:r>
      <w:r w:rsidRPr="003F6156">
        <w:t xml:space="preserve"> We accept this implication. </w:t>
      </w:r>
      <w:r>
        <w:t>As it appears that the time period of CEG's sample did not include most of the lead up to the GFC, we consider it is possible that CEG's estimate using the swap curve captured only the method's upward bias and not its downward bias. According to CEG's report</w:t>
      </w:r>
      <w:r w:rsidRPr="003F6156">
        <w:t>, using the BFV</w:t>
      </w:r>
      <w:r>
        <w:t xml:space="preserve"> curve</w:t>
      </w:r>
      <w:r w:rsidRPr="003F6156">
        <w:t xml:space="preserve"> as its only form of control would reduce its estimate to 21 basis points. It is </w:t>
      </w:r>
      <w:r>
        <w:t>unclear</w:t>
      </w:r>
      <w:r w:rsidRPr="003F6156">
        <w:t xml:space="preserve"> whether CEG's estimate would continue to be positive and significant </w:t>
      </w:r>
      <w:r>
        <w:t>if it combined this adjustment with other</w:t>
      </w:r>
      <w:r w:rsidRPr="003F6156">
        <w:t xml:space="preserve"> adjustments suggested by some of our other concerns.</w:t>
      </w:r>
    </w:p>
    <w:p w:rsidR="008638C7" w:rsidRPr="004E4474" w:rsidRDefault="008638C7" w:rsidP="004E4474">
      <w:r>
        <w:t>Moreover, it continues to be</w:t>
      </w:r>
      <w:r w:rsidRPr="00392B2B">
        <w:t xml:space="preserve"> our view that CEG should have </w:t>
      </w:r>
      <w:r>
        <w:t>used the</w:t>
      </w:r>
      <w:r w:rsidRPr="00392B2B">
        <w:t xml:space="preserve"> BVAL/RBA curves</w:t>
      </w:r>
      <w:r>
        <w:t xml:space="preserve"> rather than</w:t>
      </w:r>
      <w:r w:rsidRPr="00392B2B">
        <w:t xml:space="preserve"> </w:t>
      </w:r>
      <w:r>
        <w:t>the BFV curve</w:t>
      </w:r>
      <w:r w:rsidRPr="00392B2B">
        <w:t xml:space="preserve"> </w:t>
      </w:r>
      <w:r>
        <w:t>(</w:t>
      </w:r>
      <w:r w:rsidRPr="00392B2B">
        <w:t xml:space="preserve">to the extent that they </w:t>
      </w:r>
      <w:r>
        <w:t>we</w:t>
      </w:r>
      <w:r w:rsidRPr="00392B2B">
        <w:t xml:space="preserve">re </w:t>
      </w:r>
      <w:r>
        <w:t>available)</w:t>
      </w:r>
      <w:r w:rsidRPr="00392B2B">
        <w:t xml:space="preserve"> in estimat</w:t>
      </w:r>
      <w:r>
        <w:t xml:space="preserve">ing a </w:t>
      </w:r>
      <w:r w:rsidRPr="00392B2B">
        <w:t xml:space="preserve">new issue premium. </w:t>
      </w:r>
      <w:r>
        <w:t>W</w:t>
      </w:r>
      <w:r w:rsidRPr="00392B2B">
        <w:t>e accept that there are some limitations with using the BVAL/RBA curves as</w:t>
      </w:r>
      <w:r>
        <w:t xml:space="preserve"> forms of control in that they we</w:t>
      </w:r>
      <w:r w:rsidRPr="00392B2B">
        <w:t xml:space="preserve">re not </w:t>
      </w:r>
      <w:r>
        <w:t>available</w:t>
      </w:r>
      <w:r w:rsidRPr="00392B2B">
        <w:t xml:space="preserve"> to CEG's full sample of bonds and period of analysis</w:t>
      </w:r>
      <w:r>
        <w:t xml:space="preserve">. </w:t>
      </w:r>
      <w:r w:rsidRPr="00392B2B">
        <w:t>In response to our criticism of its use of the BFV curve to control for general movements in interest rates in its original analysis, CEG submitted that 'there is no reason to reject our results simply because they are based on a logical methodological choice where others could also be made'.</w:t>
      </w:r>
      <w:r w:rsidRPr="00392B2B">
        <w:rPr>
          <w:rStyle w:val="FootnoteReference"/>
        </w:rPr>
        <w:footnoteReference w:id="1366"/>
      </w:r>
      <w:r w:rsidRPr="00392B2B">
        <w:t xml:space="preserve"> However, CEG has not engaged with our suggestion that this use of the BFV curve is inconsistent with our use of the BVAL/RBA curves in estimating our return on debt allowance. It is not clear to us that using the RBA curve as a form of control would be 'unlikely [to] have a material impact on [CEG's] results', as CEG claims in its new report.</w:t>
      </w:r>
      <w:r w:rsidRPr="00392B2B">
        <w:rPr>
          <w:rStyle w:val="FootnoteReference"/>
        </w:rPr>
        <w:footnoteReference w:id="1367"/>
      </w:r>
    </w:p>
    <w:p w:rsidR="004E4474" w:rsidRPr="004E4474" w:rsidRDefault="00AA1057" w:rsidP="00AA1057">
      <w:pPr>
        <w:pStyle w:val="Heading8"/>
      </w:pPr>
      <w:bookmarkStart w:id="306" w:name="_Ref451539513"/>
      <w:bookmarkStart w:id="307" w:name="_Toc451943827"/>
      <w:r>
        <w:t>Averaging periods</w:t>
      </w:r>
      <w:bookmarkEnd w:id="306"/>
      <w:bookmarkEnd w:id="307"/>
    </w:p>
    <w:p w:rsidR="00F14D24" w:rsidRPr="00986B6E" w:rsidRDefault="00F14D24" w:rsidP="00F14D24">
      <w:r w:rsidRPr="00986B6E">
        <w:t xml:space="preserve">We set out our decision on </w:t>
      </w:r>
      <w:r>
        <w:t>AGN's</w:t>
      </w:r>
      <w:r w:rsidRPr="00986B6E">
        <w:t xml:space="preserve"> </w:t>
      </w:r>
      <w:r w:rsidR="00D701C4">
        <w:t xml:space="preserve">revised </w:t>
      </w:r>
      <w:r w:rsidRPr="00986B6E">
        <w:t>proposed debt averaging periods for 2016</w:t>
      </w:r>
      <w:r w:rsidR="00D701C4">
        <w:t>–17</w:t>
      </w:r>
      <w:r w:rsidRPr="00986B6E">
        <w:t xml:space="preserve"> to 2020</w:t>
      </w:r>
      <w:r w:rsidR="00D701C4">
        <w:t>–21</w:t>
      </w:r>
      <w:r w:rsidRPr="00986B6E">
        <w:t xml:space="preserve"> in section 3.4.2. This </w:t>
      </w:r>
      <w:r w:rsidR="00D701C4">
        <w:t>section</w:t>
      </w:r>
      <w:r w:rsidR="00D701C4" w:rsidRPr="00986B6E">
        <w:t xml:space="preserve"> </w:t>
      </w:r>
      <w:r w:rsidRPr="00986B6E">
        <w:t xml:space="preserve">responds to the issues raised in service providers' proposals </w:t>
      </w:r>
      <w:r w:rsidR="00D701C4">
        <w:t xml:space="preserve">and revised proposals, </w:t>
      </w:r>
      <w:r w:rsidRPr="00986B6E">
        <w:t>and submissions from other stakeholders.</w:t>
      </w:r>
    </w:p>
    <w:p w:rsidR="00F14D24" w:rsidRPr="00986B6E" w:rsidRDefault="00F14D24" w:rsidP="00F14D24">
      <w:pPr>
        <w:pStyle w:val="Heading9"/>
      </w:pPr>
      <w:bookmarkStart w:id="308" w:name="_Toc433194224"/>
      <w:bookmarkStart w:id="309" w:name="_Toc433451003"/>
      <w:r w:rsidRPr="00986B6E">
        <w:t>Response to key issues raised by stakeholders</w:t>
      </w:r>
      <w:bookmarkEnd w:id="308"/>
      <w:bookmarkEnd w:id="309"/>
    </w:p>
    <w:p w:rsidR="0091587C" w:rsidRPr="00E761F9" w:rsidRDefault="00F14D24" w:rsidP="0091587C">
      <w:r w:rsidRPr="00986B6E">
        <w:t>In our current regulatory processes, different service providers have proposed different methods for setting debt averaging periods during the regulatory control or access arrangement period (regulatory period)</w:t>
      </w:r>
      <w:r w:rsidR="0091587C">
        <w:t>.</w:t>
      </w:r>
      <w:r w:rsidR="0091587C" w:rsidRPr="0091587C">
        <w:t xml:space="preserve"> </w:t>
      </w:r>
      <w:r w:rsidR="0091587C" w:rsidRPr="00E761F9">
        <w:t xml:space="preserve">Many service providers have proposed more complicated approaches to nominating debt averaging periods in order to achieve greater flexibility. This is common to other aspects of the return on debt, such as the choice of third party data series. </w:t>
      </w:r>
      <w:r w:rsidR="006D4885">
        <w:fldChar w:fldCharType="begin"/>
      </w:r>
      <w:r w:rsidR="006D4885">
        <w:instrText xml:space="preserve"> REF _Ref451334204 \h </w:instrText>
      </w:r>
      <w:r w:rsidR="006D4885">
        <w:fldChar w:fldCharType="separate"/>
      </w:r>
      <w:r w:rsidR="000230CB" w:rsidRPr="00E761F9">
        <w:t xml:space="preserve">Table </w:t>
      </w:r>
      <w:r w:rsidR="000230CB">
        <w:rPr>
          <w:noProof/>
        </w:rPr>
        <w:t>3</w:t>
      </w:r>
      <w:r w:rsidR="000230CB">
        <w:noBreakHyphen/>
      </w:r>
      <w:r w:rsidR="000230CB">
        <w:rPr>
          <w:noProof/>
        </w:rPr>
        <w:t>45</w:t>
      </w:r>
      <w:r w:rsidR="006D4885">
        <w:fldChar w:fldCharType="end"/>
      </w:r>
      <w:r w:rsidR="0091587C" w:rsidRPr="00E761F9">
        <w:t xml:space="preserve"> summarises the different approaches to the nomination of debt averaging periods proposed by different service providers. </w:t>
      </w:r>
    </w:p>
    <w:p w:rsidR="0091587C" w:rsidRPr="00E761F9" w:rsidRDefault="0091587C" w:rsidP="0091587C">
      <w:pPr>
        <w:pStyle w:val="Caption"/>
      </w:pPr>
      <w:bookmarkStart w:id="310" w:name="_Ref451334204"/>
      <w:r w:rsidRPr="00E761F9">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noBreakHyphen/>
      </w:r>
      <w:r w:rsidR="00527450">
        <w:fldChar w:fldCharType="begin"/>
      </w:r>
      <w:r w:rsidR="00527450">
        <w:instrText xml:space="preserve"> SEQ Table \* ARABIC \s 1 </w:instrText>
      </w:r>
      <w:r w:rsidR="00527450">
        <w:fldChar w:fldCharType="separate"/>
      </w:r>
      <w:r w:rsidR="000230CB">
        <w:rPr>
          <w:noProof/>
        </w:rPr>
        <w:t>45</w:t>
      </w:r>
      <w:r w:rsidR="00527450">
        <w:rPr>
          <w:noProof/>
        </w:rPr>
        <w:fldChar w:fldCharType="end"/>
      </w:r>
      <w:bookmarkEnd w:id="310"/>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91587C" w:rsidTr="00915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Service Provider</w:t>
            </w:r>
          </w:p>
        </w:tc>
        <w:tc>
          <w:tcPr>
            <w:tcW w:w="1449" w:type="dxa"/>
          </w:tcPr>
          <w:p w:rsidR="0091587C" w:rsidRPr="0091587C" w:rsidRDefault="0091587C" w:rsidP="0091587C">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91587C">
              <w:t xml:space="preserve"> proposal</w:t>
            </w:r>
          </w:p>
        </w:tc>
        <w:tc>
          <w:tcPr>
            <w:tcW w:w="1449" w:type="dxa"/>
          </w:tcPr>
          <w:p w:rsidR="0091587C" w:rsidRPr="0091587C" w:rsidRDefault="0091587C" w:rsidP="0091587C">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91587C" w:rsidRPr="0091587C" w:rsidRDefault="0091587C" w:rsidP="0091587C">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91587C" w:rsidRPr="0091587C" w:rsidRDefault="0091587C" w:rsidP="0091587C">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91587C" w:rsidRPr="0091587C" w:rsidRDefault="0091587C" w:rsidP="0091587C">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91587C" w:rsidTr="0091587C">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AusNet Services</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r>
      <w:tr w:rsidR="0091587C" w:rsidTr="00915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United Energy</w:t>
            </w:r>
          </w:p>
        </w:tc>
        <w:tc>
          <w:tcPr>
            <w:tcW w:w="1449" w:type="dxa"/>
          </w:tcPr>
          <w:p w:rsidR="0091587C" w:rsidRPr="0091587C" w:rsidRDefault="0091587C" w:rsidP="0091587C">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r>
      <w:tr w:rsidR="0091587C" w:rsidTr="0091587C">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JEN</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r>
      <w:tr w:rsidR="0091587C" w:rsidTr="00915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CitiPower / Powercor</w:t>
            </w:r>
          </w:p>
        </w:tc>
        <w:tc>
          <w:tcPr>
            <w:tcW w:w="1449" w:type="dxa"/>
          </w:tcPr>
          <w:p w:rsidR="0091587C" w:rsidRPr="0091587C" w:rsidRDefault="0091587C" w:rsidP="0091587C">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r>
      <w:tr w:rsidR="0091587C" w:rsidTr="0091587C">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ActewAGL</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X</w:t>
            </w:r>
          </w:p>
        </w:tc>
      </w:tr>
      <w:tr w:rsidR="0091587C" w:rsidTr="00915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AGN</w:t>
            </w:r>
          </w:p>
        </w:tc>
        <w:tc>
          <w:tcPr>
            <w:tcW w:w="1449" w:type="dxa"/>
          </w:tcPr>
          <w:p w:rsidR="0091587C" w:rsidRPr="0091587C" w:rsidRDefault="0091587C" w:rsidP="0091587C">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c>
          <w:tcPr>
            <w:tcW w:w="1449" w:type="dxa"/>
          </w:tcPr>
          <w:p w:rsidR="0091587C" w:rsidRPr="0091587C" w:rsidRDefault="0091587C" w:rsidP="0091587C">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91587C" w:rsidRPr="00E761F9" w:rsidRDefault="0091587C" w:rsidP="0091587C">
            <w:pPr>
              <w:cnfStyle w:val="000000010000" w:firstRow="0" w:lastRow="0" w:firstColumn="0" w:lastColumn="0" w:oddVBand="0" w:evenVBand="0" w:oddHBand="0" w:evenHBand="1" w:firstRowFirstColumn="0" w:firstRowLastColumn="0" w:lastRowFirstColumn="0" w:lastRowLastColumn="0"/>
            </w:pPr>
          </w:p>
        </w:tc>
      </w:tr>
      <w:tr w:rsidR="0091587C" w:rsidTr="0091587C">
        <w:tc>
          <w:tcPr>
            <w:cnfStyle w:val="001000000000" w:firstRow="0" w:lastRow="0" w:firstColumn="1" w:lastColumn="0" w:oddVBand="0" w:evenVBand="0" w:oddHBand="0" w:evenHBand="0" w:firstRowFirstColumn="0" w:firstRowLastColumn="0" w:lastRowFirstColumn="0" w:lastRowLastColumn="0"/>
            <w:tcW w:w="1448" w:type="dxa"/>
          </w:tcPr>
          <w:p w:rsidR="0091587C" w:rsidRPr="0091587C" w:rsidRDefault="0091587C" w:rsidP="0091587C">
            <w:r w:rsidRPr="00E761F9">
              <w:t>Amadeus</w:t>
            </w:r>
          </w:p>
        </w:tc>
        <w:tc>
          <w:tcPr>
            <w:tcW w:w="1449" w:type="dxa"/>
          </w:tcPr>
          <w:p w:rsidR="0091587C" w:rsidRPr="0091587C" w:rsidRDefault="0091587C" w:rsidP="0091587C">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c>
          <w:tcPr>
            <w:tcW w:w="1449" w:type="dxa"/>
          </w:tcPr>
          <w:p w:rsidR="0091587C" w:rsidRPr="00E761F9" w:rsidRDefault="0091587C" w:rsidP="0091587C">
            <w:pPr>
              <w:cnfStyle w:val="000000000000" w:firstRow="0" w:lastRow="0" w:firstColumn="0" w:lastColumn="0" w:oddVBand="0" w:evenVBand="0" w:oddHBand="0" w:evenHBand="0" w:firstRowFirstColumn="0" w:firstRowLastColumn="0" w:lastRowFirstColumn="0" w:lastRowLastColumn="0"/>
            </w:pPr>
          </w:p>
        </w:tc>
      </w:tr>
    </w:tbl>
    <w:p w:rsidR="0091587C" w:rsidRPr="00E761F9" w:rsidRDefault="0091587C" w:rsidP="0091587C">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91587C" w:rsidRPr="00E761F9" w:rsidRDefault="0091587C" w:rsidP="0091587C">
      <w:r w:rsidRPr="00E761F9">
        <w:t xml:space="preserve">Our decision is that the service providers' averaging periods: </w:t>
      </w:r>
    </w:p>
    <w:p w:rsidR="0091587C" w:rsidRPr="0091587C" w:rsidRDefault="0091587C" w:rsidP="0091587C">
      <w:pPr>
        <w:pStyle w:val="AERbulletlistfirststyle"/>
      </w:pPr>
      <w:r w:rsidRPr="00E761F9">
        <w:t xml:space="preserve">should be nominated before the regulatory </w:t>
      </w:r>
      <w:r w:rsidRPr="0091587C">
        <w:t>period commences</w:t>
      </w:r>
    </w:p>
    <w:p w:rsidR="0091587C" w:rsidRPr="0091587C" w:rsidRDefault="0091587C" w:rsidP="0091587C">
      <w:pPr>
        <w:pStyle w:val="AERbulletlistfirststyle"/>
      </w:pPr>
      <w:r w:rsidRPr="00E761F9">
        <w:t>should not be separated into DRP and base rate averaging periods</w:t>
      </w:r>
    </w:p>
    <w:p w:rsidR="0091587C" w:rsidRPr="0091587C" w:rsidRDefault="0091587C" w:rsidP="0091587C">
      <w:pPr>
        <w:pStyle w:val="AERbulletlistfirststyle"/>
      </w:pPr>
      <w:r w:rsidRPr="00E761F9">
        <w:t>are not required to be as close as practically possible to the start of the each regulatory year, but should fall within a particular timeframe.</w:t>
      </w:r>
    </w:p>
    <w:p w:rsidR="0091587C" w:rsidRPr="00E761F9" w:rsidRDefault="0091587C" w:rsidP="0091587C">
      <w:r w:rsidRPr="00492599">
        <w:t>Each of these is</w:t>
      </w:r>
      <w:r>
        <w:t xml:space="preserve"> discussed in more detail below</w:t>
      </w:r>
      <w:r w:rsidRPr="00E761F9">
        <w:t>.</w:t>
      </w:r>
    </w:p>
    <w:p w:rsidR="0091587C" w:rsidRPr="00986B6E" w:rsidRDefault="0091587C" w:rsidP="0091587C">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368"/>
      </w:r>
    </w:p>
    <w:p w:rsidR="0091587C" w:rsidRPr="0091587C" w:rsidRDefault="0091587C" w:rsidP="0091587C">
      <w:pPr>
        <w:pStyle w:val="HeadingBoldBlue"/>
      </w:pPr>
      <w:r w:rsidRPr="004C10CD">
        <w:t>Annual process for nominating debt averaging periods</w:t>
      </w:r>
    </w:p>
    <w:p w:rsidR="0091587C" w:rsidRPr="00986B6E" w:rsidRDefault="0091587C" w:rsidP="0091587C">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369"/>
      </w:r>
      <w:r>
        <w:t xml:space="preserve"> JEN and ActewAGL maintained this approach in their revised proposals.</w:t>
      </w:r>
      <w:r>
        <w:rPr>
          <w:rStyle w:val="FootnoteReference"/>
        </w:rPr>
        <w:footnoteReference w:id="1370"/>
      </w:r>
      <w:r>
        <w:t xml:space="preserve"> However, CitiPower, Powercor and United Energy did not press this approach in their revised proposals.</w:t>
      </w:r>
      <w:r>
        <w:rPr>
          <w:rStyle w:val="FootnoteReference"/>
        </w:rPr>
        <w:footnoteReference w:id="1371"/>
      </w:r>
    </w:p>
    <w:p w:rsidR="0091587C" w:rsidRPr="00986B6E" w:rsidRDefault="0091587C" w:rsidP="0091587C">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372"/>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373"/>
      </w:r>
    </w:p>
    <w:p w:rsidR="0091587C" w:rsidRPr="0091587C" w:rsidRDefault="0091587C" w:rsidP="0091587C">
      <w:pPr>
        <w:pStyle w:val="AERbulletlistfirststyle"/>
      </w:pPr>
      <w:r w:rsidRPr="00986B6E">
        <w:t xml:space="preserve">reduces the risk of mismatch between the efficient financing costs of a benchmark efficient </w:t>
      </w:r>
      <w:r w:rsidRPr="0091587C">
        <w:t>entity and the allowed return on debt</w:t>
      </w:r>
      <w:r w:rsidRPr="0091587C">
        <w:rPr>
          <w:rStyle w:val="FootnoteReference"/>
        </w:rPr>
        <w:footnoteReference w:id="1374"/>
      </w:r>
    </w:p>
    <w:p w:rsidR="0091587C" w:rsidRPr="0091587C" w:rsidRDefault="0091587C" w:rsidP="0091587C">
      <w:pPr>
        <w:pStyle w:val="AERbulletlistfirststyle"/>
      </w:pPr>
      <w:r w:rsidRPr="00986B6E">
        <w:t>is consistent with the rule requirement for the change in revenue from the annual debt update to result from the automatic application of a formula that is specified in the determination.</w:t>
      </w:r>
      <w:r w:rsidRPr="0091587C">
        <w:rPr>
          <w:rStyle w:val="FootnoteReference"/>
        </w:rPr>
        <w:footnoteReference w:id="1375"/>
      </w:r>
    </w:p>
    <w:p w:rsidR="0091587C" w:rsidRDefault="0091587C" w:rsidP="0091587C">
      <w:r>
        <w:t>ActewAGL and JEN maintained these views in their revised proposals.</w:t>
      </w:r>
      <w:r>
        <w:rPr>
          <w:rStyle w:val="FootnoteReference"/>
        </w:rPr>
        <w:footnoteReference w:id="1376"/>
      </w:r>
    </w:p>
    <w:p w:rsidR="0091587C" w:rsidRPr="00986B6E" w:rsidRDefault="0091587C" w:rsidP="0091587C">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377"/>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91587C" w:rsidRPr="00986B6E" w:rsidRDefault="0091587C" w:rsidP="0091587C">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91587C" w:rsidRPr="0091587C" w:rsidRDefault="0091587C" w:rsidP="0091587C">
      <w:pPr>
        <w:pStyle w:val="AERbulletlistfirststyle"/>
      </w:pPr>
      <w:r w:rsidRPr="0091587C">
        <w:t xml:space="preserve">provides an appropriate balance between flexibility and certainty that facilitates service providers to organise their financing arrangements in a way that promotes efficient financing decisions and enables them to manage risk </w:t>
      </w:r>
    </w:p>
    <w:p w:rsidR="0091587C" w:rsidRPr="0091587C" w:rsidRDefault="0091587C" w:rsidP="0091587C">
      <w:pPr>
        <w:pStyle w:val="AERbulletlistfirststyle"/>
      </w:pPr>
      <w:r>
        <w:t>r</w:t>
      </w:r>
      <w:r w:rsidRPr="0091587C">
        <w:t>esults in an unbiased outcome because it requires service providers to nominate their averaging periods in advance</w:t>
      </w:r>
      <w:r w:rsidRPr="0091587C">
        <w:rPr>
          <w:rStyle w:val="FootnoteReference"/>
        </w:rPr>
        <w:footnoteReference w:id="1378"/>
      </w:r>
      <w:r w:rsidRPr="0091587C">
        <w:t>—this allows us to provide ex-ante compensation for a benchmark efficient entity's efficient financing costs (all else being equal) (see section</w:t>
      </w:r>
      <w:r w:rsidR="00FD5A09">
        <w:t>s</w:t>
      </w:r>
      <w:r w:rsidRPr="0091587C">
        <w:t xml:space="preserve"> </w:t>
      </w:r>
      <w:r w:rsidR="00FD5A09">
        <w:fldChar w:fldCharType="begin"/>
      </w:r>
      <w:r w:rsidR="00FD5A09">
        <w:instrText xml:space="preserve"> REF _Ref451544121 \r \h </w:instrText>
      </w:r>
      <w:r w:rsidR="00FD5A09">
        <w:fldChar w:fldCharType="separate"/>
      </w:r>
      <w:r w:rsidR="000230CB">
        <w:t>3.3.3</w:t>
      </w:r>
      <w:r w:rsidR="00FD5A09">
        <w:fldChar w:fldCharType="end"/>
      </w:r>
      <w:r w:rsidR="00FD5A09">
        <w:t xml:space="preserve"> </w:t>
      </w:r>
      <w:r w:rsidRPr="0091587C">
        <w:t xml:space="preserve">and </w:t>
      </w:r>
      <w:r w:rsidR="00FD5A09">
        <w:fldChar w:fldCharType="begin"/>
      </w:r>
      <w:r w:rsidR="00FD5A09">
        <w:instrText xml:space="preserve"> REF _Ref444778432 \r \h </w:instrText>
      </w:r>
      <w:r w:rsidR="00FD5A09">
        <w:fldChar w:fldCharType="separate"/>
      </w:r>
      <w:r w:rsidR="000230CB">
        <w:t>H.2</w:t>
      </w:r>
      <w:r w:rsidR="00FD5A09">
        <w:fldChar w:fldCharType="end"/>
      </w:r>
      <w:r w:rsidRPr="0091587C">
        <w:t>)</w:t>
      </w:r>
    </w:p>
    <w:p w:rsidR="0091587C" w:rsidRPr="0091587C" w:rsidRDefault="0091587C" w:rsidP="0091587C">
      <w:pPr>
        <w:pStyle w:val="AERbulletlistfirststyle"/>
      </w:pPr>
      <w:r w:rsidRPr="0091587C">
        <w:t>facilitates the achievement of the rules requirement that changes to revenue resulting from the annual debt update occur through the 'automatic' application of a formula specified in the distribution determination.</w:t>
      </w:r>
    </w:p>
    <w:p w:rsidR="0091587C" w:rsidRPr="00986B6E" w:rsidRDefault="0091587C" w:rsidP="0091587C">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91587C" w:rsidRPr="00986B6E" w:rsidRDefault="0091587C" w:rsidP="0091587C">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91587C" w:rsidRPr="00986B6E" w:rsidRDefault="0091587C" w:rsidP="0091587C">
      <w:r w:rsidRPr="00986B6E">
        <w:t>We consider a return on debt estimated using an averaging period determined in advance of it occurring can be expected to be unbiased.</w:t>
      </w:r>
      <w:r w:rsidRPr="00986B6E">
        <w:rPr>
          <w:rStyle w:val="FootnoteReference"/>
        </w:rPr>
        <w:footnoteReference w:id="1379"/>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380"/>
      </w:r>
      <w:r w:rsidRPr="00986B6E">
        <w:t xml:space="preserve"> </w:t>
      </w:r>
      <w:r>
        <w:t>We consider a biased return on debt estimate would not provide ex-ante compensation for a benchmark efficient entity's efficient financing costs. As such, it would not satisfy the ARORO.</w:t>
      </w:r>
    </w:p>
    <w:p w:rsidR="0091587C" w:rsidRPr="00986B6E" w:rsidRDefault="0091587C" w:rsidP="0091587C">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91587C" w:rsidRPr="0091587C" w:rsidRDefault="0091587C" w:rsidP="0091587C">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91587C">
        <w:rPr>
          <w:rStyle w:val="FootnoteReference"/>
        </w:rPr>
        <w:footnoteReference w:id="1381"/>
      </w:r>
    </w:p>
    <w:p w:rsidR="0091587C" w:rsidRPr="0091587C" w:rsidRDefault="0091587C" w:rsidP="0091587C">
      <w:pPr>
        <w:pStyle w:val="AERbulletlistfirststyle"/>
      </w:pPr>
      <w:r w:rsidRPr="00986B6E">
        <w:t>We have had decisions taken to the Tribunal and the Federal Court of Australia over the averaging period.</w:t>
      </w:r>
      <w:r w:rsidRPr="0091587C">
        <w:rPr>
          <w:rStyle w:val="FootnoteReference"/>
        </w:rPr>
        <w:footnoteReference w:id="1382"/>
      </w:r>
    </w:p>
    <w:p w:rsidR="0091587C" w:rsidRPr="0091587C" w:rsidRDefault="0091587C" w:rsidP="0091587C">
      <w:pPr>
        <w:pStyle w:val="AERbulletlistfirststyle"/>
      </w:pPr>
      <w:r w:rsidRPr="00986B6E">
        <w:t>The averaging period has been a contentious issue in a number of previous determination processes.</w:t>
      </w:r>
      <w:r w:rsidRPr="0091587C">
        <w:rPr>
          <w:rStyle w:val="FootnoteReference"/>
        </w:rPr>
        <w:footnoteReference w:id="1383"/>
      </w:r>
      <w:r w:rsidRPr="0091587C">
        <w:t xml:space="preserve"> </w:t>
      </w:r>
    </w:p>
    <w:p w:rsidR="0091587C" w:rsidRPr="0091587C" w:rsidRDefault="0091587C" w:rsidP="0091587C">
      <w:r w:rsidRPr="00986B6E">
        <w:t xml:space="preserve">Further, </w:t>
      </w:r>
      <w:r w:rsidRPr="0091587C">
        <w:t>the addition of an extra process each year to nominate averaging periods would add further complexity and costs to the administration of regulation. We consider:</w:t>
      </w:r>
    </w:p>
    <w:p w:rsidR="0091587C" w:rsidRPr="0091587C" w:rsidRDefault="0091587C" w:rsidP="0091587C">
      <w:pPr>
        <w:pStyle w:val="AERbulletlistfirststyle"/>
      </w:pPr>
      <w:r w:rsidRPr="0091587C">
        <w:t>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91587C" w:rsidRPr="0091587C" w:rsidRDefault="0091587C" w:rsidP="0091587C">
      <w:pPr>
        <w:pStyle w:val="AERbulletlistfirststyle"/>
      </w:pPr>
      <w:r w:rsidRPr="00986B6E">
        <w:t xml:space="preserve">This complexity is amplified by </w:t>
      </w:r>
      <w:r w:rsidRPr="0091587C">
        <w:t>potential differences between the annual processes that could be proposed by different service providers. For example, JEN's annual process requires nomination of an averaging period for regulatory year t at least 50 business days before the commencement of regulatory year t–1. However, ActewAGL requires nomination by 30 April of regulatory year t–2.</w:t>
      </w:r>
      <w:r w:rsidRPr="0091587C">
        <w:rPr>
          <w:rStyle w:val="FootnoteReference"/>
        </w:rPr>
        <w:footnoteReference w:id="1384"/>
      </w:r>
    </w:p>
    <w:p w:rsidR="0091587C" w:rsidRPr="00986B6E" w:rsidRDefault="0091587C" w:rsidP="0091587C">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385"/>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91587C" w:rsidRPr="00986B6E" w:rsidRDefault="0091587C" w:rsidP="0091587C">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386"/>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91587C" w:rsidRPr="0091587C" w:rsidRDefault="0091587C" w:rsidP="0091587C">
      <w:pPr>
        <w:pStyle w:val="AERbulletlistfirststyle"/>
      </w:pPr>
      <w:r>
        <w:t xml:space="preserve">Our objective in setting the allowed return on debt is to </w:t>
      </w:r>
      <w:r w:rsidRPr="0091587C">
        <w:t xml:space="preserve">contribute to the achievement of the ARORO. As set out in </w:t>
      </w:r>
      <w:r w:rsidR="00FD5A09" w:rsidRPr="0091587C">
        <w:t>section</w:t>
      </w:r>
      <w:r w:rsidR="00FD5A09">
        <w:t>s</w:t>
      </w:r>
      <w:r w:rsidR="00FD5A09" w:rsidRPr="0091587C">
        <w:t xml:space="preserve"> </w:t>
      </w:r>
      <w:r w:rsidR="00FD5A09">
        <w:fldChar w:fldCharType="begin"/>
      </w:r>
      <w:r w:rsidR="00FD5A09">
        <w:instrText xml:space="preserve"> REF _Ref451544121 \r \h </w:instrText>
      </w:r>
      <w:r w:rsidR="00FD5A09">
        <w:fldChar w:fldCharType="separate"/>
      </w:r>
      <w:r w:rsidR="000230CB">
        <w:t>3.3.3</w:t>
      </w:r>
      <w:r w:rsidR="00FD5A09">
        <w:fldChar w:fldCharType="end"/>
      </w:r>
      <w:r w:rsidR="00FD5A09">
        <w:t xml:space="preserve"> </w:t>
      </w:r>
      <w:r w:rsidR="00FD5A09" w:rsidRPr="0091587C">
        <w:t xml:space="preserve">and </w:t>
      </w:r>
      <w:r w:rsidR="00FD5A09">
        <w:fldChar w:fldCharType="begin"/>
      </w:r>
      <w:r w:rsidR="00FD5A09">
        <w:instrText xml:space="preserve"> REF _Ref444778432 \r \h </w:instrText>
      </w:r>
      <w:r w:rsidR="00FD5A09">
        <w:fldChar w:fldCharType="separate"/>
      </w:r>
      <w:r w:rsidR="000230CB">
        <w:t>H.2</w:t>
      </w:r>
      <w:r w:rsidR="00FD5A09">
        <w:fldChar w:fldCharType="end"/>
      </w:r>
      <w:r w:rsidRPr="0091587C">
        <w:t>,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some mismatch between the actual debt costs and the regulated debt allowance is an intrinsic part of incentive regulation―whether the allowance is set using a trailing average approach or otherwise. 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 and this position is supported by Chairmont.</w:t>
      </w:r>
      <w:r w:rsidRPr="0091587C">
        <w:rPr>
          <w:rStyle w:val="FootnoteReference"/>
        </w:rPr>
        <w:footnoteReference w:id="1387"/>
      </w:r>
      <w:r w:rsidRPr="0091587C">
        <w:t xml:space="preserve"> Overall, to the extent there is compensable risk from a mismatch, we consider it is appropriately compensated for ex-ante in our allowed rate of return, which we consider will achieve the ARORO.</w:t>
      </w:r>
    </w:p>
    <w:p w:rsidR="0091587C" w:rsidRPr="0091587C" w:rsidRDefault="0091587C" w:rsidP="0091587C">
      <w:pPr>
        <w:pStyle w:val="AERbulletlistfirststyle"/>
      </w:pPr>
      <w:r w:rsidRPr="00986B6E">
        <w:t xml:space="preserve">Under the trailing average approach, </w:t>
      </w:r>
      <w:r w:rsidRPr="0091587C">
        <w:t xml:space="preserve">we reset one tenth of the return on debt each year to reflect prevailing market rates. We consider this, if anything, is likely to reduce risk relative to the on-the-day approach (for a benchmark efficient entity). This is because, relative to the on-the-day approach, the trailing average approach is likely to reduce any mismatch between a benchmark efficient entity's actual debt costs and the allowed return on debt. Therefore, the timing of the averaging period and the timing that a benchmark efficient entity may raise debt is likely to be more closely aligned. </w:t>
      </w:r>
    </w:p>
    <w:p w:rsidR="0091587C" w:rsidRPr="0091587C" w:rsidRDefault="0091587C" w:rsidP="0091587C">
      <w:pPr>
        <w:pStyle w:val="AERbulletlistfirststyle"/>
      </w:pPr>
      <w:r w:rsidRPr="00986B6E">
        <w:t>We allow service providers to nominate annual averaging periods up to a maximum of 12 months in length.</w:t>
      </w:r>
      <w:r w:rsidRPr="0091587C">
        <w:rPr>
          <w:rStyle w:val="FootnoteReference"/>
        </w:rPr>
        <w:footnoteReference w:id="1388"/>
      </w:r>
      <w:r w:rsidRPr="0091587C">
        <w:t xml:space="preserve"> Given this, if service providers chose to, they could create the situation where they could issue debt whenever they wanted and have this fall inside their nominated averaging period.</w:t>
      </w:r>
      <w:r w:rsidRPr="0091587C">
        <w:rPr>
          <w:rStyle w:val="FootnoteReference"/>
        </w:rPr>
        <w:footnoteReference w:id="1389"/>
      </w:r>
      <w:r w:rsidRPr="0091587C">
        <w:t xml:space="preserve"> </w:t>
      </w:r>
    </w:p>
    <w:p w:rsidR="0091587C" w:rsidRPr="0091587C" w:rsidRDefault="0091587C" w:rsidP="0091587C">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91587C" w:rsidRPr="0091587C" w:rsidRDefault="0091587C" w:rsidP="0091587C">
      <w:pPr>
        <w:pStyle w:val="HeadingBoldBlue"/>
      </w:pPr>
      <w:r w:rsidRPr="00D34FDC">
        <w:t>Separate averaging periods for the DRP and base rate</w:t>
      </w:r>
    </w:p>
    <w:p w:rsidR="0091587C" w:rsidRDefault="0091587C" w:rsidP="0091587C">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390"/>
      </w:r>
      <w:r>
        <w:t xml:space="preserve"> To support its position, it submitted two reports by CEG, one in 2015 with its initial proposal, and one in 2016 with its revised proposal.</w:t>
      </w:r>
      <w:r>
        <w:rPr>
          <w:rStyle w:val="FootnoteReference"/>
        </w:rPr>
        <w:footnoteReference w:id="1391"/>
      </w:r>
      <w:r>
        <w:t xml:space="preserve"> AGN was the only service provider to propose this approach. </w:t>
      </w:r>
    </w:p>
    <w:p w:rsidR="0091587C" w:rsidRDefault="0091587C" w:rsidP="0091587C">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392"/>
      </w:r>
      <w:r>
        <w:t xml:space="preserve"> AGN (and CEG) submitted that using a longer averaging period for the DRP and a shorter averaging period for the base rate is consistent with an efficient debt management strategy where:</w:t>
      </w:r>
    </w:p>
    <w:p w:rsidR="0091587C" w:rsidRPr="0091587C" w:rsidRDefault="0091587C" w:rsidP="0091587C">
      <w:pPr>
        <w:pStyle w:val="AERbulletlistfirststyle"/>
      </w:pPr>
      <w:r>
        <w:t>debt issuance cannot be easily managed to short windows each year</w:t>
      </w:r>
    </w:p>
    <w:p w:rsidR="0091587C" w:rsidRPr="0091587C" w:rsidRDefault="0091587C" w:rsidP="0091587C">
      <w:pPr>
        <w:pStyle w:val="AERbulletlistfirststyle"/>
      </w:pPr>
      <w:r>
        <w:t>swap contracts, being more flexible and liquid, can be used to manage base rates of interest to short windows each year.</w:t>
      </w:r>
    </w:p>
    <w:p w:rsidR="0091587C" w:rsidRDefault="0091587C" w:rsidP="0091587C">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393"/>
      </w:r>
      <w:r>
        <w:t xml:space="preserve"> We have considered AGN's revised proposal and CEG's latest report, and maintain our position. We consider:</w:t>
      </w:r>
    </w:p>
    <w:p w:rsidR="0091587C" w:rsidRPr="0091587C" w:rsidRDefault="0091587C" w:rsidP="0091587C">
      <w:pPr>
        <w:pStyle w:val="AERbulletlistfirststyle"/>
      </w:pPr>
      <w:r>
        <w:t>As set out under 'Annual process for nominating debt averaging periods' above, o</w:t>
      </w:r>
      <w:r w:rsidRPr="0091587C">
        <w:t>ur objective in setting the allowed return on debt is to satisfy the ARORO. We do not consider the ARORO requires us to set a return on debt that precisely matches the debt cash outflows from a particular debt financing strategy.</w:t>
      </w:r>
      <w:r w:rsidRPr="0091587C">
        <w:rPr>
          <w:rStyle w:val="FootnoteReference"/>
        </w:rPr>
        <w:footnoteReference w:id="1394"/>
      </w:r>
      <w:r w:rsidRPr="0091587C">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91587C">
        <w:rPr>
          <w:rStyle w:val="FootnoteReference"/>
        </w:rPr>
        <w:footnoteReference w:id="1395"/>
      </w:r>
    </w:p>
    <w:p w:rsidR="0091587C" w:rsidRPr="0091587C" w:rsidRDefault="0091587C" w:rsidP="0091587C">
      <w:pPr>
        <w:pStyle w:val="AERbulletlistfirststyle"/>
      </w:pPr>
      <w:r>
        <w:t>As set out under 'Annual process</w:t>
      </w:r>
      <w:r w:rsidRPr="0091587C">
        <w:t xml:space="preserve"> for nominating debt averaging periods' above, we have regard to the desirability of reducing any mismatch between the return on debt allowance and a benchmark efficient entity's actual debt cost outcomes (or cash outflows).</w:t>
      </w:r>
      <w:r w:rsidRPr="0091587C">
        <w:rPr>
          <w:rStyle w:val="FootnoteReference"/>
        </w:rPr>
        <w:footnoteReference w:id="1396"/>
      </w:r>
      <w:r w:rsidRPr="0091587C">
        <w:t xml:space="preserve"> However, we consider the regulatory regime is not meant to remove all risk from service providers. We also consider our allowed return on debt contributes to the achievement of the ARORO.</w:t>
      </w:r>
    </w:p>
    <w:p w:rsidR="0091587C" w:rsidRPr="0091587C" w:rsidRDefault="0091587C" w:rsidP="0091587C">
      <w:pPr>
        <w:pStyle w:val="AERbulletlistfirststyle"/>
      </w:pPr>
      <w:r>
        <w:t xml:space="preserve">AGN (or CEG) has </w:t>
      </w:r>
      <w:r w:rsidRPr="0091587C">
        <w:t>not demonstrated its proposed approach leads to a materially preferable outcome, particularly given our approach allows it to nominate a single averaging period up to 12 months in length.</w:t>
      </w:r>
      <w:r w:rsidRPr="0091587C">
        <w:rPr>
          <w:rStyle w:val="FootnoteReference"/>
        </w:rPr>
        <w:footnoteReference w:id="1397"/>
      </w:r>
      <w:r w:rsidRPr="0091587C">
        <w:t xml:space="preserve"> We consider if service providers prefer to reduce the volatility in their DRP compensation, they can do so by nominating a single long averaging period.  </w:t>
      </w:r>
    </w:p>
    <w:p w:rsidR="0091587C" w:rsidRPr="0091587C" w:rsidRDefault="0091587C" w:rsidP="0091587C">
      <w:pPr>
        <w:pStyle w:val="AERbulletlistfirststyle"/>
      </w:pPr>
      <w:r>
        <w:t>AGN's proposed</w:t>
      </w:r>
      <w:r w:rsidRPr="0091587C">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91587C">
        <w:rPr>
          <w:rStyle w:val="FootnoteReference"/>
        </w:rPr>
        <w:footnoteReference w:id="1398"/>
      </w:r>
      <w:r w:rsidRPr="0091587C">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91587C" w:rsidRPr="0091587C" w:rsidRDefault="0091587C" w:rsidP="0091587C">
      <w:pPr>
        <w:pStyle w:val="AERbulletlistfirststyle"/>
      </w:pPr>
      <w:r w:rsidRPr="00CD2EDB">
        <w:t xml:space="preserve">AGN's </w:t>
      </w:r>
      <w:r w:rsidRPr="0091587C">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91587C" w:rsidRPr="0091587C" w:rsidRDefault="0091587C" w:rsidP="0091587C">
      <w:pPr>
        <w:pStyle w:val="AERbulletlistfirststyle"/>
      </w:pPr>
      <w:r>
        <w:t>We discussed CEG's submission that the prevailing DRP and base rates of interest are inversely correlated in appendix G of our draft decision for AGN.</w:t>
      </w:r>
      <w:r>
        <w:rPr>
          <w:rStyle w:val="FootnoteReference"/>
        </w:rPr>
        <w:footnoteReference w:id="1399"/>
      </w:r>
      <w:r>
        <w:t xml:space="preserve"> Given AGN (or CEG) has not responded to this point and we do not base our return on debt on a particular financing strategy, we do not reproduce this material in this decision.</w:t>
      </w:r>
    </w:p>
    <w:p w:rsidR="0091587C" w:rsidRPr="0091587C" w:rsidRDefault="0091587C" w:rsidP="0091587C">
      <w:pPr>
        <w:pStyle w:val="HeadingBoldBlue"/>
      </w:pPr>
      <w:r w:rsidRPr="00D34FDC">
        <w:t>Guideline condition—as close as practically possible to the commencement of each regulatory year</w:t>
      </w:r>
    </w:p>
    <w:p w:rsidR="0091587C" w:rsidRPr="00986B6E" w:rsidRDefault="0091587C" w:rsidP="0091587C">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400"/>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401"/>
      </w:r>
    </w:p>
    <w:p w:rsidR="0091587C" w:rsidRPr="00986B6E" w:rsidRDefault="0091587C" w:rsidP="0091587C">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402"/>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91587C" w:rsidRPr="00986B6E" w:rsidRDefault="0091587C" w:rsidP="0091587C">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403"/>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91587C" w:rsidRPr="0091587C" w:rsidRDefault="0091587C" w:rsidP="0091587C">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91587C">
        <w:rPr>
          <w:rStyle w:val="FootnoteReference"/>
        </w:rPr>
        <w:footnoteReference w:id="1404"/>
      </w:r>
      <w:r w:rsidRPr="0091587C">
        <w:t xml:space="preserve"> The same averaging periods was also used for both return on equity and return on debt. Under this approach, the averaging period should 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91587C">
        <w:rPr>
          <w:rStyle w:val="FootnoteReference"/>
        </w:rPr>
        <w:footnoteReference w:id="1405"/>
      </w:r>
      <w:r w:rsidRPr="0091587C">
        <w:t xml:space="preserve"> This estimates the return on debt as a weighted average of the total return on debt over a period (10 years) spanning up to the start of the regulatory period (or regulatory year).</w:t>
      </w:r>
      <w:r w:rsidRPr="0091587C">
        <w:rPr>
          <w:rStyle w:val="FootnoteReference"/>
        </w:rPr>
        <w:footnoteReference w:id="1406"/>
      </w:r>
      <w:r w:rsidRPr="0091587C">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91587C" w:rsidRPr="0091587C" w:rsidRDefault="0091587C" w:rsidP="0091587C">
      <w:pPr>
        <w:pStyle w:val="AERbulletlistfirststyle"/>
      </w:pPr>
      <w:r w:rsidRPr="00986B6E">
        <w:t xml:space="preserve">Relaxing the Guideline condition gives service providers more flexibility in nominating averaging periods without adding significant complexity. </w:t>
      </w:r>
      <w:r w:rsidRPr="0091587C">
        <w:t>In its initial proposal, AusNet submitted:</w:t>
      </w:r>
      <w:r w:rsidRPr="0091587C">
        <w:rPr>
          <w:rStyle w:val="FootnoteReference"/>
        </w:rPr>
        <w:footnoteReference w:id="1407"/>
      </w:r>
    </w:p>
    <w:p w:rsidR="0091587C" w:rsidRPr="00986B6E" w:rsidRDefault="0091587C" w:rsidP="0091587C">
      <w:pPr>
        <w:pStyle w:val="AERquote"/>
      </w:pPr>
      <w:r w:rsidRPr="00986B6E">
        <w:t>…to align actual debt practices with the trailing average approach, it is necessary to align the timing of debt issuance with the timing of the averaging periods used to estimate the regulated return on debt.</w:t>
      </w:r>
    </w:p>
    <w:p w:rsidR="00D701C4" w:rsidRDefault="0091587C" w:rsidP="0091587C">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408"/>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r>
        <w:t xml:space="preserve"> </w:t>
      </w:r>
    </w:p>
    <w:p w:rsidR="00F14D24" w:rsidRDefault="00F14D24" w:rsidP="00F14D24">
      <w:pPr>
        <w:pStyle w:val="ListContinue"/>
      </w:pPr>
    </w:p>
    <w:p w:rsidR="00D673C6" w:rsidRDefault="00D673C6" w:rsidP="00D673C6"/>
    <w:p w:rsidR="00D673C6" w:rsidRDefault="00D673C6" w:rsidP="00D673C6">
      <w:pPr>
        <w:pStyle w:val="Heading7"/>
      </w:pPr>
      <w:bookmarkStart w:id="311" w:name="_Ref451328596"/>
      <w:bookmarkStart w:id="312" w:name="_Ref451328902"/>
      <w:bookmarkStart w:id="313" w:name="_Toc451943828"/>
      <w:r>
        <w:t>Methodology to annual update the return on debt</w:t>
      </w:r>
      <w:bookmarkEnd w:id="311"/>
      <w:bookmarkEnd w:id="312"/>
      <w:bookmarkEnd w:id="313"/>
    </w:p>
    <w:p w:rsidR="006A1171" w:rsidRPr="00FB18DC" w:rsidRDefault="006A1171" w:rsidP="006A1171">
      <w:pPr>
        <w:pStyle w:val="ListParagraph"/>
        <w:numPr>
          <w:ilvl w:val="0"/>
          <w:numId w:val="24"/>
        </w:numPr>
      </w:pPr>
      <w:r w:rsidRPr="00FB18DC">
        <w:t>Our decision on the return on debt approach is to:</w:t>
      </w:r>
    </w:p>
    <w:p w:rsidR="006A1171" w:rsidRPr="00FB18DC" w:rsidRDefault="006A1171" w:rsidP="006A1171">
      <w:pPr>
        <w:pStyle w:val="AERbulletlistfirststyle"/>
      </w:pPr>
      <w:r w:rsidRPr="00FB18DC">
        <w:t>estimate the return on debt using an on-the-day rate (that is, based on prevailing market conditions) for the first regulatory year (2016–17) of the 2016–21 access arrangement period, and</w:t>
      </w:r>
    </w:p>
    <w:p w:rsidR="006A1171" w:rsidRPr="00FB18DC" w:rsidRDefault="006A1171" w:rsidP="006A1171">
      <w:pPr>
        <w:pStyle w:val="AERbulletlistfirststyle"/>
      </w:pPr>
      <w:r w:rsidRPr="00FB18DC">
        <w:t>gradually transition this rate into a trailing average approach (that is, a moving historical average) over 10 years.</w:t>
      </w:r>
      <w:r w:rsidRPr="00FB18DC">
        <w:rPr>
          <w:rStyle w:val="FootnoteReference"/>
        </w:rPr>
        <w:footnoteReference w:id="1409"/>
      </w:r>
    </w:p>
    <w:p w:rsidR="006A1171" w:rsidRPr="00FB18DC" w:rsidRDefault="006A1171" w:rsidP="006A1171">
      <w:r w:rsidRPr="00FB18DC">
        <w:t>Because our return on debt approach involves annual updates to the return on debt, this means that the return on debt will be, or potentially will be, different for different regulatory years in the access arrangement period.</w:t>
      </w:r>
      <w:r w:rsidRPr="00FB18DC">
        <w:rPr>
          <w:rStyle w:val="FootnoteReference"/>
        </w:rPr>
        <w:footnoteReference w:id="1410"/>
      </w:r>
      <w:r w:rsidRPr="00FB18DC">
        <w:t xml:space="preserve"> The rules require that the resulting change to AGN's total revenue is to be effected through a formula specified in the decision on the access arrangement.</w:t>
      </w:r>
      <w:r w:rsidRPr="00FB18DC">
        <w:rPr>
          <w:rStyle w:val="FootnoteReference"/>
        </w:rPr>
        <w:footnoteReference w:id="1411"/>
      </w:r>
      <w:r w:rsidRPr="00FB18DC">
        <w:t xml:space="preserve"> For the purposes of rule 87(12) of the NGR</w:t>
      </w:r>
      <w:r w:rsidR="00965078">
        <w:t>,</w:t>
      </w:r>
      <w:r w:rsidRPr="00FB18DC">
        <w:t xml:space="preserve"> our decision is that the resulting change to AGN's total revenue is to be effected through:</w:t>
      </w:r>
    </w:p>
    <w:p w:rsidR="006A1171" w:rsidRPr="00FB18DC" w:rsidRDefault="006A1171" w:rsidP="006A1171">
      <w:pPr>
        <w:pStyle w:val="AERbulletlistfirststyle"/>
      </w:pPr>
      <w:r w:rsidRPr="00FB18DC">
        <w:t xml:space="preserve">the automatic application of the return on debt methodology specified in this appendix </w:t>
      </w:r>
    </w:p>
    <w:p w:rsidR="006A1171" w:rsidRPr="00FB18DC" w:rsidRDefault="006A1171" w:rsidP="006A1171">
      <w:pPr>
        <w:pStyle w:val="AERbulletlistfirststyle"/>
      </w:pPr>
      <w:r w:rsidRPr="00FB18DC">
        <w:t xml:space="preserve">using the return on debt averaging periods specified in confidential appendix </w:t>
      </w:r>
      <w:r w:rsidR="00965078">
        <w:fldChar w:fldCharType="begin"/>
      </w:r>
      <w:r w:rsidR="00965078">
        <w:instrText xml:space="preserve"> REF _Ref451328742 \r \h </w:instrText>
      </w:r>
      <w:r w:rsidR="00965078">
        <w:fldChar w:fldCharType="separate"/>
      </w:r>
      <w:r w:rsidR="000230CB">
        <w:t>L</w:t>
      </w:r>
      <w:r w:rsidR="00965078">
        <w:fldChar w:fldCharType="end"/>
      </w:r>
      <w:r w:rsidRPr="00FB18DC">
        <w:t>, and</w:t>
      </w:r>
    </w:p>
    <w:p w:rsidR="006A1171" w:rsidRPr="00FB18DC" w:rsidRDefault="006A1171" w:rsidP="006A1171">
      <w:pPr>
        <w:pStyle w:val="AERbulletlistfirststyle"/>
      </w:pPr>
      <w:r w:rsidRPr="00FB18DC">
        <w:t xml:space="preserve">implemented using the AGN </w:t>
      </w:r>
      <w:r>
        <w:t>final</w:t>
      </w:r>
      <w:r w:rsidRPr="00FB18DC">
        <w:t xml:space="preserve"> decision post-tax revenue model (PTRM) in accordance with section 3 of the AER's PTRM handbook for electricity distribution network service providers.</w:t>
      </w:r>
      <w:r w:rsidRPr="00FB18DC">
        <w:rPr>
          <w:rStyle w:val="FootnoteReference"/>
        </w:rPr>
        <w:footnoteReference w:id="1412"/>
      </w:r>
    </w:p>
    <w:p w:rsidR="006A1171" w:rsidRPr="00FB18DC" w:rsidRDefault="006A1171" w:rsidP="006A1171">
      <w:r w:rsidRPr="00FB18DC">
        <w:t>The return on debt methodology in this appendix specifies our decision on the:</w:t>
      </w:r>
    </w:p>
    <w:p w:rsidR="006A1171" w:rsidRPr="00FB18DC" w:rsidRDefault="006A1171" w:rsidP="006A1171">
      <w:pPr>
        <w:pStyle w:val="AERbulletlistfirststyle"/>
      </w:pPr>
      <w:r w:rsidRPr="00FB18DC">
        <w:t>methodology for the return on debt approach, and</w:t>
      </w:r>
    </w:p>
    <w:p w:rsidR="006A1171" w:rsidRPr="00FB18DC" w:rsidRDefault="006A1171" w:rsidP="006A1171">
      <w:pPr>
        <w:pStyle w:val="AERbulletlistfirststyle"/>
      </w:pPr>
      <w:r w:rsidRPr="00FB18DC">
        <w:t>methodology to implement the return on debt approach</w:t>
      </w:r>
    </w:p>
    <w:p w:rsidR="006A1171" w:rsidRPr="00FB18DC" w:rsidRDefault="006A1171" w:rsidP="00DB4FCE">
      <w:pPr>
        <w:pStyle w:val="Heading8"/>
        <w:keepNext/>
        <w:numPr>
          <w:ilvl w:val="1"/>
          <w:numId w:val="29"/>
        </w:numPr>
      </w:pPr>
      <w:bookmarkStart w:id="314" w:name="_Toc436049163"/>
      <w:bookmarkStart w:id="315" w:name="_Toc451943829"/>
      <w:r w:rsidRPr="00FB18DC">
        <w:t>Approach to estimating the return on debt</w:t>
      </w:r>
      <w:bookmarkEnd w:id="314"/>
      <w:bookmarkEnd w:id="315"/>
    </w:p>
    <w:p w:rsidR="006A1171" w:rsidRPr="00FB18DC" w:rsidRDefault="006A1171" w:rsidP="00DB4FCE">
      <w:pPr>
        <w:keepNext/>
        <w:numPr>
          <w:ilvl w:val="0"/>
          <w:numId w:val="24"/>
        </w:numPr>
      </w:pPr>
      <w:r w:rsidRPr="00FB18DC">
        <w:t xml:space="preserve">This section sets out our </w:t>
      </w:r>
      <w:r w:rsidR="00965078">
        <w:t xml:space="preserve">final </w:t>
      </w:r>
      <w:r w:rsidRPr="00FB18DC">
        <w:t>decision methodology on the return on debt approach. Below we specify the allowed return on debt formulae for each year of the 10 year transition path. In each formula:</w:t>
      </w:r>
    </w:p>
    <w:p w:rsidR="006A1171" w:rsidRPr="00FB18DC" w:rsidRDefault="007F1E09" w:rsidP="006A1171">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6A1171" w:rsidRPr="00FB18DC">
        <w:t xml:space="preserve"> corresponds to the estimated return on debt that was entered into in year a and matures in year a+10–which is to be calculated using the return on debt implementation methodology in section</w:t>
      </w:r>
      <w:r w:rsidR="006A1171">
        <w:t xml:space="preserve"> </w:t>
      </w:r>
      <w:r w:rsidR="00925AC8">
        <w:fldChar w:fldCharType="begin"/>
      </w:r>
      <w:r w:rsidR="00925AC8">
        <w:instrText xml:space="preserve"> REF _Ref451902023 \r \h </w:instrText>
      </w:r>
      <w:r w:rsidR="00925AC8">
        <w:fldChar w:fldCharType="separate"/>
      </w:r>
      <w:r w:rsidR="000230CB">
        <w:t>J.2</w:t>
      </w:r>
      <w:r w:rsidR="00925AC8">
        <w:fldChar w:fldCharType="end"/>
      </w:r>
      <w:r w:rsidR="006A1171" w:rsidRPr="00FB18DC">
        <w:t xml:space="preserve"> and the service provider's return on debt averaging periods spec</w:t>
      </w:r>
      <w:r w:rsidR="004675C7">
        <w:t xml:space="preserve">ified in confidential appendix </w:t>
      </w:r>
      <w:r w:rsidR="00925AC8">
        <w:fldChar w:fldCharType="begin"/>
      </w:r>
      <w:r w:rsidR="00925AC8">
        <w:instrText xml:space="preserve"> REF _Ref451328742 \r \h </w:instrText>
      </w:r>
      <w:r w:rsidR="00925AC8">
        <w:fldChar w:fldCharType="separate"/>
      </w:r>
      <w:r w:rsidR="000230CB">
        <w:t>L</w:t>
      </w:r>
      <w:r w:rsidR="00925AC8">
        <w:fldChar w:fldCharType="end"/>
      </w:r>
    </w:p>
    <w:p w:rsidR="006A1171" w:rsidRPr="00FB18DC" w:rsidRDefault="007F1E09" w:rsidP="006A1171">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6A1171" w:rsidRPr="00FB18DC">
        <w:t xml:space="preserve"> refers to the allowed return on debt for regulatory year b+1.</w:t>
      </w:r>
    </w:p>
    <w:p w:rsidR="006A1171" w:rsidRPr="00FB18DC" w:rsidRDefault="006A1171" w:rsidP="006A1171">
      <w:pPr>
        <w:numPr>
          <w:ilvl w:val="0"/>
          <w:numId w:val="24"/>
        </w:numPr>
      </w:pPr>
      <w:r w:rsidRPr="00FB18DC">
        <w:t>In the first regulatory year of the transitional period (2016–17), the allowed rate of return on debt will be based on the estimated prevailing rate of return on debt for that year (similar to the 'on the day' approach):</w:t>
      </w:r>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6A1171" w:rsidRPr="00FB18DC" w:rsidRDefault="006A1171" w:rsidP="006A1171">
      <w:pPr>
        <w:numPr>
          <w:ilvl w:val="0"/>
          <w:numId w:val="24"/>
        </w:numPr>
      </w:pPr>
      <w:r w:rsidRPr="00FB18DC">
        <w:t>In the second regulatory year, the allowed rate of return on debt will be the weighted average of the prevailing rates in the first and second regulatory years of the transitional period:</w:t>
      </w:r>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6A1171" w:rsidRPr="00FB18DC" w:rsidRDefault="006A1171" w:rsidP="006A1171">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6A1171" w:rsidRPr="00FB18DC" w:rsidRDefault="007F1E09" w:rsidP="006A1171">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6A1171" w:rsidRPr="00FB18DC" w:rsidRDefault="006A1171" w:rsidP="006A1171">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6A1171" w:rsidRPr="00FB18DC" w:rsidRDefault="006A1171" w:rsidP="006A1171">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6A1171" w:rsidRPr="00FB18DC" w:rsidRDefault="006A1171" w:rsidP="006A1171">
      <w:pPr>
        <w:numPr>
          <w:ilvl w:val="0"/>
          <w:numId w:val="24"/>
        </w:numPr>
      </w:pPr>
      <w:r w:rsidRPr="00FB18DC">
        <w:t>The calculation for all subsequent regulatory years until the transitional period is completed is set out below:</w:t>
      </w:r>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6A1171" w:rsidRPr="00FB18DC" w:rsidRDefault="007F1E09" w:rsidP="006A1171">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6A1171" w:rsidRPr="00FB18DC" w:rsidRDefault="007F1E09" w:rsidP="006A1171">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6A1171" w:rsidRPr="00FB18DC" w:rsidRDefault="007F1E09" w:rsidP="006A1171">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6A1171" w:rsidRPr="00FB18DC" w:rsidRDefault="007F1E09" w:rsidP="006A1171">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6A1171" w:rsidRPr="00FB18DC" w:rsidRDefault="006A1171" w:rsidP="006A1171">
      <w:pPr>
        <w:pStyle w:val="Heading8"/>
      </w:pPr>
      <w:bookmarkStart w:id="316" w:name="_Toc436049164"/>
      <w:bookmarkStart w:id="317" w:name="_Ref451902023"/>
      <w:bookmarkStart w:id="318" w:name="_Toc451943830"/>
      <w:r w:rsidRPr="00FB18DC">
        <w:t>Implementing the return on debt approach</w:t>
      </w:r>
      <w:bookmarkEnd w:id="316"/>
      <w:bookmarkEnd w:id="317"/>
      <w:bookmarkEnd w:id="318"/>
    </w:p>
    <w:p w:rsidR="006A1171" w:rsidRPr="00FB18DC" w:rsidRDefault="006A1171" w:rsidP="006A1171">
      <w:pPr>
        <w:numPr>
          <w:ilvl w:val="0"/>
          <w:numId w:val="24"/>
        </w:numPr>
      </w:pPr>
      <w:r w:rsidRPr="00FB18DC">
        <w:t xml:space="preserve">This section sets out our </w:t>
      </w:r>
      <w:r w:rsidR="00965078">
        <w:t xml:space="preserve">final </w:t>
      </w:r>
      <w:r w:rsidRPr="00FB18DC">
        <w:t>decision methodology to implement the return on debt approach. This section specifies:</w:t>
      </w:r>
    </w:p>
    <w:p w:rsidR="006A1171" w:rsidRPr="00FB18DC" w:rsidRDefault="006A1171" w:rsidP="006A1171">
      <w:pPr>
        <w:pStyle w:val="AERbulletlistfirststyle"/>
      </w:pPr>
      <w:r w:rsidRPr="00FB18DC">
        <w:t>our choice of data series</w:t>
      </w:r>
    </w:p>
    <w:p w:rsidR="006A1171" w:rsidRPr="00FB18DC" w:rsidRDefault="006A1171" w:rsidP="006A1171">
      <w:pPr>
        <w:pStyle w:val="AERbulletlistfirststyle"/>
      </w:pPr>
      <w:r w:rsidRPr="00FB18DC">
        <w:t>extrapolation and interpolation issues with adjusting our choice of data series</w:t>
      </w:r>
    </w:p>
    <w:p w:rsidR="006A1171" w:rsidRPr="00FB18DC" w:rsidRDefault="006A1171" w:rsidP="006A1171">
      <w:pPr>
        <w:pStyle w:val="AERbulletlistfirststyle"/>
      </w:pPr>
      <w:r w:rsidRPr="00FB18DC">
        <w:t>step-by-step calculation to calculating the final RBA and BVAL estimate</w:t>
      </w:r>
    </w:p>
    <w:p w:rsidR="006A1171" w:rsidRPr="00FB18DC" w:rsidRDefault="006A1171" w:rsidP="006A1171">
      <w:pPr>
        <w:pStyle w:val="AERbulletlistfirststyle"/>
      </w:pPr>
      <w:r w:rsidRPr="00FB18DC">
        <w:t>contingencies associated with implementing our choice of data series, if the data series we have chosen to estimate the return on debt are unavailable or change in future regulatory years</w:t>
      </w:r>
    </w:p>
    <w:p w:rsidR="006A1171" w:rsidRPr="00FB18DC" w:rsidRDefault="006A1171" w:rsidP="006A1171">
      <w:pPr>
        <w:pStyle w:val="AERbulletlistfirststyle"/>
      </w:pPr>
      <w:r w:rsidRPr="00FB18DC">
        <w:t>the timing of the annual debt update process</w:t>
      </w:r>
    </w:p>
    <w:p w:rsidR="006A1171" w:rsidRPr="00FB18DC" w:rsidRDefault="006A1171" w:rsidP="006A1171">
      <w:pPr>
        <w:pStyle w:val="Heading9"/>
      </w:pPr>
      <w:bookmarkStart w:id="319" w:name="_Toc436049165"/>
      <w:r w:rsidRPr="00FB18DC">
        <w:t>Choice of data series</w:t>
      </w:r>
      <w:bookmarkEnd w:id="319"/>
    </w:p>
    <w:p w:rsidR="006A1171" w:rsidRPr="00FB18DC" w:rsidRDefault="006A1171" w:rsidP="006A1171">
      <w:r w:rsidRPr="00FB18DC">
        <w:t xml:space="preserve">Our </w:t>
      </w:r>
      <w:r w:rsidR="00965078">
        <w:t xml:space="preserve">final </w:t>
      </w:r>
      <w:r w:rsidRPr="00FB18DC">
        <w:t xml:space="preserve">decision on the choice of data series is to adopt a simple average of the debt data series published by the </w:t>
      </w:r>
      <w:r w:rsidR="00753256">
        <w:t>RBA</w:t>
      </w:r>
      <w:r w:rsidR="00753256" w:rsidRPr="00FB18DC">
        <w:t xml:space="preserve"> </w:t>
      </w:r>
      <w:r w:rsidRPr="00FB18DC">
        <w:t xml:space="preserve">and Bloomberg that match, as close as available, our benchmarks of a BBB+ credit rating and a 10 year debt term. Specifically our </w:t>
      </w:r>
      <w:r w:rsidR="00965078">
        <w:t xml:space="preserve">final </w:t>
      </w:r>
      <w:r w:rsidRPr="00FB18DC">
        <w:t>decision is to adopt a simple average of:</w:t>
      </w:r>
    </w:p>
    <w:p w:rsidR="006A1171" w:rsidRPr="00FB18DC" w:rsidRDefault="006A1171" w:rsidP="006A1171">
      <w:pPr>
        <w:pStyle w:val="AERbulletlistfirststyle"/>
      </w:pPr>
      <w:r w:rsidRPr="00FB18DC">
        <w:t>The RBA broad-BBB rated 10 year curve, extrapolated to an effective term of 10 years (the RBA curve)</w:t>
      </w:r>
    </w:p>
    <w:p w:rsidR="006A1171" w:rsidRPr="00FB18DC" w:rsidRDefault="006A1171" w:rsidP="006A1171">
      <w:pPr>
        <w:pStyle w:val="AERbulletlistfirststyle"/>
      </w:pPr>
      <w:r w:rsidRPr="00FB18DC">
        <w:t xml:space="preserve">The Bloomberg Valuation Service (BVAL) broad-BBB rated curve (the BVAL curve). Depending on the maximum term published at the time, this will be either the BVAL: </w:t>
      </w:r>
    </w:p>
    <w:p w:rsidR="006A1171" w:rsidRPr="00FB18DC" w:rsidRDefault="006A1171" w:rsidP="006A1171">
      <w:pPr>
        <w:pStyle w:val="AERbulletlistsecondstyle"/>
      </w:pPr>
      <w:r w:rsidRPr="00FB18DC">
        <w:t>10 year estimate</w:t>
      </w:r>
      <w:r w:rsidRPr="00FB18DC">
        <w:rPr>
          <w:rStyle w:val="FootnoteReference"/>
        </w:rPr>
        <w:footnoteReference w:id="1413"/>
      </w:r>
      <w:r w:rsidRPr="00FB18DC">
        <w:t xml:space="preserve"> where it is available</w:t>
      </w:r>
    </w:p>
    <w:p w:rsidR="006A1171" w:rsidRPr="00FB18DC" w:rsidRDefault="006A1171" w:rsidP="006A1171">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6A1171" w:rsidRDefault="006A1171" w:rsidP="006A1171">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6A1171" w:rsidRPr="00344AA4" w:rsidRDefault="006A1171" w:rsidP="006A1171">
      <w:pPr>
        <w:rPr>
          <w:rStyle w:val="AERbody"/>
        </w:rPr>
      </w:pPr>
      <w:r w:rsidRPr="00344AA4">
        <w:rPr>
          <w:rStyle w:val="AERbody"/>
        </w:rPr>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925AC8">
        <w:rPr>
          <w:rStyle w:val="AERbody"/>
        </w:rPr>
        <w:fldChar w:fldCharType="begin"/>
      </w:r>
      <w:r w:rsidR="00925AC8">
        <w:rPr>
          <w:rStyle w:val="AERbody"/>
        </w:rPr>
        <w:instrText xml:space="preserve"> REF _Ref451328704 \r \h </w:instrText>
      </w:r>
      <w:r w:rsidR="00925AC8">
        <w:rPr>
          <w:rStyle w:val="AERbody"/>
        </w:rPr>
      </w:r>
      <w:r w:rsidR="00925AC8">
        <w:rPr>
          <w:rStyle w:val="AERbody"/>
        </w:rPr>
        <w:fldChar w:fldCharType="separate"/>
      </w:r>
      <w:r w:rsidR="000230CB">
        <w:rPr>
          <w:rStyle w:val="AERbody"/>
        </w:rPr>
        <w:t>I</w:t>
      </w:r>
      <w:r w:rsidR="00925AC8">
        <w:rPr>
          <w:rStyle w:val="AERbody"/>
        </w:rPr>
        <w:fldChar w:fldCharType="end"/>
      </w:r>
      <w:r w:rsidRPr="00344AA4">
        <w:rPr>
          <w:rStyle w:val="AERbody"/>
        </w:rPr>
        <w:t xml:space="preserve"> for our reasoning and further details.</w:t>
      </w:r>
    </w:p>
    <w:p w:rsidR="006A1171" w:rsidRPr="00FB18DC" w:rsidRDefault="006A1171" w:rsidP="006A1171">
      <w:pPr>
        <w:pStyle w:val="Heading9"/>
      </w:pPr>
      <w:bookmarkStart w:id="320" w:name="_Toc436049166"/>
      <w:r w:rsidRPr="00FB18DC">
        <w:t>Choice of data series—Extrapolation and interpolation issues</w:t>
      </w:r>
      <w:bookmarkEnd w:id="320"/>
    </w:p>
    <w:p w:rsidR="006A1171" w:rsidRPr="00FB18DC" w:rsidRDefault="006A1171" w:rsidP="006A1171">
      <w:r w:rsidRPr="00FB18DC">
        <w:t xml:space="preserve">Our </w:t>
      </w:r>
      <w:r w:rsidR="00CC1847">
        <w:t>final</w:t>
      </w:r>
      <w:r w:rsidR="00CC1847" w:rsidRPr="00FB18DC">
        <w:t xml:space="preserve"> </w:t>
      </w:r>
      <w:r w:rsidRPr="00FB18DC">
        <w:t xml:space="preserve">decision on extrapolation and interpolation issues </w:t>
      </w:r>
      <w:r w:rsidR="00965078" w:rsidRPr="00FB18DC">
        <w:t>is to maintain the approach set out in our draft decision</w:t>
      </w:r>
      <w:r w:rsidRPr="00FB18DC">
        <w:t>. This refers to:</w:t>
      </w:r>
    </w:p>
    <w:p w:rsidR="006A1171" w:rsidRPr="00FB18DC" w:rsidRDefault="006A1171" w:rsidP="006A1171">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6A1171" w:rsidRPr="00FB18DC" w:rsidRDefault="006A1171" w:rsidP="006A1171">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 of the service provider's averaging period.</w:t>
      </w:r>
    </w:p>
    <w:p w:rsidR="006A1171" w:rsidRPr="00FB18DC" w:rsidRDefault="006A1171" w:rsidP="006A1171">
      <w:r w:rsidRPr="00FB18DC">
        <w:t xml:space="preserve">Specifically, we will make the following adjustments as set out in </w:t>
      </w:r>
      <w:r w:rsidRPr="00FB18DC">
        <w:fldChar w:fldCharType="begin"/>
      </w:r>
      <w:r w:rsidRPr="00FB18DC">
        <w:instrText xml:space="preserve"> REF  _Ref435463077 \* Lower \h </w:instrText>
      </w:r>
      <w:r w:rsidRPr="00FB18DC">
        <w:fldChar w:fldCharType="separate"/>
      </w:r>
      <w:r w:rsidR="000230CB" w:rsidRPr="00FB18DC">
        <w:t xml:space="preserve">table </w:t>
      </w:r>
      <w:r w:rsidR="000230CB">
        <w:rPr>
          <w:noProof/>
        </w:rPr>
        <w:t>3</w:t>
      </w:r>
      <w:r w:rsidR="000230CB">
        <w:noBreakHyphen/>
      </w:r>
      <w:r w:rsidR="000230CB">
        <w:rPr>
          <w:noProof/>
        </w:rPr>
        <w:t>46</w:t>
      </w:r>
      <w:r w:rsidRPr="00FB18DC">
        <w:fldChar w:fldCharType="end"/>
      </w:r>
      <w:r w:rsidRPr="00FB18DC">
        <w:t xml:space="preserve"> and</w:t>
      </w:r>
      <w:r>
        <w:t xml:space="preserve"> </w:t>
      </w:r>
      <w:r>
        <w:fldChar w:fldCharType="begin"/>
      </w:r>
      <w:r>
        <w:instrText xml:space="preserve"> REF _Ref450562239 \h </w:instrText>
      </w:r>
      <w:r>
        <w:fldChar w:fldCharType="separate"/>
      </w:r>
      <w:r w:rsidR="000230CB" w:rsidRPr="00FB18DC">
        <w:t xml:space="preserve">Table </w:t>
      </w:r>
      <w:r w:rsidR="000230CB">
        <w:rPr>
          <w:noProof/>
        </w:rPr>
        <w:t>3</w:t>
      </w:r>
      <w:r w:rsidR="000230CB">
        <w:noBreakHyphen/>
      </w:r>
      <w:r w:rsidR="000230CB">
        <w:rPr>
          <w:noProof/>
        </w:rPr>
        <w:t>47</w:t>
      </w:r>
      <w:r>
        <w:fldChar w:fldCharType="end"/>
      </w:r>
      <w:r w:rsidRPr="00FB18DC">
        <w:t>.</w:t>
      </w:r>
    </w:p>
    <w:p w:rsidR="006A1171" w:rsidRPr="00FB18DC" w:rsidRDefault="006A1171" w:rsidP="006A1171">
      <w:pPr>
        <w:pStyle w:val="Caption"/>
      </w:pPr>
      <w:bookmarkStart w:id="321" w:name="_Ref435463077"/>
      <w:r w:rsidRPr="00FB18DC">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46</w:t>
      </w:r>
      <w:r w:rsidR="00527450">
        <w:rPr>
          <w:noProof/>
        </w:rPr>
        <w:fldChar w:fldCharType="end"/>
      </w:r>
      <w:bookmarkEnd w:id="321"/>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6A1171" w:rsidRPr="00BB7AB1" w:rsidTr="007E6AB8">
        <w:trPr>
          <w:cnfStyle w:val="100000000000" w:firstRow="1" w:lastRow="0" w:firstColumn="0" w:lastColumn="0" w:oddVBand="0" w:evenVBand="0" w:oddHBand="0" w:evenHBand="0" w:firstRowFirstColumn="0" w:firstRowLastColumn="0" w:lastRowFirstColumn="0" w:lastRowLastColumn="0"/>
          <w:tblHeader/>
        </w:trPr>
        <w:tc>
          <w:tcPr>
            <w:tcW w:w="1763" w:type="dxa"/>
          </w:tcPr>
          <w:p w:rsidR="006A1171" w:rsidRPr="006A1171" w:rsidRDefault="006A1171" w:rsidP="006A1171">
            <w:r w:rsidRPr="00FB18DC">
              <w:t xml:space="preserve">Adjustment </w:t>
            </w:r>
            <w:r w:rsidRPr="006A1171">
              <w:t>type</w:t>
            </w:r>
          </w:p>
        </w:tc>
        <w:tc>
          <w:tcPr>
            <w:tcW w:w="1262" w:type="dxa"/>
          </w:tcPr>
          <w:p w:rsidR="006A1171" w:rsidRPr="00FB18DC" w:rsidRDefault="006A1171" w:rsidP="006A1171">
            <w:r w:rsidRPr="00FB18DC">
              <w:t>Amendment made?</w:t>
            </w:r>
          </w:p>
        </w:tc>
        <w:tc>
          <w:tcPr>
            <w:tcW w:w="5668" w:type="dxa"/>
          </w:tcPr>
          <w:p w:rsidR="006A1171" w:rsidRPr="00FB18DC" w:rsidRDefault="006A1171" w:rsidP="006A1171">
            <w:r w:rsidRPr="00FB18DC">
              <w:t>Comments</w:t>
            </w:r>
          </w:p>
        </w:tc>
      </w:tr>
      <w:tr w:rsidR="006A1171" w:rsidRPr="00BB7AB1" w:rsidTr="007E6AB8">
        <w:tc>
          <w:tcPr>
            <w:tcW w:w="1763" w:type="dxa"/>
          </w:tcPr>
          <w:p w:rsidR="006A1171" w:rsidRPr="00FB18DC" w:rsidRDefault="006A1171" w:rsidP="006A1171">
            <w:r w:rsidRPr="00FB18DC">
              <w:t>Interpolation to construct daily estimates</w:t>
            </w:r>
          </w:p>
        </w:tc>
        <w:tc>
          <w:tcPr>
            <w:tcW w:w="1262" w:type="dxa"/>
          </w:tcPr>
          <w:p w:rsidR="006A1171" w:rsidRPr="00FB18DC" w:rsidRDefault="006A1171" w:rsidP="006A1171">
            <w:r w:rsidRPr="00FB18DC">
              <w:t>Yes</w:t>
            </w:r>
          </w:p>
        </w:tc>
        <w:tc>
          <w:tcPr>
            <w:tcW w:w="5668" w:type="dxa"/>
          </w:tcPr>
          <w:p w:rsidR="00CE146C" w:rsidRPr="00CE146C" w:rsidRDefault="00CE146C" w:rsidP="00CE146C">
            <w:r w:rsidRPr="00FB18DC">
              <w:t xml:space="preserve">The RBA curve only provides an estimate for one business day at the end of each month. In our experience, averaging periods commonly start and/or end on dates during the month.  </w:t>
            </w:r>
          </w:p>
          <w:p w:rsidR="00CE146C" w:rsidRPr="00CE146C" w:rsidRDefault="00CE146C" w:rsidP="00CE146C">
            <w:r w:rsidRPr="00FB18DC">
              <w:t>We will address</w:t>
            </w:r>
            <w:r w:rsidRPr="00CE146C">
              <w:t xml:space="preserve"> this issue by linearly interpolating between month end values where possible. While we are satisfied that interpolation over business days is also reasonable, we will interpolate over all days because:</w:t>
            </w:r>
          </w:p>
          <w:p w:rsidR="00CE146C" w:rsidRPr="00CE146C" w:rsidRDefault="00CE146C" w:rsidP="00CE146C">
            <w:pPr>
              <w:pStyle w:val="AERbulletlistfirststyle"/>
            </w:pPr>
            <w:r w:rsidRPr="00FB18DC">
              <w:t>this is consistent with our widely accepted approach to interpolate estimates of the risk free rate using CGS</w:t>
            </w:r>
          </w:p>
          <w:p w:rsidR="00CE146C" w:rsidRPr="00CE146C" w:rsidRDefault="00CE146C" w:rsidP="00CE146C">
            <w:pPr>
              <w:pStyle w:val="AERbulletlistfirststyle"/>
            </w:pPr>
            <w:r w:rsidRPr="00FB18DC">
              <w:t>interpolating over all days is simpler to implement</w:t>
            </w:r>
          </w:p>
          <w:p w:rsidR="00CE146C" w:rsidRPr="00CE146C" w:rsidRDefault="00CE146C" w:rsidP="00CE146C">
            <w:pPr>
              <w:pStyle w:val="AERbulletlistfirststyle"/>
            </w:pPr>
            <w:r w:rsidRPr="00FB18DC">
              <w:t>it is impractical to interpolate over business days for estimating the risk free rate, as this would require calculations relative to specific trading days 10 years in advance</w:t>
            </w:r>
          </w:p>
          <w:p w:rsidR="00CE146C" w:rsidRPr="00CE146C" w:rsidRDefault="00CE146C" w:rsidP="00CE146C">
            <w:pPr>
              <w:pStyle w:val="AERbulletlistfirststyle"/>
            </w:pPr>
            <w:r w:rsidRPr="00FB18DC">
              <w:t>the difference to the estimates between interpolating over business days or interpolating over all days is immaterial.</w:t>
            </w:r>
            <w:r w:rsidRPr="00CE146C">
              <w:rPr>
                <w:rStyle w:val="AERsuperscript"/>
              </w:rPr>
              <w:footnoteReference w:id="1414"/>
            </w:r>
          </w:p>
          <w:p w:rsidR="006A1171" w:rsidRPr="006A1171" w:rsidRDefault="00CE146C" w:rsidP="00CE146C">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CE146C">
              <w:t>this appendix.</w:t>
            </w:r>
          </w:p>
        </w:tc>
      </w:tr>
      <w:tr w:rsidR="006A1171" w:rsidRPr="00BB7AB1" w:rsidTr="007E6AB8">
        <w:trPr>
          <w:cnfStyle w:val="000000010000" w:firstRow="0" w:lastRow="0" w:firstColumn="0" w:lastColumn="0" w:oddVBand="0" w:evenVBand="0" w:oddHBand="0" w:evenHBand="1" w:firstRowFirstColumn="0" w:firstRowLastColumn="0" w:lastRowFirstColumn="0" w:lastRowLastColumn="0"/>
        </w:trPr>
        <w:tc>
          <w:tcPr>
            <w:tcW w:w="1763" w:type="dxa"/>
          </w:tcPr>
          <w:p w:rsidR="006A1171" w:rsidRPr="00FB18DC" w:rsidRDefault="006A1171" w:rsidP="006A1171">
            <w:r w:rsidRPr="00FB18DC">
              <w:t>Extrapolation to target term</w:t>
            </w:r>
          </w:p>
        </w:tc>
        <w:tc>
          <w:tcPr>
            <w:tcW w:w="1262" w:type="dxa"/>
          </w:tcPr>
          <w:p w:rsidR="006A1171" w:rsidRPr="00FB18DC" w:rsidRDefault="006A1171" w:rsidP="006A1171">
            <w:r w:rsidRPr="00FB18DC">
              <w:t>Yes</w:t>
            </w:r>
          </w:p>
        </w:tc>
        <w:tc>
          <w:tcPr>
            <w:tcW w:w="5668" w:type="dxa"/>
          </w:tcPr>
          <w:p w:rsidR="00CE146C" w:rsidRPr="00CE146C" w:rsidRDefault="00CE146C" w:rsidP="00CE146C">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CE146C">
              <w:rPr>
                <w:rStyle w:val="AERsuperscript"/>
              </w:rPr>
              <w:footnoteReference w:id="1415"/>
            </w:r>
            <w:r w:rsidRPr="00CE146C">
              <w:rPr>
                <w:rStyle w:val="AERsuperscript"/>
              </w:rPr>
              <w:t xml:space="preserve"> </w:t>
            </w:r>
          </w:p>
          <w:p w:rsidR="006A1171" w:rsidRPr="006A1171" w:rsidRDefault="00CE146C" w:rsidP="00CE146C">
            <w:r w:rsidRPr="00FB18DC">
              <w:t>We agree</w:t>
            </w:r>
            <w:r w:rsidRPr="00CE146C">
              <w:t xml:space="preserve"> with Lally's recommendation to extrapolate the spread component of the RBA's published yield in order to match it with the benchmark term of debt. However, we do not agree it is necessary to extrapolate the base component. As identified by the RBA and Lally,</w:t>
            </w:r>
            <w:r w:rsidRPr="00CE146C">
              <w:rPr>
                <w:rStyle w:val="AERsuperscript"/>
              </w:rPr>
              <w:footnoteReference w:id="1416"/>
            </w:r>
            <w:r w:rsidRPr="00CE146C">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6A1171" w:rsidRPr="00BB7AB1" w:rsidTr="007E6AB8">
        <w:tc>
          <w:tcPr>
            <w:tcW w:w="1763" w:type="dxa"/>
          </w:tcPr>
          <w:p w:rsidR="006A1171" w:rsidRPr="00FB18DC" w:rsidRDefault="006A1171" w:rsidP="006A1171">
            <w:r w:rsidRPr="00FB18DC">
              <w:t>Conversion to effective annual rate</w:t>
            </w:r>
          </w:p>
        </w:tc>
        <w:tc>
          <w:tcPr>
            <w:tcW w:w="1262" w:type="dxa"/>
          </w:tcPr>
          <w:p w:rsidR="006A1171" w:rsidRPr="00FB18DC" w:rsidRDefault="006A1171" w:rsidP="006A1171">
            <w:r w:rsidRPr="00FB18DC">
              <w:t>Yes</w:t>
            </w:r>
          </w:p>
        </w:tc>
        <w:tc>
          <w:tcPr>
            <w:tcW w:w="5668" w:type="dxa"/>
          </w:tcPr>
          <w:p w:rsidR="006A1171" w:rsidRPr="00FB18DC" w:rsidRDefault="00CE146C" w:rsidP="006A1171">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CE146C">
              <w:rPr>
                <w:rStyle w:val="AERsuperscript"/>
              </w:rPr>
              <w:footnoteReference w:id="1417"/>
            </w:r>
            <w:r w:rsidRPr="00CE146C">
              <w:t xml:space="preserve"> Therefore, this would require conversion into an effective annual rate, using the same approach as is applied to the BVAL yield estimate.</w:t>
            </w:r>
          </w:p>
        </w:tc>
      </w:tr>
    </w:tbl>
    <w:p w:rsidR="006A1171" w:rsidRPr="00FB18DC" w:rsidRDefault="006A1171" w:rsidP="006A1171">
      <w:pPr>
        <w:pStyle w:val="AERtablesource"/>
      </w:pPr>
      <w:r w:rsidRPr="00FB18DC">
        <w:t xml:space="preserve">Source: </w:t>
      </w:r>
      <w:r w:rsidRPr="00FB18DC">
        <w:tab/>
        <w:t>AER analysis.</w:t>
      </w:r>
    </w:p>
    <w:p w:rsidR="006A1171" w:rsidRPr="00FB18DC" w:rsidRDefault="006A1171" w:rsidP="006A1171">
      <w:pPr>
        <w:pStyle w:val="Caption"/>
      </w:pPr>
      <w:bookmarkStart w:id="322" w:name="_Ref450562239"/>
      <w:r w:rsidRPr="00FB18DC">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47</w:t>
      </w:r>
      <w:r w:rsidR="00527450">
        <w:rPr>
          <w:noProof/>
        </w:rPr>
        <w:fldChar w:fldCharType="end"/>
      </w:r>
      <w:bookmarkEnd w:id="322"/>
      <w:r w:rsidRPr="00FB18DC">
        <w:tab/>
        <w:t>Adjustments to the BVAL curve</w:t>
      </w:r>
    </w:p>
    <w:tbl>
      <w:tblPr>
        <w:tblStyle w:val="AERtable-text0"/>
        <w:tblW w:w="0" w:type="auto"/>
        <w:tblLook w:val="04A0" w:firstRow="1" w:lastRow="0" w:firstColumn="1" w:lastColumn="0" w:noHBand="0" w:noVBand="1"/>
      </w:tblPr>
      <w:tblGrid>
        <w:gridCol w:w="1809"/>
        <w:gridCol w:w="1276"/>
        <w:gridCol w:w="5608"/>
      </w:tblGrid>
      <w:tr w:rsidR="006A1171" w:rsidRPr="00BB7AB1" w:rsidTr="007E6AB8">
        <w:trPr>
          <w:cnfStyle w:val="100000000000" w:firstRow="1" w:lastRow="0" w:firstColumn="0" w:lastColumn="0" w:oddVBand="0" w:evenVBand="0" w:oddHBand="0" w:evenHBand="0" w:firstRowFirstColumn="0" w:firstRowLastColumn="0" w:lastRowFirstColumn="0" w:lastRowLastColumn="0"/>
          <w:tblHeader/>
        </w:trPr>
        <w:tc>
          <w:tcPr>
            <w:tcW w:w="1809" w:type="dxa"/>
          </w:tcPr>
          <w:p w:rsidR="006A1171" w:rsidRPr="006A1171" w:rsidRDefault="006A1171" w:rsidP="006A1171">
            <w:r w:rsidRPr="00FB18DC">
              <w:t xml:space="preserve">Adjustment </w:t>
            </w:r>
            <w:r w:rsidRPr="006A1171">
              <w:t>type</w:t>
            </w:r>
          </w:p>
        </w:tc>
        <w:tc>
          <w:tcPr>
            <w:tcW w:w="1276" w:type="dxa"/>
          </w:tcPr>
          <w:p w:rsidR="006A1171" w:rsidRPr="00FB18DC" w:rsidRDefault="006A1171" w:rsidP="006A1171">
            <w:r w:rsidRPr="00FB18DC">
              <w:t>Amendment made?</w:t>
            </w:r>
          </w:p>
        </w:tc>
        <w:tc>
          <w:tcPr>
            <w:tcW w:w="5608" w:type="dxa"/>
          </w:tcPr>
          <w:p w:rsidR="006A1171" w:rsidRPr="00FB18DC" w:rsidRDefault="006A1171" w:rsidP="006A1171">
            <w:pPr>
              <w:numPr>
                <w:ilvl w:val="0"/>
                <w:numId w:val="24"/>
              </w:numPr>
            </w:pPr>
            <w:r w:rsidRPr="00FB18DC">
              <w:t>Comments</w:t>
            </w:r>
          </w:p>
        </w:tc>
      </w:tr>
      <w:tr w:rsidR="006A1171" w:rsidRPr="00BB7AB1" w:rsidTr="007E6AB8">
        <w:tc>
          <w:tcPr>
            <w:tcW w:w="1809" w:type="dxa"/>
          </w:tcPr>
          <w:p w:rsidR="006A1171" w:rsidRPr="00FB18DC" w:rsidRDefault="006A1171" w:rsidP="006A1171">
            <w:r w:rsidRPr="00FB18DC">
              <w:t>Interpolation to construct daily estimates</w:t>
            </w:r>
          </w:p>
        </w:tc>
        <w:tc>
          <w:tcPr>
            <w:tcW w:w="1276" w:type="dxa"/>
          </w:tcPr>
          <w:p w:rsidR="006A1171" w:rsidRPr="00FB18DC" w:rsidRDefault="006A1171" w:rsidP="006A1171">
            <w:r w:rsidRPr="00FB18DC">
              <w:t>No</w:t>
            </w:r>
          </w:p>
        </w:tc>
        <w:tc>
          <w:tcPr>
            <w:tcW w:w="5608" w:type="dxa"/>
          </w:tcPr>
          <w:p w:rsidR="006A1171" w:rsidRPr="00FB18DC" w:rsidRDefault="006A1171" w:rsidP="006A1171">
            <w:pPr>
              <w:numPr>
                <w:ilvl w:val="0"/>
                <w:numId w:val="24"/>
              </w:numPr>
            </w:pPr>
            <w:r w:rsidRPr="00FB18DC">
              <w:t>Bloomberg publishes daily estimates.</w:t>
            </w:r>
          </w:p>
        </w:tc>
      </w:tr>
      <w:tr w:rsidR="006A1171" w:rsidRPr="00BB7AB1" w:rsidTr="007E6AB8">
        <w:trPr>
          <w:cnfStyle w:val="000000010000" w:firstRow="0" w:lastRow="0" w:firstColumn="0" w:lastColumn="0" w:oddVBand="0" w:evenVBand="0" w:oddHBand="0" w:evenHBand="1" w:firstRowFirstColumn="0" w:firstRowLastColumn="0" w:lastRowFirstColumn="0" w:lastRowLastColumn="0"/>
        </w:trPr>
        <w:tc>
          <w:tcPr>
            <w:tcW w:w="1809" w:type="dxa"/>
          </w:tcPr>
          <w:p w:rsidR="006A1171" w:rsidRPr="00FB18DC" w:rsidRDefault="006A1171" w:rsidP="006A1171">
            <w:r w:rsidRPr="00FB18DC">
              <w:t>Extrapolation to target term</w:t>
            </w:r>
          </w:p>
        </w:tc>
        <w:tc>
          <w:tcPr>
            <w:tcW w:w="1276" w:type="dxa"/>
          </w:tcPr>
          <w:p w:rsidR="006A1171" w:rsidRPr="00FB18DC" w:rsidRDefault="006A1171" w:rsidP="006A1171">
            <w:r w:rsidRPr="00FB18DC">
              <w:t>Depends on maximum term published by Bloomberg</w:t>
            </w:r>
          </w:p>
        </w:tc>
        <w:tc>
          <w:tcPr>
            <w:tcW w:w="5608" w:type="dxa"/>
          </w:tcPr>
          <w:p w:rsidR="00CE146C" w:rsidRPr="00FB18DC" w:rsidRDefault="00CE146C" w:rsidP="00CE146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418"/>
            </w:r>
            <w:r w:rsidRPr="00FB18DC">
              <w:t xml:space="preserve"> In April 2015, Bloomberg revised its methodology for the BVAL curve (BVCSAB10) and it now publishes a 10 year estimate.</w:t>
            </w:r>
            <w:r w:rsidRPr="00FB18DC">
              <w:rPr>
                <w:rStyle w:val="FootnoteReference"/>
              </w:rPr>
              <w:footnoteReference w:id="1419"/>
            </w:r>
            <w:r w:rsidRPr="00FB18DC">
              <w:t xml:space="preserve"> </w:t>
            </w:r>
          </w:p>
          <w:p w:rsidR="00CE146C" w:rsidRPr="00FB18DC" w:rsidRDefault="00CE146C" w:rsidP="00CE146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CE146C" w:rsidRPr="00FB18DC" w:rsidRDefault="00CE146C" w:rsidP="00CE146C">
            <w:pPr>
              <w:numPr>
                <w:ilvl w:val="0"/>
                <w:numId w:val="24"/>
              </w:numPr>
            </w:pPr>
            <w:r w:rsidRPr="00FB18DC">
              <w:t>BVAL yield 10 years = BVAL yield 7 years + difference in CGS from 7 to 10 years + difference in RBA extrapolated spread to CGS from 7 to 10 years</w:t>
            </w:r>
          </w:p>
          <w:p w:rsidR="00CE146C" w:rsidRPr="00FB18DC" w:rsidRDefault="00CE146C" w:rsidP="00CE146C">
            <w:pPr>
              <w:numPr>
                <w:ilvl w:val="0"/>
                <w:numId w:val="24"/>
              </w:numPr>
            </w:pPr>
            <w:r w:rsidRPr="00FB18DC">
              <w:t>As recommended by Lally,</w:t>
            </w:r>
            <w:r w:rsidRPr="00FB18DC">
              <w:rPr>
                <w:rStyle w:val="AERsuperscript"/>
              </w:rPr>
              <w:footnoteReference w:id="1420"/>
            </w:r>
            <w:r w:rsidRPr="00FB18DC">
              <w:t xml:space="preserve"> we are satisfied this approach is comparably reliable to the more complex approaches submitted by other stakeholders,</w:t>
            </w:r>
            <w:r w:rsidRPr="00FB18DC">
              <w:rPr>
                <w:rStyle w:val="AERsuperscript"/>
              </w:rPr>
              <w:footnoteReference w:id="1421"/>
            </w:r>
            <w:r w:rsidRPr="00FB18DC">
              <w:rPr>
                <w:rStyle w:val="AERsuperscript"/>
              </w:rPr>
              <w:t xml:space="preserve"> </w:t>
            </w:r>
            <w:r w:rsidRPr="00FB18DC">
              <w:t>but is simpler to implement and based on publicly available data.</w:t>
            </w:r>
          </w:p>
          <w:p w:rsidR="00CE146C" w:rsidRPr="00FB18DC" w:rsidRDefault="00CE146C" w:rsidP="00CE146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6A1171" w:rsidRPr="00FB18DC" w:rsidRDefault="00CE146C" w:rsidP="00CE146C">
            <w:pPr>
              <w:numPr>
                <w:ilvl w:val="0"/>
                <w:numId w:val="24"/>
              </w:numPr>
            </w:pPr>
            <w:r w:rsidRPr="00FB18DC">
              <w:t>For the period where 10 years is the maximum term, we do not extrapolate the estimate.</w:t>
            </w:r>
          </w:p>
        </w:tc>
      </w:tr>
      <w:tr w:rsidR="006A1171" w:rsidRPr="00BB7AB1" w:rsidTr="007E6AB8">
        <w:tc>
          <w:tcPr>
            <w:tcW w:w="1809" w:type="dxa"/>
          </w:tcPr>
          <w:p w:rsidR="006A1171" w:rsidRPr="00FB18DC" w:rsidRDefault="006A1171" w:rsidP="006A1171">
            <w:r w:rsidRPr="00FB18DC">
              <w:t>Conversion to effective annual rate</w:t>
            </w:r>
          </w:p>
        </w:tc>
        <w:tc>
          <w:tcPr>
            <w:tcW w:w="1276" w:type="dxa"/>
          </w:tcPr>
          <w:p w:rsidR="006A1171" w:rsidRPr="00FB18DC" w:rsidRDefault="006A1171" w:rsidP="006A1171">
            <w:r w:rsidRPr="00FB18DC">
              <w:t>Yes</w:t>
            </w:r>
          </w:p>
        </w:tc>
        <w:tc>
          <w:tcPr>
            <w:tcW w:w="5608" w:type="dxa"/>
          </w:tcPr>
          <w:p w:rsidR="006A1171" w:rsidRPr="00FB18DC" w:rsidRDefault="006A1171" w:rsidP="006A1171">
            <w:pPr>
              <w:numPr>
                <w:ilvl w:val="0"/>
                <w:numId w:val="24"/>
              </w:numPr>
            </w:pPr>
            <w:r w:rsidRPr="00FB18DC">
              <w:t>Bloomberg publishes its yield as annual rates with semi-annual compounding. This needs to be converted into an effective annual rate.</w:t>
            </w:r>
          </w:p>
        </w:tc>
      </w:tr>
    </w:tbl>
    <w:p w:rsidR="006A1171" w:rsidRPr="00FB18DC" w:rsidRDefault="006A1171" w:rsidP="006A1171">
      <w:pPr>
        <w:pStyle w:val="Heading9"/>
      </w:pPr>
      <w:bookmarkStart w:id="323" w:name="_Toc436049167"/>
      <w:r w:rsidRPr="00FB18DC">
        <w:t>Choice of data series—Step-by-step guide to calculations</w:t>
      </w:r>
      <w:bookmarkEnd w:id="323"/>
    </w:p>
    <w:p w:rsidR="006A1171" w:rsidRPr="00FB18DC" w:rsidRDefault="006A1171" w:rsidP="006A1171">
      <w:pPr>
        <w:numPr>
          <w:ilvl w:val="0"/>
          <w:numId w:val="24"/>
        </w:numPr>
      </w:pPr>
      <w:r w:rsidRPr="00FB18DC">
        <w:t>Below we describe the step-by-step processes of calculating:</w:t>
      </w:r>
    </w:p>
    <w:p w:rsidR="006A1171" w:rsidRPr="00FB18DC" w:rsidRDefault="006A1171" w:rsidP="006A1171">
      <w:pPr>
        <w:pStyle w:val="AERbulletlistfirststyle"/>
      </w:pPr>
      <w:r w:rsidRPr="00FB18DC">
        <w:t xml:space="preserve">the adjusted RBA estimate </w:t>
      </w:r>
    </w:p>
    <w:p w:rsidR="006A1171" w:rsidRPr="00FB18DC" w:rsidRDefault="006A1171" w:rsidP="006A1171">
      <w:pPr>
        <w:pStyle w:val="AERbulletlistfirststyle"/>
      </w:pPr>
      <w:r w:rsidRPr="00FB18DC">
        <w:t xml:space="preserve">the adjusted BVAL estimate </w:t>
      </w:r>
    </w:p>
    <w:p w:rsidR="006A1171" w:rsidRPr="00FB18DC" w:rsidRDefault="006A1171" w:rsidP="006A1171">
      <w:pPr>
        <w:pStyle w:val="AERbulletlistfirststyle"/>
      </w:pPr>
      <w:r w:rsidRPr="00FB18DC">
        <w:t>the final estimate—where we combine our implementations of the RBA estimate and the BVAL estimate.</w:t>
      </w:r>
    </w:p>
    <w:p w:rsidR="006A1171" w:rsidRPr="00FB18DC" w:rsidRDefault="006A1171" w:rsidP="006A1171">
      <w:pPr>
        <w:numPr>
          <w:ilvl w:val="0"/>
          <w:numId w:val="24"/>
        </w:numPr>
      </w:pPr>
      <w:r w:rsidRPr="00FB18DC">
        <w:t xml:space="preserve">These formula steps relate to the approach specified in this </w:t>
      </w:r>
      <w:r w:rsidR="00E24D11">
        <w:t xml:space="preserve">final </w:t>
      </w:r>
      <w:r w:rsidRPr="00FB18DC">
        <w:t xml:space="preserve">decision. In the event that data availability changes during the access arrangement period, the formulas below will change to reflect the contingencies set out in section </w:t>
      </w:r>
      <w:r w:rsidR="00925AC8">
        <w:fldChar w:fldCharType="begin"/>
      </w:r>
      <w:r w:rsidR="00925AC8">
        <w:instrText xml:space="preserve"> REF _Ref451902036 \r \h </w:instrText>
      </w:r>
      <w:r w:rsidR="00925AC8">
        <w:fldChar w:fldCharType="separate"/>
      </w:r>
      <w:r w:rsidR="000230CB">
        <w:t>J.2.4</w:t>
      </w:r>
      <w:r w:rsidR="00925AC8">
        <w:fldChar w:fldCharType="end"/>
      </w:r>
      <w:r w:rsidRPr="00FB18DC">
        <w:t>.</w:t>
      </w:r>
    </w:p>
    <w:p w:rsidR="006A1171" w:rsidRPr="00FB18DC" w:rsidRDefault="006A1171" w:rsidP="006A1171">
      <w:pPr>
        <w:numPr>
          <w:ilvl w:val="0"/>
          <w:numId w:val="24"/>
        </w:numPr>
      </w:pPr>
      <w:r w:rsidRPr="00FB18DC">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6A1171" w:rsidRPr="00FB18DC" w:rsidRDefault="006A1171" w:rsidP="00DB4FCE">
      <w:pPr>
        <w:keepNext/>
        <w:numPr>
          <w:ilvl w:val="0"/>
          <w:numId w:val="24"/>
        </w:numPr>
        <w:rPr>
          <w:rStyle w:val="AERbody"/>
        </w:rPr>
      </w:pPr>
      <w:r w:rsidRPr="00FB18DC">
        <w:rPr>
          <w:rStyle w:val="AERtextitalic"/>
        </w:rPr>
        <w:t>Calculation of the adjusted RBA estimate</w:t>
      </w:r>
    </w:p>
    <w:p w:rsidR="006A1171" w:rsidRPr="00FB18DC" w:rsidRDefault="006A1171" w:rsidP="00DB4FCE">
      <w:pPr>
        <w:keepNext/>
        <w:numPr>
          <w:ilvl w:val="1"/>
          <w:numId w:val="24"/>
        </w:numPr>
      </w:pPr>
      <w:r w:rsidRPr="00FB18DC">
        <w:t>Download RBA table F3—'Aggregate measures of Australian corporate bond yields' from the RBA website.</w:t>
      </w:r>
    </w:p>
    <w:p w:rsidR="006A1171" w:rsidRPr="00FB18DC" w:rsidRDefault="006A1171" w:rsidP="006A1171">
      <w:pPr>
        <w:numPr>
          <w:ilvl w:val="1"/>
          <w:numId w:val="24"/>
        </w:numPr>
      </w:pPr>
      <w:r w:rsidRPr="00FB18DC">
        <w:t>From this file, download the 7 and 10 year 'Non-financial corporate BBB-rated bonds—Yield' entries for dates:</w:t>
      </w:r>
    </w:p>
    <w:p w:rsidR="006A1171" w:rsidRPr="00FB18DC" w:rsidRDefault="006A1171" w:rsidP="006A1171">
      <w:pPr>
        <w:numPr>
          <w:ilvl w:val="2"/>
          <w:numId w:val="24"/>
        </w:numPr>
      </w:pPr>
      <w:r w:rsidRPr="00FB18DC">
        <w:t>from the most recent published RBA date prior to the commencement of the nominated averaging period for debt</w:t>
      </w:r>
    </w:p>
    <w:p w:rsidR="006A1171" w:rsidRPr="00FB18DC" w:rsidRDefault="006A1171" w:rsidP="006A1171">
      <w:pPr>
        <w:numPr>
          <w:ilvl w:val="2"/>
          <w:numId w:val="24"/>
        </w:numPr>
      </w:pPr>
      <w:r w:rsidRPr="00FB18DC">
        <w:t>to the first published RBA date following the conclusion of the nominated averaging period for debt</w:t>
      </w:r>
    </w:p>
    <w:p w:rsidR="006A1171" w:rsidRPr="00FB18DC" w:rsidRDefault="006A1171" w:rsidP="006A1171">
      <w:pPr>
        <w:numPr>
          <w:ilvl w:val="2"/>
          <w:numId w:val="24"/>
        </w:numPr>
      </w:pPr>
      <w:r w:rsidRPr="00FB18DC">
        <w:t>all published dates between a. and b.</w:t>
      </w:r>
    </w:p>
    <w:p w:rsidR="006A1171" w:rsidRPr="00FB18DC" w:rsidRDefault="006A1171" w:rsidP="006A1171">
      <w:pPr>
        <w:numPr>
          <w:ilvl w:val="1"/>
          <w:numId w:val="24"/>
        </w:numPr>
      </w:pPr>
      <w:r w:rsidRPr="00FB18DC">
        <w:t xml:space="preserve">Download, from RBA table F16—'Indicative Mid Rates of </w:t>
      </w:r>
      <w:r w:rsidR="00BB2233">
        <w:t>Australian</w:t>
      </w:r>
      <w:r w:rsidRPr="00FB18DC">
        <w:t xml:space="preserve"> Government Securities - 2013 to Current', daily yields on CGSs for dates within the service provider's averaging period. </w:t>
      </w:r>
    </w:p>
    <w:p w:rsidR="006A1171" w:rsidRPr="00FB18DC" w:rsidRDefault="006A1171" w:rsidP="006A1171">
      <w:pPr>
        <w:numPr>
          <w:ilvl w:val="1"/>
          <w:numId w:val="24"/>
        </w:numPr>
      </w:pPr>
      <w:r w:rsidRPr="00FB18DC">
        <w:t>Linearly interpolate between the two nearest bonds straddling 7 years remaining term to maturity,</w:t>
      </w:r>
      <w:r w:rsidRPr="00FB18DC">
        <w:rPr>
          <w:rStyle w:val="AERsuperscript"/>
        </w:rPr>
        <w:footnoteReference w:id="1422"/>
      </w:r>
      <w:r w:rsidRPr="00FB18DC">
        <w:t xml:space="preserve"> and the two nearest CGS bonds straddling 10 years remaining term to maturity. This should be done using the following formula: </w:t>
      </w:r>
      <w:r w:rsidRPr="00FB18DC">
        <w:rPr>
          <w:rStyle w:val="AERsuperscript"/>
        </w:rPr>
        <w:footnoteReference w:id="1423"/>
      </w:r>
    </w:p>
    <w:p w:rsidR="006A1171" w:rsidRPr="00FB18DC" w:rsidRDefault="006A1171" w:rsidP="006A1171">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6A1171" w:rsidRPr="00FB18DC" w:rsidRDefault="006A1171" w:rsidP="006A1171">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424"/>
      </w:r>
    </w:p>
    <w:p w:rsidR="006A1171" w:rsidRPr="00FB18DC" w:rsidRDefault="006A1171" w:rsidP="006A1171">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(10 - effective term</w:t>
      </w:r>
      <w:r w:rsidRPr="00FB18DC">
        <w:rPr>
          <w:rStyle w:val="AERsubscript"/>
        </w:rPr>
        <w:t>10</w:t>
      </w:r>
      <w:r w:rsidRPr="00FB18DC">
        <w:t xml:space="preserve"> year published).</w:t>
      </w:r>
    </w:p>
    <w:p w:rsidR="006A1171" w:rsidRPr="00FB18DC" w:rsidRDefault="006A1171" w:rsidP="006A1171">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425"/>
      </w:r>
    </w:p>
    <w:p w:rsidR="006A1171" w:rsidRPr="00FB18DC" w:rsidRDefault="006A1171" w:rsidP="006A1171">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6A1171" w:rsidRPr="00FB18DC" w:rsidRDefault="006A1171" w:rsidP="006A1171">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426"/>
      </w:r>
    </w:p>
    <w:p w:rsidR="006A1171" w:rsidRPr="00FB18DC" w:rsidRDefault="006A1171" w:rsidP="006A1171">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6A1171" w:rsidRPr="00FB18DC" w:rsidRDefault="006A1171" w:rsidP="006A1171">
      <w:pPr>
        <w:pStyle w:val="AERquote"/>
      </w:pPr>
      <w:r w:rsidRPr="00FB18DC">
        <w:t>spread interpolated = spread first straddling publication date + (date interpolation - date first straddling publication date) * (spread second straddling publication date - spread first straddling publication date) / (date second straddling publication date - date first straddling publication date)</w:t>
      </w:r>
    </w:p>
    <w:p w:rsidR="006A1171" w:rsidRPr="00FB18DC" w:rsidRDefault="006A1171" w:rsidP="006A1171">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6A1171" w:rsidRPr="00FB18DC" w:rsidRDefault="006A1171" w:rsidP="006A1171">
      <w:pPr>
        <w:numPr>
          <w:ilvl w:val="1"/>
          <w:numId w:val="24"/>
        </w:numPr>
      </w:pPr>
      <w:r w:rsidRPr="00FB18DC">
        <w:t>Add to these daily spreads (from step 8), daily interpolated estimates of the CGS (from step 4) for all business days in the service providers averaging period. Specifically:</w:t>
      </w:r>
    </w:p>
    <w:p w:rsidR="006A1171" w:rsidRPr="00FB18DC" w:rsidRDefault="006A1171" w:rsidP="006A1171">
      <w:pPr>
        <w:numPr>
          <w:ilvl w:val="2"/>
          <w:numId w:val="24"/>
        </w:numPr>
      </w:pPr>
      <w:r w:rsidRPr="00FB18DC">
        <w:t xml:space="preserve"> add the 7 year interpolated CGS estimates to the 7 year interpolated RBA spreads. These are the interpolated RBA daily 7-year yield estimates.</w:t>
      </w:r>
    </w:p>
    <w:p w:rsidR="006A1171" w:rsidRPr="00FB18DC" w:rsidRDefault="006A1171" w:rsidP="006A1171">
      <w:pPr>
        <w:numPr>
          <w:ilvl w:val="2"/>
          <w:numId w:val="24"/>
        </w:numPr>
      </w:pPr>
      <w:r w:rsidRPr="00FB18DC">
        <w:t xml:space="preserve"> add the 10 year interpolated CGS estimate to the 10 year interpolated RBA spread. These are the interpolated RBA daily 10-year yield estimates.</w:t>
      </w:r>
    </w:p>
    <w:p w:rsidR="006A1171" w:rsidRPr="00FB18DC" w:rsidRDefault="006A1171" w:rsidP="006A1171">
      <w:pPr>
        <w:numPr>
          <w:ilvl w:val="1"/>
          <w:numId w:val="24"/>
        </w:numPr>
      </w:pPr>
      <w:r w:rsidRPr="00FB18DC">
        <w:t>Convert the interpolated daily yield estimates (from step 9) to effective annual rates, using the formula:</w:t>
      </w:r>
      <w:r w:rsidRPr="00FB18DC">
        <w:footnoteReference w:id="1427"/>
      </w:r>
    </w:p>
    <w:p w:rsidR="006A1171" w:rsidRPr="00FB18DC" w:rsidRDefault="006A1171" w:rsidP="006A1171">
      <w:pPr>
        <w:pStyle w:val="AERquote"/>
      </w:pPr>
      <w:r w:rsidRPr="00FB18DC">
        <w:t>effective annual rate = ((1 + yield / 200)</w:t>
      </w:r>
      <w:r w:rsidRPr="00FB18DC">
        <w:rPr>
          <w:rStyle w:val="AERsuperscript"/>
        </w:rPr>
        <w:t>2</w:t>
      </w:r>
      <w:r w:rsidRPr="00FB18DC">
        <w:t xml:space="preserve"> - 1)*100</w:t>
      </w:r>
    </w:p>
    <w:p w:rsidR="006A1171" w:rsidRPr="00FB18DC" w:rsidRDefault="006A1171" w:rsidP="006A1171">
      <w:pPr>
        <w:numPr>
          <w:ilvl w:val="1"/>
          <w:numId w:val="24"/>
        </w:numPr>
      </w:pPr>
      <w:r w:rsidRPr="00FB18DC">
        <w:t>Average the yield estimate for the 10 year RBA yield estimate over all business days in the service provider's averaging period. This is our adjusted RBA estimate.</w:t>
      </w:r>
    </w:p>
    <w:p w:rsidR="006A1171" w:rsidRPr="00FB18DC" w:rsidRDefault="006A1171" w:rsidP="006A1171">
      <w:pPr>
        <w:numPr>
          <w:ilvl w:val="0"/>
          <w:numId w:val="24"/>
        </w:numPr>
        <w:rPr>
          <w:rStyle w:val="AERtextitalic"/>
        </w:rPr>
      </w:pPr>
      <w:r w:rsidRPr="00FB18DC">
        <w:rPr>
          <w:rStyle w:val="AERtextitalic"/>
        </w:rPr>
        <w:t>Calculation of the adjusted BVAL estimate</w:t>
      </w:r>
    </w:p>
    <w:p w:rsidR="00CE146C" w:rsidRPr="00FB18DC" w:rsidRDefault="00CE146C" w:rsidP="00CE146C">
      <w:pPr>
        <w:numPr>
          <w:ilvl w:val="1"/>
          <w:numId w:val="24"/>
        </w:numPr>
      </w:pPr>
      <w:r w:rsidRPr="00FB18DC">
        <w:t>For dates after 14 April 2015, download the 10 year Corporate BBB rated Australian BVAL curve (BVC</w:t>
      </w:r>
      <w:r>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428"/>
      </w:r>
    </w:p>
    <w:p w:rsidR="00CE146C" w:rsidRPr="00FB18DC" w:rsidRDefault="00CE146C" w:rsidP="00CE146C">
      <w:pPr>
        <w:numPr>
          <w:ilvl w:val="1"/>
          <w:numId w:val="24"/>
        </w:numPr>
      </w:pPr>
      <w:r w:rsidRPr="00FB18DC">
        <w:t>For dates before 14 April 2015, add to the 7 year yield the difference between the 7 and 10 year daily RBA adjuste</w:t>
      </w:r>
      <w:r>
        <w:t>d yields (as calculated in step 8</w:t>
      </w:r>
      <w:r w:rsidRPr="00FB18DC">
        <w:t xml:space="preserve"> of the RBA process). This is the extrapolated daily estimate of the BVAL 10 year yield.</w:t>
      </w:r>
      <w:r w:rsidRPr="00FB18DC">
        <w:rPr>
          <w:rStyle w:val="AERsuperscript"/>
        </w:rPr>
        <w:footnoteReference w:id="1429"/>
      </w:r>
    </w:p>
    <w:p w:rsidR="006A1171" w:rsidRPr="00FB18DC" w:rsidRDefault="006A1171" w:rsidP="006A1171">
      <w:pPr>
        <w:numPr>
          <w:ilvl w:val="1"/>
          <w:numId w:val="24"/>
        </w:numPr>
      </w:pPr>
      <w:r w:rsidRPr="00FB18DC">
        <w:t xml:space="preserve">For all dates, convert the 10 year yields into effective annual rates, using the formula: </w:t>
      </w:r>
    </w:p>
    <w:p w:rsidR="006A1171" w:rsidRPr="00FB18DC" w:rsidRDefault="006A1171" w:rsidP="006A1171">
      <w:pPr>
        <w:pStyle w:val="AERquote"/>
      </w:pPr>
      <w:r w:rsidRPr="00FB18DC">
        <w:t>effective annual rate = ((1 + yield / 200 )</w:t>
      </w:r>
      <w:r w:rsidRPr="00FB18DC">
        <w:rPr>
          <w:rStyle w:val="AERsuperscript"/>
        </w:rPr>
        <w:t>2</w:t>
      </w:r>
      <w:r w:rsidRPr="00FB18DC">
        <w:t xml:space="preserve"> - 1)*100</w:t>
      </w:r>
    </w:p>
    <w:p w:rsidR="006A1171" w:rsidRPr="00FB18DC" w:rsidRDefault="006A1171" w:rsidP="006A1171">
      <w:pPr>
        <w:numPr>
          <w:ilvl w:val="1"/>
          <w:numId w:val="24"/>
        </w:numPr>
      </w:pPr>
      <w:r w:rsidRPr="00FB18DC">
        <w:t>Average the extrapolated daily estimates of the BVAL 10 year yield over all business days in the service provider's averaging period. This is our adjusted BVAL estimate.</w:t>
      </w:r>
    </w:p>
    <w:p w:rsidR="006A1171" w:rsidRPr="00FB18DC" w:rsidRDefault="006A1171" w:rsidP="006A1171">
      <w:pPr>
        <w:numPr>
          <w:ilvl w:val="0"/>
          <w:numId w:val="24"/>
        </w:numPr>
        <w:rPr>
          <w:rStyle w:val="AERtextitalic"/>
        </w:rPr>
      </w:pPr>
      <w:r w:rsidRPr="00FB18DC">
        <w:rPr>
          <w:rStyle w:val="AERtextitalic"/>
        </w:rPr>
        <w:t>Final estimate</w:t>
      </w:r>
    </w:p>
    <w:p w:rsidR="006A1171" w:rsidRPr="00FB18DC" w:rsidRDefault="006A1171" w:rsidP="006A1171">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6A1171" w:rsidRPr="00FB18DC" w:rsidRDefault="006A1171" w:rsidP="006A1171">
      <w:pPr>
        <w:pStyle w:val="Heading9"/>
      </w:pPr>
      <w:bookmarkStart w:id="324" w:name="_Toc436049168"/>
      <w:bookmarkStart w:id="325" w:name="_Ref451902036"/>
      <w:r w:rsidRPr="00FB18DC">
        <w:t>Choice of data series—Contingencies</w:t>
      </w:r>
      <w:bookmarkEnd w:id="324"/>
      <w:bookmarkEnd w:id="325"/>
    </w:p>
    <w:p w:rsidR="002E3C7B" w:rsidRDefault="002E3C7B" w:rsidP="006A1171">
      <w:r w:rsidRPr="002E3C7B">
        <w:t xml:space="preserve">Our decision is to largely maintain the set of contingencies as set out in our recent decisions.  </w:t>
      </w:r>
    </w:p>
    <w:p w:rsidR="006A1171" w:rsidRPr="00FB18DC" w:rsidRDefault="006A1171" w:rsidP="006A1171">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430"/>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431"/>
      </w:r>
      <w:r>
        <w:t xml:space="preserve">  </w:t>
      </w:r>
    </w:p>
    <w:p w:rsidR="006A1171" w:rsidRPr="00FB18DC" w:rsidRDefault="006A1171" w:rsidP="006A1171">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w:t>
      </w:r>
      <w:r w:rsidRPr="00FB18DC">
        <w:t>to annually update the trailing average portfolio return on debt. Under the rules, the change in revenue resulting from the annual update must occur by automatic application of a formula that is specified in the decision.</w:t>
      </w:r>
      <w:r w:rsidR="00E24D11" w:rsidRPr="00FB18DC">
        <w:rPr>
          <w:rStyle w:val="AERsuperscript"/>
        </w:rPr>
        <w:footnoteReference w:id="1432"/>
      </w:r>
      <w:r w:rsidRPr="00FB18DC">
        <w:t xml:space="preserve"> This means that our decision on how to apply these third party data sources must be fully specified upfront in the decision, and must be capable of application over the access arrangement period without the use of subsequent judgement or discretion. For this reason, we have set out a series of contingencies in </w:t>
      </w:r>
      <w:r>
        <w:fldChar w:fldCharType="begin"/>
      </w:r>
      <w:r>
        <w:instrText xml:space="preserve"> REF _Ref450562277 \h </w:instrText>
      </w:r>
      <w:r>
        <w:fldChar w:fldCharType="separate"/>
      </w:r>
      <w:r w:rsidR="000230CB" w:rsidRPr="00FB18DC">
        <w:t xml:space="preserve">Table </w:t>
      </w:r>
      <w:r w:rsidR="000230CB">
        <w:rPr>
          <w:noProof/>
        </w:rPr>
        <w:t>3</w:t>
      </w:r>
      <w:r w:rsidR="000230CB">
        <w:noBreakHyphen/>
      </w:r>
      <w:r w:rsidR="000230CB">
        <w:rPr>
          <w:noProof/>
        </w:rPr>
        <w:t>48</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6A1171" w:rsidRPr="00FB18DC" w:rsidRDefault="006A1171" w:rsidP="006A1171">
      <w:pPr>
        <w:pStyle w:val="Caption"/>
      </w:pPr>
      <w:bookmarkStart w:id="326" w:name="_Ref450562277"/>
      <w:r w:rsidRPr="00FB18DC">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48</w:t>
      </w:r>
      <w:r w:rsidR="00527450">
        <w:rPr>
          <w:noProof/>
        </w:rPr>
        <w:fldChar w:fldCharType="end"/>
      </w:r>
      <w:bookmarkEnd w:id="326"/>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6A1171" w:rsidRPr="00BB7AB1" w:rsidTr="007E6AB8">
        <w:trPr>
          <w:cnfStyle w:val="100000000000" w:firstRow="1" w:lastRow="0" w:firstColumn="0" w:lastColumn="0" w:oddVBand="0" w:evenVBand="0" w:oddHBand="0" w:evenHBand="0" w:firstRowFirstColumn="0" w:firstRowLastColumn="0" w:lastRowFirstColumn="0" w:lastRowLastColumn="0"/>
          <w:tblHeader/>
        </w:trPr>
        <w:tc>
          <w:tcPr>
            <w:tcW w:w="1461" w:type="pct"/>
          </w:tcPr>
          <w:p w:rsidR="006A1171" w:rsidRPr="00FB18DC" w:rsidRDefault="006A1171" w:rsidP="006A1171">
            <w:pPr>
              <w:numPr>
                <w:ilvl w:val="0"/>
                <w:numId w:val="24"/>
              </w:numPr>
            </w:pPr>
            <w:r w:rsidRPr="00FB18DC">
              <w:t>Event</w:t>
            </w:r>
          </w:p>
        </w:tc>
        <w:tc>
          <w:tcPr>
            <w:tcW w:w="3539" w:type="pct"/>
          </w:tcPr>
          <w:p w:rsidR="006A1171" w:rsidRPr="00FB18DC" w:rsidRDefault="006A1171" w:rsidP="006A1171">
            <w:pPr>
              <w:numPr>
                <w:ilvl w:val="0"/>
                <w:numId w:val="24"/>
              </w:numPr>
            </w:pPr>
            <w:r w:rsidRPr="00FB18DC">
              <w:t>Changes to approach</w:t>
            </w:r>
          </w:p>
        </w:tc>
      </w:tr>
      <w:tr w:rsidR="006A1171" w:rsidRPr="00BB7AB1" w:rsidTr="007E6AB8">
        <w:tc>
          <w:tcPr>
            <w:tcW w:w="1461" w:type="pct"/>
          </w:tcPr>
          <w:p w:rsidR="006A1171" w:rsidRPr="00FB18DC" w:rsidRDefault="006A1171" w:rsidP="006A1171">
            <w:pPr>
              <w:numPr>
                <w:ilvl w:val="0"/>
                <w:numId w:val="24"/>
              </w:numPr>
            </w:pPr>
            <w:r w:rsidRPr="00FB18DC">
              <w:t>Either the RBA or Bloomberg ceases publication of Australian yield curves that reflect a broad BBB rating.</w:t>
            </w:r>
          </w:p>
        </w:tc>
        <w:tc>
          <w:tcPr>
            <w:tcW w:w="3539" w:type="pct"/>
          </w:tcPr>
          <w:p w:rsidR="006A1171" w:rsidRPr="00FB18DC" w:rsidRDefault="006A1171" w:rsidP="006A1171">
            <w:pPr>
              <w:numPr>
                <w:ilvl w:val="0"/>
                <w:numId w:val="24"/>
              </w:numPr>
            </w:pPr>
            <w:r w:rsidRPr="00FB18DC">
              <w:t>We will estimate the annual return on debt using the remaining curve.</w:t>
            </w:r>
          </w:p>
        </w:tc>
      </w:tr>
      <w:tr w:rsidR="006A1171"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6A1171" w:rsidRPr="00FB18DC" w:rsidRDefault="006A1171" w:rsidP="006A1171">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433"/>
            </w:r>
          </w:p>
        </w:tc>
        <w:tc>
          <w:tcPr>
            <w:tcW w:w="3539" w:type="pct"/>
          </w:tcPr>
          <w:p w:rsidR="006A1171" w:rsidRPr="00FB18DC" w:rsidRDefault="006A1171" w:rsidP="006A1171">
            <w:pPr>
              <w:numPr>
                <w:ilvl w:val="0"/>
                <w:numId w:val="24"/>
              </w:numPr>
            </w:pPr>
            <w:r w:rsidRPr="00FB18DC">
              <w:t xml:space="preserve">We will not apply estimates from a third party data provider that we have not evaluated and included in our approach for this decision. We will consider any new data sources in future decisions. </w:t>
            </w:r>
          </w:p>
        </w:tc>
      </w:tr>
      <w:tr w:rsidR="006A1171" w:rsidRPr="00BB7AB1" w:rsidTr="007E6AB8">
        <w:tc>
          <w:tcPr>
            <w:tcW w:w="1461" w:type="pct"/>
          </w:tcPr>
          <w:p w:rsidR="006A1171" w:rsidRPr="00FB18DC" w:rsidRDefault="006A1171" w:rsidP="006A1171">
            <w:pPr>
              <w:numPr>
                <w:ilvl w:val="0"/>
                <w:numId w:val="24"/>
              </w:numPr>
            </w:pPr>
            <w:r w:rsidRPr="00FB18DC">
              <w:t>Either Bloomberg or RBA substitutes its current methodology for a revised or updated methodology.</w:t>
            </w:r>
          </w:p>
        </w:tc>
        <w:tc>
          <w:tcPr>
            <w:tcW w:w="3539" w:type="pct"/>
          </w:tcPr>
          <w:p w:rsidR="006A1171" w:rsidRPr="00FB18DC" w:rsidRDefault="006A1171" w:rsidP="006A1171">
            <w:pPr>
              <w:numPr>
                <w:ilvl w:val="0"/>
                <w:numId w:val="24"/>
              </w:numPr>
            </w:pPr>
            <w:r w:rsidRPr="00FB18DC">
              <w:t>We will adopt the revised or updated methodology. Then, at the next decision, we will review this updated methodology. As noted above, we would also review any new data sources.</w:t>
            </w:r>
          </w:p>
          <w:p w:rsidR="006A1171" w:rsidRPr="00FB18DC" w:rsidRDefault="006A1171" w:rsidP="006A1171">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434"/>
            </w:r>
          </w:p>
        </w:tc>
      </w:tr>
      <w:tr w:rsidR="006A1171"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6A1171" w:rsidRPr="00FB18DC" w:rsidRDefault="006A1171" w:rsidP="006A1171">
            <w:pPr>
              <w:numPr>
                <w:ilvl w:val="0"/>
                <w:numId w:val="24"/>
              </w:numPr>
            </w:pPr>
            <w:r w:rsidRPr="00FB18DC">
              <w:t>Bloomberg reduces the maximum published BVAL term from 10 years</w:t>
            </w:r>
          </w:p>
        </w:tc>
        <w:tc>
          <w:tcPr>
            <w:tcW w:w="3539" w:type="pct"/>
          </w:tcPr>
          <w:p w:rsidR="006A1171" w:rsidRPr="00FB18DC" w:rsidRDefault="006A1171" w:rsidP="006A1171">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6A1171" w:rsidRPr="00FB18DC" w:rsidRDefault="006A1171" w:rsidP="006A1171">
            <w:pPr>
              <w:numPr>
                <w:ilvl w:val="0"/>
                <w:numId w:val="24"/>
              </w:numPr>
            </w:pPr>
            <w:r w:rsidRPr="00FB18DC">
              <w:t>If Bloomberg no longer publishes the BVAL curve to 5 years, we will rely entirely on the RBA curve.</w:t>
            </w:r>
          </w:p>
        </w:tc>
      </w:tr>
      <w:tr w:rsidR="006A1171" w:rsidRPr="00BB7AB1" w:rsidTr="007E6AB8">
        <w:tc>
          <w:tcPr>
            <w:tcW w:w="1461" w:type="pct"/>
          </w:tcPr>
          <w:p w:rsidR="006A1171" w:rsidRPr="00FB18DC" w:rsidRDefault="006A1171" w:rsidP="006A1171">
            <w:pPr>
              <w:numPr>
                <w:ilvl w:val="0"/>
                <w:numId w:val="24"/>
              </w:numPr>
            </w:pPr>
            <w:r w:rsidRPr="00FB18DC">
              <w:t>The RBA ceases publication of a 10 year yield estimate.</w:t>
            </w:r>
            <w:r w:rsidRPr="00FB18DC">
              <w:tab/>
            </w:r>
          </w:p>
        </w:tc>
        <w:tc>
          <w:tcPr>
            <w:tcW w:w="3539" w:type="pct"/>
          </w:tcPr>
          <w:p w:rsidR="006A1171" w:rsidRPr="00FB18DC" w:rsidRDefault="006A1171" w:rsidP="006A1171">
            <w:pPr>
              <w:numPr>
                <w:ilvl w:val="0"/>
                <w:numId w:val="24"/>
              </w:numPr>
            </w:pPr>
            <w:r w:rsidRPr="00FB18DC">
              <w:t>If the RBA ceases publication of a 10 year yield estimate, we will extrapolate the RBA estimate to 10 years using:</w:t>
            </w:r>
          </w:p>
          <w:p w:rsidR="006A1171" w:rsidRPr="006A1171" w:rsidRDefault="006A1171" w:rsidP="006A1171">
            <w:pPr>
              <w:pStyle w:val="AERbulletlistfirststyle"/>
            </w:pPr>
            <w:r w:rsidRPr="00FB18DC">
              <w:t>if available, the margin between spreads in the Bloomberg curve,</w:t>
            </w:r>
            <w:r w:rsidRPr="006A1171">
              <w:rPr>
                <w:rStyle w:val="FootnoteReference"/>
              </w:rPr>
              <w:footnoteReference w:id="1435"/>
            </w:r>
            <w:r w:rsidRPr="006A1171">
              <w:t xml:space="preserve"> from the RBA's longest published target term to 10 years</w:t>
            </w:r>
          </w:p>
          <w:p w:rsidR="006A1171" w:rsidRPr="00FB18DC" w:rsidRDefault="006A1171" w:rsidP="006A1171">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6A1171" w:rsidRPr="00BB7AB1" w:rsidTr="007E6AB8">
        <w:trPr>
          <w:cnfStyle w:val="000000010000" w:firstRow="0" w:lastRow="0" w:firstColumn="0" w:lastColumn="0" w:oddVBand="0" w:evenVBand="0" w:oddHBand="0" w:evenHBand="1" w:firstRowFirstColumn="0" w:firstRowLastColumn="0" w:lastRowFirstColumn="0" w:lastRowLastColumn="0"/>
        </w:trPr>
        <w:tc>
          <w:tcPr>
            <w:tcW w:w="1461" w:type="pct"/>
          </w:tcPr>
          <w:p w:rsidR="006A1171" w:rsidRPr="00FB18DC" w:rsidRDefault="006A1171" w:rsidP="006A1171">
            <w:pPr>
              <w:numPr>
                <w:ilvl w:val="0"/>
                <w:numId w:val="24"/>
              </w:numPr>
            </w:pPr>
            <w:r w:rsidRPr="00FB18DC">
              <w:t>The RBA commences publication of daily estimates.</w:t>
            </w:r>
          </w:p>
        </w:tc>
        <w:tc>
          <w:tcPr>
            <w:tcW w:w="3539" w:type="pct"/>
          </w:tcPr>
          <w:p w:rsidR="006A1171" w:rsidRPr="00FB18DC" w:rsidRDefault="006A1171" w:rsidP="006A1171">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6A1171" w:rsidRPr="00BB7AB1" w:rsidTr="007E6AB8">
        <w:tc>
          <w:tcPr>
            <w:tcW w:w="1461" w:type="pct"/>
          </w:tcPr>
          <w:p w:rsidR="006A1171" w:rsidRPr="00FB18DC" w:rsidRDefault="006A1171" w:rsidP="006A1171">
            <w:pPr>
              <w:numPr>
                <w:ilvl w:val="0"/>
                <w:numId w:val="24"/>
              </w:numPr>
            </w:pPr>
            <w:r w:rsidRPr="00FB18DC">
              <w:t>Either Bloomberg or the RBA publishes a BBB+ or utilities specific yield curve.</w:t>
            </w:r>
          </w:p>
        </w:tc>
        <w:tc>
          <w:tcPr>
            <w:tcW w:w="3539" w:type="pct"/>
          </w:tcPr>
          <w:p w:rsidR="006A1171" w:rsidRPr="00FB18DC" w:rsidRDefault="006A1171" w:rsidP="006A1171">
            <w:pPr>
              <w:numPr>
                <w:ilvl w:val="0"/>
                <w:numId w:val="24"/>
              </w:numPr>
            </w:pPr>
            <w:r w:rsidRPr="00FB18DC">
              <w:t>We will adopt the BBB+ or utilities curve in place of the provider's existing curve, on the basis that it is a closer fit to our benchmark efficient entity.</w:t>
            </w:r>
          </w:p>
        </w:tc>
      </w:tr>
    </w:tbl>
    <w:p w:rsidR="006A1171" w:rsidRPr="00FB18DC" w:rsidRDefault="006A1171" w:rsidP="006A1171">
      <w:pPr>
        <w:pStyle w:val="AERtablesource"/>
      </w:pPr>
      <w:r w:rsidRPr="00FB18DC">
        <w:t>Source:</w:t>
      </w:r>
      <w:r w:rsidRPr="00FB18DC">
        <w:tab/>
        <w:t>AER analysis</w:t>
      </w:r>
    </w:p>
    <w:p w:rsidR="006A1171" w:rsidRPr="00FB18DC" w:rsidRDefault="006A1171" w:rsidP="006A1171">
      <w:r w:rsidRPr="00FB18DC">
        <w:t>In general, we have decided on these contingencies based on a series of guiding principles. These are that the contingency must:</w:t>
      </w:r>
    </w:p>
    <w:p w:rsidR="006A1171" w:rsidRPr="00FB18DC" w:rsidRDefault="006A1171" w:rsidP="006A1171">
      <w:pPr>
        <w:pStyle w:val="AERbulletlistfirststyle"/>
      </w:pPr>
      <w:r w:rsidRPr="00FB18DC">
        <w:t>Be practically implementable—the rules require the automatic application of a formula to update the trailing average portfolio return on debt.</w:t>
      </w:r>
      <w:r w:rsidRPr="00FB18DC">
        <w:rPr>
          <w:rStyle w:val="FootnoteReference"/>
        </w:rPr>
        <w:footnoteReference w:id="1436"/>
      </w:r>
      <w:r w:rsidRPr="00FB18DC">
        <w:t xml:space="preserve"> As a result, we will be unable to analyse changes to the approaches or new approaches during the access arrangement period. Therefore, it is important that any contingency be practical and easily implementable.</w:t>
      </w:r>
    </w:p>
    <w:p w:rsidR="006A1171" w:rsidRPr="00FB18DC" w:rsidRDefault="006A1171" w:rsidP="006A1171">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6A1171" w:rsidRPr="00FB18DC" w:rsidRDefault="006A1171" w:rsidP="006A1171">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FB18DC">
        <w:rPr>
          <w:rStyle w:val="FootnoteReference"/>
        </w:rPr>
        <w:footnoteReference w:id="1437"/>
      </w:r>
      <w:r w:rsidRPr="00FB18DC">
        <w:t xml:space="preserve"> However, this is not possible during the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6A1171" w:rsidRPr="00FB18DC" w:rsidRDefault="006A1171" w:rsidP="006A1171">
      <w:pPr>
        <w:pStyle w:val="Heading9"/>
      </w:pPr>
      <w:bookmarkStart w:id="327" w:name="_Toc436049169"/>
      <w:r w:rsidRPr="00FB18DC">
        <w:t>Timing of annual updates</w:t>
      </w:r>
      <w:bookmarkEnd w:id="327"/>
    </w:p>
    <w:p w:rsidR="006A1171" w:rsidRPr="00FB18DC" w:rsidRDefault="006A1171" w:rsidP="006A1171">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438"/>
      </w:r>
      <w:r w:rsidRPr="00FB18DC">
        <w:t xml:space="preserve"> We have considered how the process to annually update the return on debt would align with the annual reference tariff variation process.</w:t>
      </w:r>
      <w:r w:rsidRPr="00FB18DC">
        <w:rPr>
          <w:rStyle w:val="FootnoteReference"/>
        </w:rPr>
        <w:footnoteReference w:id="1439"/>
      </w:r>
      <w:r w:rsidRPr="00FB18DC">
        <w:t xml:space="preserve"> The timing of gas service providers' submission of their reference tariff variation proposals affects how late an averaging period can end and still be implemented in practice.</w:t>
      </w:r>
    </w:p>
    <w:p w:rsidR="006A1171" w:rsidRPr="00FB18DC" w:rsidRDefault="006A1171" w:rsidP="006A1171">
      <w:pPr>
        <w:numPr>
          <w:ilvl w:val="0"/>
          <w:numId w:val="24"/>
        </w:numPr>
      </w:pPr>
      <w:r>
        <w:fldChar w:fldCharType="begin"/>
      </w:r>
      <w:r>
        <w:instrText xml:space="preserve"> REF _Ref450562292 \h </w:instrText>
      </w:r>
      <w:r>
        <w:fldChar w:fldCharType="separate"/>
      </w:r>
      <w:r w:rsidR="000230CB" w:rsidRPr="00FB18DC">
        <w:t xml:space="preserve">Table </w:t>
      </w:r>
      <w:r w:rsidR="000230CB">
        <w:rPr>
          <w:noProof/>
        </w:rPr>
        <w:t>3</w:t>
      </w:r>
      <w:r w:rsidR="000230CB">
        <w:noBreakHyphen/>
      </w:r>
      <w:r w:rsidR="000230CB">
        <w:rPr>
          <w:noProof/>
        </w:rPr>
        <w:t>49</w:t>
      </w:r>
      <w:r>
        <w:fldChar w:fldCharType="end"/>
      </w:r>
      <w:r>
        <w:t xml:space="preserve"> </w:t>
      </w:r>
      <w:r w:rsidRPr="00FB18DC">
        <w:t>outlines the general process we have decided to adopt for the annual debt update for gas service providers. Our assessment of the proposed averaging periods for gas service providers with current access arrangement proposals has taken this process into account.</w:t>
      </w:r>
    </w:p>
    <w:p w:rsidR="006A1171" w:rsidRPr="00FB18DC" w:rsidRDefault="006A1171" w:rsidP="006A1171">
      <w:pPr>
        <w:pStyle w:val="Caption"/>
      </w:pPr>
      <w:bookmarkStart w:id="328" w:name="_Ref450562292"/>
      <w:r w:rsidRPr="00FB18DC">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49</w:t>
      </w:r>
      <w:r w:rsidR="00527450">
        <w:rPr>
          <w:noProof/>
        </w:rPr>
        <w:fldChar w:fldCharType="end"/>
      </w:r>
      <w:bookmarkEnd w:id="328"/>
      <w:r w:rsidRPr="00FB18DC">
        <w:tab/>
        <w:t>Annual gas debt update process</w:t>
      </w:r>
    </w:p>
    <w:tbl>
      <w:tblPr>
        <w:tblStyle w:val="AERtable-text0"/>
        <w:tblW w:w="0" w:type="auto"/>
        <w:tblLook w:val="04A0" w:firstRow="1" w:lastRow="0" w:firstColumn="1" w:lastColumn="0" w:noHBand="0" w:noVBand="1"/>
      </w:tblPr>
      <w:tblGrid>
        <w:gridCol w:w="817"/>
        <w:gridCol w:w="2552"/>
        <w:gridCol w:w="2551"/>
        <w:gridCol w:w="2773"/>
      </w:tblGrid>
      <w:tr w:rsidR="006A1171" w:rsidTr="007E6AB8">
        <w:trPr>
          <w:cnfStyle w:val="100000000000" w:firstRow="1" w:lastRow="0" w:firstColumn="0" w:lastColumn="0" w:oddVBand="0" w:evenVBand="0" w:oddHBand="0" w:evenHBand="0" w:firstRowFirstColumn="0" w:firstRowLastColumn="0" w:lastRowFirstColumn="0" w:lastRowLastColumn="0"/>
          <w:tblHeader/>
        </w:trPr>
        <w:tc>
          <w:tcPr>
            <w:tcW w:w="817" w:type="dxa"/>
            <w:vAlign w:val="top"/>
          </w:tcPr>
          <w:p w:rsidR="006A1171" w:rsidRPr="00FB18DC" w:rsidRDefault="006A1171" w:rsidP="006A1171">
            <w:r w:rsidRPr="00FB18DC">
              <w:t>Step</w:t>
            </w:r>
          </w:p>
        </w:tc>
        <w:tc>
          <w:tcPr>
            <w:tcW w:w="2552" w:type="dxa"/>
            <w:vAlign w:val="top"/>
          </w:tcPr>
          <w:p w:rsidR="006A1171" w:rsidRPr="00FB18DC" w:rsidRDefault="006A1171" w:rsidP="006A1171">
            <w:r w:rsidRPr="00FB18DC">
              <w:t xml:space="preserve">Timing </w:t>
            </w:r>
          </w:p>
        </w:tc>
        <w:tc>
          <w:tcPr>
            <w:tcW w:w="2551" w:type="dxa"/>
            <w:vAlign w:val="top"/>
          </w:tcPr>
          <w:p w:rsidR="006A1171" w:rsidRPr="00FB18DC" w:rsidRDefault="006A1171" w:rsidP="006A1171">
            <w:r w:rsidRPr="00FB18DC">
              <w:t>Description of step</w:t>
            </w:r>
          </w:p>
        </w:tc>
        <w:tc>
          <w:tcPr>
            <w:tcW w:w="2773" w:type="dxa"/>
            <w:vAlign w:val="top"/>
          </w:tcPr>
          <w:p w:rsidR="006A1171" w:rsidRPr="00FB18DC" w:rsidRDefault="006A1171" w:rsidP="006A1171">
            <w:r w:rsidRPr="00FB18DC">
              <w:t>Reasons for timing</w:t>
            </w:r>
          </w:p>
        </w:tc>
      </w:tr>
      <w:tr w:rsidR="006A1171" w:rsidTr="007E6AB8">
        <w:tc>
          <w:tcPr>
            <w:tcW w:w="817" w:type="dxa"/>
            <w:vAlign w:val="top"/>
          </w:tcPr>
          <w:p w:rsidR="006A1171" w:rsidRPr="00FB18DC" w:rsidRDefault="006A1171" w:rsidP="006A1171">
            <w:r w:rsidRPr="00FB18DC">
              <w:t>1</w:t>
            </w:r>
          </w:p>
        </w:tc>
        <w:tc>
          <w:tcPr>
            <w:tcW w:w="2552" w:type="dxa"/>
            <w:vAlign w:val="top"/>
          </w:tcPr>
          <w:p w:rsidR="006A1171" w:rsidRPr="00FB18DC" w:rsidRDefault="006A1171" w:rsidP="006A1171">
            <w:r w:rsidRPr="00FB18DC">
              <w:t>25 business days before a service provider submits its annual reference tariff variation proposal to us.</w:t>
            </w:r>
          </w:p>
        </w:tc>
        <w:tc>
          <w:tcPr>
            <w:tcW w:w="2551" w:type="dxa"/>
            <w:vAlign w:val="top"/>
          </w:tcPr>
          <w:p w:rsidR="006A1171" w:rsidRPr="00FB18DC" w:rsidRDefault="006A1171" w:rsidP="006A1171">
            <w:r w:rsidRPr="00FB18DC">
              <w:t>Averaging period ends on or before this date.</w:t>
            </w:r>
          </w:p>
        </w:tc>
        <w:tc>
          <w:tcPr>
            <w:tcW w:w="2773" w:type="dxa"/>
            <w:vAlign w:val="top"/>
          </w:tcPr>
          <w:p w:rsidR="006A1171" w:rsidRPr="00FB18DC" w:rsidRDefault="00E24D11" w:rsidP="006A1171">
            <w:r>
              <w:t>We determine</w:t>
            </w:r>
            <w:r w:rsidR="006A1171" w:rsidRPr="00FB18DC">
              <w:t xml:space="preserve"> the maximum practical end date of the averaging period from the timing of steps 2 and 3.</w:t>
            </w:r>
          </w:p>
        </w:tc>
      </w:tr>
      <w:tr w:rsidR="006A1171" w:rsidTr="007E6AB8">
        <w:trPr>
          <w:cnfStyle w:val="000000010000" w:firstRow="0" w:lastRow="0" w:firstColumn="0" w:lastColumn="0" w:oddVBand="0" w:evenVBand="0" w:oddHBand="0" w:evenHBand="1" w:firstRowFirstColumn="0" w:firstRowLastColumn="0" w:lastRowFirstColumn="0" w:lastRowLastColumn="0"/>
        </w:trPr>
        <w:tc>
          <w:tcPr>
            <w:tcW w:w="817" w:type="dxa"/>
            <w:vAlign w:val="top"/>
          </w:tcPr>
          <w:p w:rsidR="006A1171" w:rsidRPr="00FB18DC" w:rsidRDefault="006A1171" w:rsidP="006A1171">
            <w:r w:rsidRPr="00FB18DC">
              <w:t>2</w:t>
            </w:r>
          </w:p>
        </w:tc>
        <w:tc>
          <w:tcPr>
            <w:tcW w:w="2552" w:type="dxa"/>
            <w:vAlign w:val="top"/>
          </w:tcPr>
          <w:p w:rsidR="006A1171" w:rsidRPr="00FB18DC" w:rsidRDefault="006A1171" w:rsidP="006A1171">
            <w:r w:rsidRPr="00FB18DC">
              <w:t>10 business days before a service provider submits its annual reference tariff variation proposal to us.</w:t>
            </w:r>
          </w:p>
        </w:tc>
        <w:tc>
          <w:tcPr>
            <w:tcW w:w="2551" w:type="dxa"/>
            <w:vAlign w:val="top"/>
          </w:tcPr>
          <w:p w:rsidR="006A1171" w:rsidRPr="00FB18DC" w:rsidRDefault="006A1171" w:rsidP="006A1171">
            <w:r w:rsidRPr="00FB18DC">
              <w:t>So the service provider can factor this into its annual reference tariff variation proposal, we inform it of updates on the return on debt and X factor that incorporates the updated return on debt.</w:t>
            </w:r>
          </w:p>
        </w:tc>
        <w:tc>
          <w:tcPr>
            <w:tcW w:w="2773" w:type="dxa"/>
            <w:vAlign w:val="top"/>
          </w:tcPr>
          <w:p w:rsidR="006A1171" w:rsidRPr="00FB18DC" w:rsidRDefault="006A1171" w:rsidP="006A1171">
            <w:r w:rsidRPr="00FB18DC">
              <w:t>15 business days between steps 1 and 2 provides sufficient time for us to calculate (and provide quality assurance checks on) the updated return on debt and X factor.</w:t>
            </w:r>
          </w:p>
        </w:tc>
      </w:tr>
      <w:tr w:rsidR="006A1171" w:rsidTr="007E6AB8">
        <w:tc>
          <w:tcPr>
            <w:tcW w:w="817" w:type="dxa"/>
            <w:vAlign w:val="top"/>
          </w:tcPr>
          <w:p w:rsidR="006A1171" w:rsidRPr="00FB18DC" w:rsidRDefault="006A1171" w:rsidP="006A1171">
            <w:r w:rsidRPr="00FB18DC">
              <w:t>3</w:t>
            </w:r>
          </w:p>
        </w:tc>
        <w:tc>
          <w:tcPr>
            <w:tcW w:w="2552" w:type="dxa"/>
            <w:vAlign w:val="top"/>
          </w:tcPr>
          <w:p w:rsidR="006A1171" w:rsidRPr="00FB18DC" w:rsidRDefault="006A1171" w:rsidP="006A1171">
            <w:r w:rsidRPr="00FB18DC">
              <w:t>A service provider submits its annual reference tariff variation proposal to us on the date in its access arrangement.</w:t>
            </w:r>
          </w:p>
        </w:tc>
        <w:tc>
          <w:tcPr>
            <w:tcW w:w="2551" w:type="dxa"/>
            <w:vAlign w:val="top"/>
          </w:tcPr>
          <w:p w:rsidR="006A1171" w:rsidRPr="00FB18DC" w:rsidRDefault="006A1171" w:rsidP="006A1171">
            <w:r w:rsidRPr="00FB18DC">
              <w:t>The service provider submits its annual reference tariff variation proposal to us for the relevant year.</w:t>
            </w:r>
          </w:p>
        </w:tc>
        <w:tc>
          <w:tcPr>
            <w:tcW w:w="2773" w:type="dxa"/>
            <w:vAlign w:val="top"/>
          </w:tcPr>
          <w:p w:rsidR="006A1171" w:rsidRPr="00FB18DC" w:rsidRDefault="006A1171" w:rsidP="00E24D11">
            <w:r w:rsidRPr="00FB18DC">
              <w:t>10 business days between steps 2 and 3 is based on a service provider's advice regarding the minimum period it would require to factor the updated information into its prices. We are open to individual service providers requiring a longer period (or requesting a shorter period) to accommodate their internal processes.</w:t>
            </w:r>
            <w:r w:rsidR="00E24D11" w:rsidRPr="006B6C4C">
              <w:rPr>
                <w:rStyle w:val="FootnoteReference"/>
              </w:rPr>
              <w:footnoteReference w:id="1440"/>
            </w:r>
          </w:p>
        </w:tc>
      </w:tr>
    </w:tbl>
    <w:p w:rsidR="006A1171" w:rsidRPr="00FB18DC" w:rsidRDefault="006A1171" w:rsidP="006A1171">
      <w:pPr>
        <w:pStyle w:val="AERtablesource"/>
      </w:pPr>
      <w:r w:rsidRPr="00FB18DC">
        <w:t>Source:</w:t>
      </w:r>
      <w:r w:rsidRPr="00FB18DC">
        <w:tab/>
        <w:t>AER analysis.</w:t>
      </w:r>
    </w:p>
    <w:p w:rsidR="006A1171" w:rsidRPr="00FB18DC" w:rsidRDefault="006A1171" w:rsidP="006A1171">
      <w:r w:rsidRPr="00FB18DC">
        <w:t xml:space="preserve">On the basis of the process outlined in </w:t>
      </w:r>
      <w:r>
        <w:fldChar w:fldCharType="begin"/>
      </w:r>
      <w:r>
        <w:instrText xml:space="preserve"> REF _Ref450562292 \h </w:instrText>
      </w:r>
      <w:r>
        <w:fldChar w:fldCharType="separate"/>
      </w:r>
      <w:r w:rsidR="000230CB" w:rsidRPr="00FB18DC">
        <w:t xml:space="preserve">Table </w:t>
      </w:r>
      <w:r w:rsidR="000230CB">
        <w:rPr>
          <w:noProof/>
        </w:rPr>
        <w:t>3</w:t>
      </w:r>
      <w:r w:rsidR="000230CB">
        <w:noBreakHyphen/>
      </w:r>
      <w:r w:rsidR="000230CB">
        <w:rPr>
          <w:noProof/>
        </w:rPr>
        <w:t>49</w:t>
      </w:r>
      <w:r>
        <w:fldChar w:fldCharType="end"/>
      </w:r>
      <w:r>
        <w:t xml:space="preserve"> </w:t>
      </w:r>
      <w:r w:rsidRPr="00FB18DC">
        <w:t>we consider an averaging period for estimating the return on debt for regulatory year t should fall within the following timeframe:</w:t>
      </w:r>
    </w:p>
    <w:p w:rsidR="006A1171" w:rsidRPr="00FB18DC" w:rsidRDefault="006A1171" w:rsidP="006A1171">
      <w:pPr>
        <w:pStyle w:val="AERbulletlistfirststyle"/>
      </w:pPr>
      <w:r w:rsidRPr="00FB18DC">
        <w:t>end no later than 25 business days before a gas service provider submits its annual reference tariff variation proposal for year t to the AER</w:t>
      </w:r>
    </w:p>
    <w:p w:rsidR="006A1171" w:rsidRPr="00FB18DC" w:rsidRDefault="006A1171" w:rsidP="006A1171">
      <w:pPr>
        <w:pStyle w:val="AERbulletlistfirststyle"/>
      </w:pPr>
      <w:r w:rsidRPr="00FB18DC">
        <w:t>commence no earlier than 12 months plus 25 business days before a gas service provider submits its annual reference tariff variation proposal for year t to the AER.</w:t>
      </w:r>
      <w:r w:rsidRPr="00FB18DC">
        <w:rPr>
          <w:rStyle w:val="FootnoteReference"/>
        </w:rPr>
        <w:footnoteReference w:id="1441"/>
      </w:r>
    </w:p>
    <w:p w:rsidR="006A1171" w:rsidRPr="00FB18DC" w:rsidRDefault="006A1171" w:rsidP="006A1171">
      <w:pPr>
        <w:numPr>
          <w:ilvl w:val="0"/>
          <w:numId w:val="24"/>
        </w:numPr>
      </w:pPr>
      <w:r w:rsidRPr="00FB18DC">
        <w:t>However, as set out in</w:t>
      </w:r>
      <w:r>
        <w:t xml:space="preserve"> </w:t>
      </w:r>
      <w:r>
        <w:fldChar w:fldCharType="begin"/>
      </w:r>
      <w:r>
        <w:instrText xml:space="preserve"> REF _Ref450562292 \h </w:instrText>
      </w:r>
      <w:r>
        <w:fldChar w:fldCharType="separate"/>
      </w:r>
      <w:r w:rsidR="000230CB" w:rsidRPr="00FB18DC">
        <w:t xml:space="preserve">Table </w:t>
      </w:r>
      <w:r w:rsidR="000230CB">
        <w:rPr>
          <w:noProof/>
        </w:rPr>
        <w:t>3</w:t>
      </w:r>
      <w:r w:rsidR="000230CB">
        <w:noBreakHyphen/>
      </w:r>
      <w:r w:rsidR="000230CB">
        <w:rPr>
          <w:noProof/>
        </w:rPr>
        <w:t>49</w:t>
      </w:r>
      <w:r>
        <w:fldChar w:fldCharType="end"/>
      </w:r>
      <w:r>
        <w:t xml:space="preserve">, </w:t>
      </w:r>
      <w:r w:rsidRPr="00FB18DC">
        <w:t>we are open to individual service providers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service provider must submit its annual reference tariff variation proposal to us.</w:t>
      </w:r>
    </w:p>
    <w:p w:rsidR="006A1171" w:rsidRPr="00FB18DC" w:rsidRDefault="006A1171" w:rsidP="006A1171">
      <w:pPr>
        <w:numPr>
          <w:ilvl w:val="0"/>
          <w:numId w:val="24"/>
        </w:numPr>
      </w:pPr>
      <w:r w:rsidRPr="00FB18DC">
        <w:t xml:space="preserve">The process outlined in </w:t>
      </w:r>
      <w:r>
        <w:fldChar w:fldCharType="begin"/>
      </w:r>
      <w:r>
        <w:instrText xml:space="preserve"> REF _Ref450562292 \h </w:instrText>
      </w:r>
      <w:r>
        <w:fldChar w:fldCharType="separate"/>
      </w:r>
      <w:r w:rsidR="000230CB" w:rsidRPr="00FB18DC">
        <w:t xml:space="preserve">Table </w:t>
      </w:r>
      <w:r w:rsidR="000230CB">
        <w:rPr>
          <w:noProof/>
        </w:rPr>
        <w:t>3</w:t>
      </w:r>
      <w:r w:rsidR="000230CB">
        <w:noBreakHyphen/>
      </w:r>
      <w:r w:rsidR="000230CB">
        <w:rPr>
          <w:noProof/>
        </w:rPr>
        <w:t>49</w:t>
      </w:r>
      <w:r>
        <w:fldChar w:fldCharType="end"/>
      </w:r>
      <w:r>
        <w:t xml:space="preserve"> </w:t>
      </w:r>
      <w:r w:rsidRPr="00FB18DC">
        <w:t>does not apply to the first regulatory year of an access arrangement period. This is because the final access arrangement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an access arrangement period.</w:t>
      </w:r>
    </w:p>
    <w:p w:rsidR="006A1171" w:rsidRPr="00FB18DC" w:rsidRDefault="006A1171" w:rsidP="006A1171">
      <w:r w:rsidRPr="00FB18DC">
        <w:t xml:space="preserve">In </w:t>
      </w:r>
      <w:r>
        <w:fldChar w:fldCharType="begin"/>
      </w:r>
      <w:r>
        <w:instrText xml:space="preserve"> REF _Ref450562292 \h </w:instrText>
      </w:r>
      <w:r>
        <w:fldChar w:fldCharType="separate"/>
      </w:r>
      <w:r w:rsidR="000230CB" w:rsidRPr="00FB18DC">
        <w:t xml:space="preserve">Table </w:t>
      </w:r>
      <w:r w:rsidR="000230CB">
        <w:rPr>
          <w:noProof/>
        </w:rPr>
        <w:t>3</w:t>
      </w:r>
      <w:r w:rsidR="000230CB">
        <w:noBreakHyphen/>
      </w:r>
      <w:r w:rsidR="000230CB">
        <w:rPr>
          <w:noProof/>
        </w:rPr>
        <w:t>49</w:t>
      </w:r>
      <w:r>
        <w:fldChar w:fldCharType="end"/>
      </w:r>
      <w:r w:rsidR="002E3C7B">
        <w:t>,</w:t>
      </w:r>
      <w:r>
        <w:t xml:space="preserve"> </w:t>
      </w:r>
      <w:r w:rsidR="002E3C7B" w:rsidRPr="00FB18DC">
        <w:t xml:space="preserve">we propose calculating the return on debt, annual building block revenue requirement, and X factor in accordance with the formula in the </w:t>
      </w:r>
      <w:r w:rsidR="002E3C7B">
        <w:t>final access arrangement</w:t>
      </w:r>
      <w:r w:rsidR="002E3C7B" w:rsidRPr="00FB18DC">
        <w:t xml:space="preserve">. </w:t>
      </w:r>
      <w:r w:rsidR="002E3C7B">
        <w:t>Further,</w:t>
      </w:r>
      <w:r w:rsidR="002E3C7B" w:rsidRPr="00FB18DC">
        <w:t xml:space="preserve"> we propose informing the distributor of our calculations before it submits its annual </w:t>
      </w:r>
      <w:r w:rsidR="002E3C7B">
        <w:t>reference tariff variation</w:t>
      </w:r>
      <w:r w:rsidR="002E3C7B" w:rsidRPr="00FB18DC">
        <w:t xml:space="preserve"> proposal. We consider this preferable to the alternative approach, where we would assess updates the </w:t>
      </w:r>
      <w:r w:rsidR="002E3C7B">
        <w:t>service provider</w:t>
      </w:r>
      <w:r w:rsidR="002E3C7B" w:rsidRPr="00FB18DC">
        <w:t xml:space="preserve"> calculated itself and submitted with its annual pricing proposal. This alternative approach could significantly complicate the annual </w:t>
      </w:r>
      <w:r w:rsidR="002E3C7B">
        <w:t>reference tariff variation</w:t>
      </w:r>
      <w:r w:rsidR="002E3C7B" w:rsidRPr="00FB18DC">
        <w:t xml:space="preserve"> approval process if we identify calculation errors and require the </w:t>
      </w:r>
      <w:r w:rsidR="002E3C7B">
        <w:t>service provider</w:t>
      </w:r>
      <w:r w:rsidR="002E3C7B" w:rsidRPr="00FB18DC">
        <w:t xml:space="preserve"> to revise all its proposed prices. On the other hand, our approach focusses the annual </w:t>
      </w:r>
      <w:r w:rsidR="002E3C7B">
        <w:t>reference tariff variation</w:t>
      </w:r>
      <w:r w:rsidR="002E3C7B" w:rsidRPr="00FB18DC">
        <w:t xml:space="preserve"> approval process on how the </w:t>
      </w:r>
      <w:r w:rsidR="002E3C7B">
        <w:t>service provider</w:t>
      </w:r>
      <w:r w:rsidR="002E3C7B" w:rsidRPr="00FB18DC">
        <w:t xml:space="preserve"> has incorporated the revised X factor into its prices, rather than also </w:t>
      </w:r>
      <w:r w:rsidR="002E3C7B">
        <w:t>checking the revised X factor has been calculated in accordance with the access arrangement.</w:t>
      </w:r>
    </w:p>
    <w:p w:rsidR="002E3C7B" w:rsidRPr="00A379F8" w:rsidRDefault="002E3C7B" w:rsidP="002E3C7B">
      <w:r w:rsidRPr="007D10EB">
        <w:t xml:space="preserve">The above process factors in the date that the </w:t>
      </w:r>
      <w:r>
        <w:t xml:space="preserve">gas service providers are required to submit their annual reference tariff variation proposals to us. Our final decision for AGN is that this date is (at least) </w:t>
      </w:r>
      <w:r w:rsidRPr="00805399">
        <w:t>50 business days before the date of</w:t>
      </w:r>
      <w:r>
        <w:t xml:space="preserve"> </w:t>
      </w:r>
      <w:r w:rsidRPr="00805399">
        <w:t>implementation</w:t>
      </w:r>
      <w:r>
        <w:t>.</w:t>
      </w:r>
      <w:r>
        <w:rPr>
          <w:rStyle w:val="FootnoteReference"/>
        </w:rPr>
        <w:footnoteReference w:id="1442"/>
      </w:r>
    </w:p>
    <w:p w:rsidR="00D673C6" w:rsidRDefault="00D673C6" w:rsidP="00D673C6">
      <w:pPr>
        <w:pStyle w:val="Heading7"/>
      </w:pPr>
      <w:bookmarkStart w:id="329" w:name="_Toc451943831"/>
      <w:r>
        <w:t>Equity and debt raising costs</w:t>
      </w:r>
      <w:bookmarkEnd w:id="329"/>
    </w:p>
    <w:p w:rsidR="00C73EA8" w:rsidRPr="00AA2065" w:rsidRDefault="00C73EA8" w:rsidP="00C73EA8">
      <w:r>
        <w:t>I</w:t>
      </w:r>
      <w:r w:rsidRPr="0074017B">
        <w:t>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C73EA8" w:rsidRPr="001A2C20" w:rsidRDefault="00C73EA8" w:rsidP="00C73EA8">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In this appendix, we set out our assessment approach and the reasons for th</w:t>
      </w:r>
      <w:r>
        <w:t>o</w:t>
      </w:r>
      <w:r w:rsidRPr="00AA2065">
        <w:t>se forecasts.</w:t>
      </w:r>
    </w:p>
    <w:p w:rsidR="00C73EA8" w:rsidRDefault="00C73EA8" w:rsidP="00C73EA8">
      <w:pPr>
        <w:pStyle w:val="Heading8"/>
        <w:numPr>
          <w:ilvl w:val="1"/>
          <w:numId w:val="30"/>
        </w:numPr>
      </w:pPr>
      <w:bookmarkStart w:id="330" w:name="_Toc451943832"/>
      <w:r>
        <w:t>Equity raising costs</w:t>
      </w:r>
      <w:bookmarkEnd w:id="330"/>
      <w:r>
        <w:t xml:space="preserve"> </w:t>
      </w:r>
    </w:p>
    <w:p w:rsidR="00C73EA8" w:rsidRDefault="00C73EA8" w:rsidP="00C73EA8">
      <w:r>
        <w:t>We determine zero equity raising costs for the 2016–21 period. AGN adopted our approach and submitted it will not incur equity raising costs over the 2016–21 period.</w:t>
      </w:r>
      <w:r>
        <w:rPr>
          <w:rStyle w:val="FootnoteReference"/>
        </w:rPr>
        <w:footnoteReference w:id="1443"/>
      </w:r>
      <w:r>
        <w:t xml:space="preserve"> Therefore, we accept its proposal.</w:t>
      </w:r>
    </w:p>
    <w:p w:rsidR="00C73EA8" w:rsidRPr="00C024A8" w:rsidRDefault="00C73EA8" w:rsidP="00C73EA8">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C73EA8" w:rsidRDefault="00C73EA8" w:rsidP="00C73EA8">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444"/>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445"/>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446"/>
      </w:r>
    </w:p>
    <w:p w:rsidR="00C73EA8" w:rsidRDefault="00C73EA8" w:rsidP="00C73EA8">
      <w:pPr>
        <w:pStyle w:val="Heading8"/>
      </w:pPr>
      <w:bookmarkStart w:id="331" w:name="_Toc451943833"/>
      <w:r>
        <w:t>Debt raising costs</w:t>
      </w:r>
      <w:bookmarkEnd w:id="331"/>
      <w:r>
        <w:t xml:space="preserve"> </w:t>
      </w:r>
    </w:p>
    <w:p w:rsidR="00C73EA8" w:rsidRPr="00F83415" w:rsidRDefault="00C73EA8" w:rsidP="00C73EA8">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w:t>
      </w:r>
      <w:r>
        <w:t>debt raising</w:t>
      </w:r>
      <w:r w:rsidRPr="00C43648">
        <w:t xml:space="preserve"> costs.</w:t>
      </w:r>
      <w:r>
        <w:t xml:space="preserve"> We do not accept AGN's proposed new issue premium. Our reasons are set out in section </w:t>
      </w:r>
      <w:r w:rsidR="00F0657A">
        <w:fldChar w:fldCharType="begin"/>
      </w:r>
      <w:r w:rsidR="00F0657A">
        <w:instrText xml:space="preserve"> REF _Ref451328558 \r \h </w:instrText>
      </w:r>
      <w:r w:rsidR="00F0657A">
        <w:fldChar w:fldCharType="separate"/>
      </w:r>
      <w:r w:rsidR="000230CB">
        <w:t>3.4.2</w:t>
      </w:r>
      <w:r w:rsidR="00F0657A">
        <w:fldChar w:fldCharType="end"/>
      </w:r>
      <w:r>
        <w:t xml:space="preserve"> of this decision.</w:t>
      </w:r>
    </w:p>
    <w:p w:rsidR="00C73EA8" w:rsidRDefault="00C73EA8" w:rsidP="00C73EA8">
      <w:pPr>
        <w:pStyle w:val="Heading9"/>
      </w:pPr>
      <w:r>
        <w:t xml:space="preserve"> Final decision </w:t>
      </w:r>
    </w:p>
    <w:p w:rsidR="00C73EA8" w:rsidRDefault="00C73EA8" w:rsidP="00C73EA8">
      <w:r w:rsidRPr="00C43648">
        <w:t xml:space="preserve">We </w:t>
      </w:r>
      <w:r>
        <w:t>accept AGN's proposed approach to forecast debt raising costs. However, we have updated the estimates to reflect the RAB and rate of return in this decision, which are inputs for calculating debt raising costs. We determine</w:t>
      </w:r>
      <w:r w:rsidRPr="00C43648">
        <w:t xml:space="preserve"> debt raising costs of $</w:t>
      </w:r>
      <w:r w:rsidRPr="002E26B5">
        <w:t>3.9</w:t>
      </w:r>
      <w:r>
        <w:t xml:space="preserve"> million ($ 2015–16) over the 2016</w:t>
      </w:r>
      <w:r w:rsidRPr="00413171">
        <w:t>–</w:t>
      </w:r>
      <w:r>
        <w:t>21</w:t>
      </w:r>
      <w:r w:rsidRPr="00C43648">
        <w:t xml:space="preserve"> period, as set out in</w:t>
      </w:r>
      <w:r>
        <w:t xml:space="preserve"> </w:t>
      </w:r>
      <w:r>
        <w:fldChar w:fldCharType="begin"/>
      </w:r>
      <w:r>
        <w:instrText xml:space="preserve"> REF _Ref451257633 \h </w:instrText>
      </w:r>
      <w:r>
        <w:fldChar w:fldCharType="separate"/>
      </w:r>
      <w:r w:rsidR="000230CB">
        <w:t xml:space="preserve">Table </w:t>
      </w:r>
      <w:r w:rsidR="000230CB">
        <w:rPr>
          <w:noProof/>
        </w:rPr>
        <w:t>3</w:t>
      </w:r>
      <w:r w:rsidR="000230CB">
        <w:noBreakHyphen/>
      </w:r>
      <w:r w:rsidR="000230CB">
        <w:rPr>
          <w:noProof/>
        </w:rPr>
        <w:t>50</w:t>
      </w:r>
      <w:r>
        <w:fldChar w:fldCharType="end"/>
      </w:r>
      <w:r>
        <w:t xml:space="preserve">. </w:t>
      </w:r>
      <w:r w:rsidRPr="00C43648">
        <w:t xml:space="preserve">We are satisfied this estimate contributes towards a total opex forecast that </w:t>
      </w:r>
      <w:r w:rsidRPr="0006745C">
        <w:t>would be incurred by</w:t>
      </w:r>
      <w:r>
        <w:t xml:space="preserve"> </w:t>
      </w:r>
      <w:r w:rsidRPr="0006745C">
        <w:t>a prudent service provider acting efficiently, in accordance with accepted good industry practice, to achieve the lowest sustainable cost of delivering pipeline services</w:t>
      </w:r>
      <w:r w:rsidRPr="00C43648">
        <w:t>.</w:t>
      </w:r>
      <w:r>
        <w:rPr>
          <w:rStyle w:val="FootnoteReference"/>
        </w:rPr>
        <w:footnoteReference w:id="1447"/>
      </w:r>
    </w:p>
    <w:p w:rsidR="00C73EA8" w:rsidRDefault="00C73EA8" w:rsidP="00C73EA8">
      <w:r>
        <w:t>AGN adopted our debt raising costs approach set out in the preliminary decision but it rejected our rate of return as well as some aspects of our capex, which affects the RAB.</w:t>
      </w:r>
      <w:r>
        <w:rPr>
          <w:rStyle w:val="FootnoteReference"/>
        </w:rPr>
        <w:footnoteReference w:id="1448"/>
      </w:r>
      <w:r>
        <w:t xml:space="preserve"> </w:t>
      </w:r>
    </w:p>
    <w:p w:rsidR="00C73EA8" w:rsidRDefault="00C73EA8" w:rsidP="00C73EA8">
      <w:r w:rsidRPr="003A2229">
        <w:t xml:space="preserve">Our decision on the unit costs and components of </w:t>
      </w:r>
      <w:r>
        <w:t>AGN</w:t>
      </w:r>
      <w:r w:rsidRPr="003A2229">
        <w:t>'s benchmark rate of debt raising transaction costs is set out in</w:t>
      </w:r>
      <w:r>
        <w:t xml:space="preserve"> </w:t>
      </w:r>
      <w:r>
        <w:fldChar w:fldCharType="begin"/>
      </w:r>
      <w:r>
        <w:instrText xml:space="preserve"> REF _Ref451257642 \h </w:instrText>
      </w:r>
      <w:r>
        <w:fldChar w:fldCharType="separate"/>
      </w:r>
      <w:r w:rsidR="000230CB">
        <w:t xml:space="preserve">Table </w:t>
      </w:r>
      <w:r w:rsidR="000230CB">
        <w:rPr>
          <w:noProof/>
        </w:rPr>
        <w:t>3</w:t>
      </w:r>
      <w:r w:rsidR="000230CB">
        <w:noBreakHyphen/>
      </w:r>
      <w:r w:rsidR="000230CB">
        <w:rPr>
          <w:noProof/>
        </w:rPr>
        <w:t>51</w:t>
      </w:r>
      <w:r>
        <w:fldChar w:fldCharType="end"/>
      </w:r>
      <w:r>
        <w:t>.</w:t>
      </w:r>
    </w:p>
    <w:p w:rsidR="00C73EA8" w:rsidRPr="00413171" w:rsidRDefault="00C73EA8" w:rsidP="00C73EA8">
      <w:pPr>
        <w:pStyle w:val="Caption"/>
      </w:pPr>
      <w:bookmarkStart w:id="332" w:name="_Ref451257633"/>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50</w:t>
      </w:r>
      <w:r w:rsidR="00527450">
        <w:rPr>
          <w:noProof/>
        </w:rPr>
        <w:fldChar w:fldCharType="end"/>
      </w:r>
      <w:bookmarkEnd w:id="332"/>
      <w:r>
        <w:tab/>
      </w:r>
      <w:r w:rsidRPr="00413171">
        <w:t xml:space="preserve">AER's </w:t>
      </w:r>
      <w:r>
        <w:t>final</w:t>
      </w:r>
      <w:r w:rsidRPr="00413171">
        <w:t xml:space="preserve"> decision on debt raising costs (million, $ </w:t>
      </w:r>
      <w:r>
        <w:t>2015–16</w:t>
      </w:r>
      <w:r w:rsidRPr="00413171">
        <w:t>)</w:t>
      </w:r>
    </w:p>
    <w:tbl>
      <w:tblPr>
        <w:tblStyle w:val="AERtable-text0"/>
        <w:tblW w:w="5000" w:type="pct"/>
        <w:tblLook w:val="04A0" w:firstRow="1" w:lastRow="0" w:firstColumn="1" w:lastColumn="0" w:noHBand="0" w:noVBand="1"/>
      </w:tblPr>
      <w:tblGrid>
        <w:gridCol w:w="1449"/>
        <w:gridCol w:w="1448"/>
        <w:gridCol w:w="1448"/>
        <w:gridCol w:w="1448"/>
        <w:gridCol w:w="1450"/>
        <w:gridCol w:w="1450"/>
      </w:tblGrid>
      <w:tr w:rsidR="00C73EA8" w:rsidRPr="00C43648" w:rsidTr="00BC70E6">
        <w:trPr>
          <w:cnfStyle w:val="100000000000" w:firstRow="1" w:lastRow="0" w:firstColumn="0" w:lastColumn="0" w:oddVBand="0" w:evenVBand="0" w:oddHBand="0" w:evenHBand="0" w:firstRowFirstColumn="0" w:firstRowLastColumn="0" w:lastRowFirstColumn="0" w:lastRowLastColumn="0"/>
        </w:trPr>
        <w:tc>
          <w:tcPr>
            <w:tcW w:w="833" w:type="pct"/>
          </w:tcPr>
          <w:p w:rsidR="00C73EA8" w:rsidRPr="00C73EA8" w:rsidRDefault="00C73EA8" w:rsidP="00C73EA8">
            <w:r>
              <w:t>2016</w:t>
            </w:r>
            <w:r w:rsidRPr="00C73EA8">
              <w:t>-17</w:t>
            </w:r>
          </w:p>
        </w:tc>
        <w:tc>
          <w:tcPr>
            <w:tcW w:w="833" w:type="pct"/>
          </w:tcPr>
          <w:p w:rsidR="00C73EA8" w:rsidRPr="00C73EA8" w:rsidRDefault="00C73EA8" w:rsidP="00C73EA8">
            <w:r>
              <w:t>2017</w:t>
            </w:r>
            <w:r w:rsidRPr="00C73EA8">
              <w:t>-18</w:t>
            </w:r>
          </w:p>
        </w:tc>
        <w:tc>
          <w:tcPr>
            <w:tcW w:w="833" w:type="pct"/>
          </w:tcPr>
          <w:p w:rsidR="00C73EA8" w:rsidRPr="00C73EA8" w:rsidRDefault="00C73EA8" w:rsidP="00C73EA8">
            <w:r>
              <w:t>2018</w:t>
            </w:r>
            <w:r w:rsidRPr="00C73EA8">
              <w:t>-19</w:t>
            </w:r>
          </w:p>
        </w:tc>
        <w:tc>
          <w:tcPr>
            <w:tcW w:w="833" w:type="pct"/>
          </w:tcPr>
          <w:p w:rsidR="00C73EA8" w:rsidRPr="00C73EA8" w:rsidRDefault="00C73EA8" w:rsidP="00C73EA8">
            <w:r w:rsidRPr="00C43648">
              <w:t>201</w:t>
            </w:r>
            <w:r w:rsidRPr="00C73EA8">
              <w:t>9-20</w:t>
            </w:r>
          </w:p>
        </w:tc>
        <w:tc>
          <w:tcPr>
            <w:tcW w:w="834" w:type="pct"/>
          </w:tcPr>
          <w:p w:rsidR="00C73EA8" w:rsidRPr="00C73EA8" w:rsidRDefault="00C73EA8" w:rsidP="00C73EA8">
            <w:r w:rsidRPr="00C43648">
              <w:t>20</w:t>
            </w:r>
            <w:r w:rsidRPr="00C73EA8">
              <w:t>20-21</w:t>
            </w:r>
          </w:p>
        </w:tc>
        <w:tc>
          <w:tcPr>
            <w:tcW w:w="834" w:type="pct"/>
          </w:tcPr>
          <w:p w:rsidR="00C73EA8" w:rsidRPr="00C73EA8" w:rsidRDefault="00C73EA8" w:rsidP="00C73EA8">
            <w:r w:rsidRPr="00C43648">
              <w:t>Total</w:t>
            </w:r>
          </w:p>
        </w:tc>
      </w:tr>
      <w:tr w:rsidR="00C73EA8" w:rsidRPr="00C43648" w:rsidTr="00BC70E6">
        <w:tc>
          <w:tcPr>
            <w:tcW w:w="833" w:type="pct"/>
            <w:vAlign w:val="top"/>
          </w:tcPr>
          <w:p w:rsidR="00C73EA8" w:rsidRPr="00C73EA8" w:rsidRDefault="00C73EA8" w:rsidP="00C73EA8">
            <w:r w:rsidRPr="004045B4">
              <w:t xml:space="preserve"> </w:t>
            </w:r>
            <w:r w:rsidRPr="00C73EA8">
              <w:t>0.7</w:t>
            </w:r>
          </w:p>
        </w:tc>
        <w:tc>
          <w:tcPr>
            <w:tcW w:w="833" w:type="pct"/>
            <w:vAlign w:val="top"/>
          </w:tcPr>
          <w:p w:rsidR="00C73EA8" w:rsidRPr="00C73EA8" w:rsidRDefault="00C73EA8" w:rsidP="00C73EA8">
            <w:r w:rsidRPr="004045B4">
              <w:t xml:space="preserve"> </w:t>
            </w:r>
            <w:r w:rsidRPr="00C73EA8">
              <w:t xml:space="preserve">0.8 </w:t>
            </w:r>
          </w:p>
        </w:tc>
        <w:tc>
          <w:tcPr>
            <w:tcW w:w="833" w:type="pct"/>
            <w:vAlign w:val="top"/>
          </w:tcPr>
          <w:p w:rsidR="00C73EA8" w:rsidRPr="00C73EA8" w:rsidRDefault="00C73EA8" w:rsidP="00C73EA8">
            <w:r>
              <w:t>0.8</w:t>
            </w:r>
            <w:r w:rsidRPr="00C73EA8">
              <w:t xml:space="preserve"> </w:t>
            </w:r>
          </w:p>
        </w:tc>
        <w:tc>
          <w:tcPr>
            <w:tcW w:w="833" w:type="pct"/>
            <w:vAlign w:val="top"/>
          </w:tcPr>
          <w:p w:rsidR="00C73EA8" w:rsidRPr="00C73EA8" w:rsidRDefault="00C73EA8" w:rsidP="00C73EA8">
            <w:r w:rsidRPr="004045B4">
              <w:t xml:space="preserve"> </w:t>
            </w:r>
            <w:r w:rsidRPr="00C73EA8">
              <w:t xml:space="preserve">0.8 </w:t>
            </w:r>
          </w:p>
        </w:tc>
        <w:tc>
          <w:tcPr>
            <w:tcW w:w="834" w:type="pct"/>
            <w:vAlign w:val="top"/>
          </w:tcPr>
          <w:p w:rsidR="00C73EA8" w:rsidRPr="00C73EA8" w:rsidRDefault="00C73EA8" w:rsidP="00C73EA8">
            <w:r w:rsidRPr="004045B4">
              <w:t xml:space="preserve"> </w:t>
            </w:r>
            <w:r w:rsidRPr="00C73EA8">
              <w:t xml:space="preserve">0.8 </w:t>
            </w:r>
          </w:p>
        </w:tc>
        <w:tc>
          <w:tcPr>
            <w:tcW w:w="834" w:type="pct"/>
          </w:tcPr>
          <w:p w:rsidR="00C73EA8" w:rsidRPr="00C73EA8" w:rsidRDefault="00C73EA8" w:rsidP="00C73EA8">
            <w:r>
              <w:t>3.9</w:t>
            </w:r>
          </w:p>
        </w:tc>
      </w:tr>
    </w:tbl>
    <w:p w:rsidR="00C73EA8" w:rsidRDefault="00C73EA8" w:rsidP="00C73EA8">
      <w:pPr>
        <w:pStyle w:val="AERtablesource"/>
      </w:pPr>
      <w:r w:rsidRPr="00C43648">
        <w:t xml:space="preserve">Source: </w:t>
      </w:r>
      <w:r>
        <w:tab/>
      </w:r>
      <w:r w:rsidRPr="00C43648">
        <w:t>AER analysis.</w:t>
      </w:r>
    </w:p>
    <w:p w:rsidR="00C73EA8" w:rsidRDefault="00C73EA8" w:rsidP="00C73EA8">
      <w:pPr>
        <w:pStyle w:val="AERtablesource"/>
      </w:pPr>
      <w:r>
        <w:t xml:space="preserve">Note: </w:t>
      </w:r>
      <w:r>
        <w:tab/>
        <w:t>Columns may not add to total due to rounding for presentation in table.</w:t>
      </w:r>
    </w:p>
    <w:p w:rsidR="00C73EA8" w:rsidRPr="00413171" w:rsidRDefault="00C73EA8" w:rsidP="00C73EA8">
      <w:pPr>
        <w:pStyle w:val="Caption"/>
      </w:pPr>
      <w:bookmarkStart w:id="333" w:name="_Ref451257642"/>
      <w:r>
        <w:t xml:space="preserve">Table </w:t>
      </w:r>
      <w:r w:rsidR="00527450">
        <w:fldChar w:fldCharType="begin"/>
      </w:r>
      <w:r w:rsidR="00527450">
        <w:instrText xml:space="preserve"> STYLEREF 1 \s </w:instrText>
      </w:r>
      <w:r w:rsidR="00527450">
        <w:fldChar w:fldCharType="separate"/>
      </w:r>
      <w:r w:rsidR="000230CB">
        <w:rPr>
          <w:noProof/>
        </w:rPr>
        <w:t>3</w:t>
      </w:r>
      <w:r w:rsidR="00527450">
        <w:rPr>
          <w:noProof/>
        </w:rPr>
        <w:fldChar w:fldCharType="end"/>
      </w:r>
      <w:r w:rsidR="00897666">
        <w:noBreakHyphen/>
      </w:r>
      <w:r w:rsidR="00527450">
        <w:fldChar w:fldCharType="begin"/>
      </w:r>
      <w:r w:rsidR="00527450">
        <w:instrText xml:space="preserve"> SEQ Table \* ARABIC \s 1 </w:instrText>
      </w:r>
      <w:r w:rsidR="00527450">
        <w:fldChar w:fldCharType="separate"/>
      </w:r>
      <w:r w:rsidR="000230CB">
        <w:rPr>
          <w:noProof/>
        </w:rPr>
        <w:t>51</w:t>
      </w:r>
      <w:r w:rsidR="00527450">
        <w:rPr>
          <w:noProof/>
        </w:rPr>
        <w:fldChar w:fldCharType="end"/>
      </w:r>
      <w:bookmarkEnd w:id="333"/>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C73EA8" w:rsidRPr="00C43648" w:rsidTr="00E10A41">
        <w:trPr>
          <w:cnfStyle w:val="100000000000" w:firstRow="1" w:lastRow="0" w:firstColumn="0" w:lastColumn="0" w:oddVBand="0" w:evenVBand="0" w:oddHBand="0" w:evenHBand="0" w:firstRowFirstColumn="0" w:firstRowLastColumn="0" w:lastRowFirstColumn="0" w:lastRowLastColumn="0"/>
          <w:tblHeader/>
        </w:trPr>
        <w:tc>
          <w:tcPr>
            <w:tcW w:w="2373" w:type="dxa"/>
          </w:tcPr>
          <w:p w:rsidR="00C73EA8" w:rsidRPr="00C73EA8" w:rsidRDefault="00C73EA8" w:rsidP="00C73EA8">
            <w:r w:rsidRPr="00C43648">
              <w:t>Number of bonds</w:t>
            </w:r>
          </w:p>
        </w:tc>
        <w:tc>
          <w:tcPr>
            <w:tcW w:w="2252" w:type="dxa"/>
          </w:tcPr>
          <w:p w:rsidR="00C73EA8" w:rsidRPr="00C73EA8" w:rsidRDefault="00C73EA8" w:rsidP="00C73EA8">
            <w:r w:rsidRPr="00C43648">
              <w:t>Value</w:t>
            </w:r>
          </w:p>
        </w:tc>
        <w:tc>
          <w:tcPr>
            <w:tcW w:w="2034" w:type="dxa"/>
            <w:vAlign w:val="top"/>
          </w:tcPr>
          <w:p w:rsidR="00C73EA8" w:rsidRPr="00C73EA8" w:rsidRDefault="00C73EA8" w:rsidP="00C73EA8">
            <w:r w:rsidRPr="00C43648">
              <w:t>1 bond issued</w:t>
            </w:r>
          </w:p>
        </w:tc>
        <w:tc>
          <w:tcPr>
            <w:tcW w:w="2034" w:type="dxa"/>
            <w:vAlign w:val="top"/>
          </w:tcPr>
          <w:p w:rsidR="00C73EA8" w:rsidRPr="00C73EA8" w:rsidRDefault="00C73EA8" w:rsidP="00C73EA8">
            <w:r>
              <w:t xml:space="preserve">3 </w:t>
            </w:r>
            <w:r w:rsidRPr="00C73EA8">
              <w:t>bond issued</w:t>
            </w:r>
          </w:p>
        </w:tc>
      </w:tr>
      <w:tr w:rsidR="00C73EA8" w:rsidRPr="00C43648" w:rsidTr="00E10A41">
        <w:tc>
          <w:tcPr>
            <w:tcW w:w="2373" w:type="dxa"/>
          </w:tcPr>
          <w:p w:rsidR="00C73EA8" w:rsidRPr="00C73EA8" w:rsidRDefault="00C73EA8" w:rsidP="00C73EA8">
            <w:r w:rsidRPr="00C43648">
              <w:t>Amount raised</w:t>
            </w:r>
          </w:p>
        </w:tc>
        <w:tc>
          <w:tcPr>
            <w:tcW w:w="2252" w:type="dxa"/>
          </w:tcPr>
          <w:p w:rsidR="00C73EA8" w:rsidRPr="00C43648" w:rsidRDefault="00C73EA8" w:rsidP="00C73EA8"/>
        </w:tc>
        <w:tc>
          <w:tcPr>
            <w:tcW w:w="2034" w:type="dxa"/>
            <w:vAlign w:val="top"/>
          </w:tcPr>
          <w:p w:rsidR="00C73EA8" w:rsidRPr="00C73EA8" w:rsidRDefault="00C73EA8" w:rsidP="00C73EA8">
            <w:r w:rsidRPr="00C43648">
              <w:t>$250m</w:t>
            </w:r>
          </w:p>
        </w:tc>
        <w:tc>
          <w:tcPr>
            <w:tcW w:w="2034" w:type="dxa"/>
            <w:vAlign w:val="top"/>
          </w:tcPr>
          <w:p w:rsidR="00C73EA8" w:rsidRPr="00C73EA8" w:rsidRDefault="00C73EA8" w:rsidP="00C73EA8">
            <w:r w:rsidRPr="00C43648">
              <w:t>$</w:t>
            </w:r>
            <w:r w:rsidRPr="00C73EA8">
              <w:t>750m</w:t>
            </w:r>
          </w:p>
        </w:tc>
      </w:tr>
      <w:tr w:rsidR="00C73EA8" w:rsidRPr="00C43648" w:rsidTr="00E10A41">
        <w:trPr>
          <w:cnfStyle w:val="000000010000" w:firstRow="0" w:lastRow="0" w:firstColumn="0" w:lastColumn="0" w:oddVBand="0" w:evenVBand="0" w:oddHBand="0" w:evenHBand="1" w:firstRowFirstColumn="0" w:firstRowLastColumn="0" w:lastRowFirstColumn="0" w:lastRowLastColumn="0"/>
        </w:trPr>
        <w:tc>
          <w:tcPr>
            <w:tcW w:w="2373" w:type="dxa"/>
          </w:tcPr>
          <w:p w:rsidR="00C73EA8" w:rsidRPr="00C73EA8" w:rsidRDefault="00C73EA8" w:rsidP="00C73EA8">
            <w:r w:rsidRPr="00C43648">
              <w:t>Arrangement fee</w:t>
            </w:r>
          </w:p>
        </w:tc>
        <w:tc>
          <w:tcPr>
            <w:tcW w:w="2252" w:type="dxa"/>
          </w:tcPr>
          <w:p w:rsidR="00C73EA8" w:rsidRPr="00C43648" w:rsidRDefault="00C73EA8" w:rsidP="00C73EA8"/>
        </w:tc>
        <w:tc>
          <w:tcPr>
            <w:tcW w:w="2034" w:type="dxa"/>
            <w:vAlign w:val="top"/>
          </w:tcPr>
          <w:p w:rsidR="00C73EA8" w:rsidRPr="00C73EA8" w:rsidRDefault="00C73EA8" w:rsidP="00C73EA8">
            <w:r>
              <w:t>7.</w:t>
            </w:r>
            <w:r w:rsidRPr="00C73EA8">
              <w:t>15</w:t>
            </w:r>
          </w:p>
        </w:tc>
        <w:tc>
          <w:tcPr>
            <w:tcW w:w="2034" w:type="dxa"/>
            <w:vAlign w:val="top"/>
          </w:tcPr>
          <w:p w:rsidR="00C73EA8" w:rsidRPr="00C73EA8" w:rsidRDefault="00C73EA8" w:rsidP="00C73EA8">
            <w:r>
              <w:t>7.1</w:t>
            </w:r>
            <w:r w:rsidRPr="00C73EA8">
              <w:t>5</w:t>
            </w:r>
          </w:p>
        </w:tc>
      </w:tr>
      <w:tr w:rsidR="00C73EA8" w:rsidRPr="00C43648" w:rsidTr="00E10A41">
        <w:tc>
          <w:tcPr>
            <w:tcW w:w="2373" w:type="dxa"/>
          </w:tcPr>
          <w:p w:rsidR="00C73EA8" w:rsidRPr="00C73EA8" w:rsidRDefault="00C73EA8" w:rsidP="00C73EA8">
            <w:r w:rsidRPr="00DA7B4A">
              <w:t xml:space="preserve">Bond </w:t>
            </w:r>
            <w:r w:rsidRPr="00C73EA8">
              <w:t>Master Program (per program)</w:t>
            </w:r>
          </w:p>
        </w:tc>
        <w:tc>
          <w:tcPr>
            <w:tcW w:w="2252" w:type="dxa"/>
            <w:vAlign w:val="top"/>
          </w:tcPr>
          <w:p w:rsidR="00C73EA8" w:rsidRPr="00C73EA8" w:rsidRDefault="00C73EA8" w:rsidP="00C73EA8">
            <w:r w:rsidRPr="00DA7B4A">
              <w:t>$56,250</w:t>
            </w:r>
          </w:p>
        </w:tc>
        <w:tc>
          <w:tcPr>
            <w:tcW w:w="2034" w:type="dxa"/>
            <w:vAlign w:val="top"/>
          </w:tcPr>
          <w:p w:rsidR="00C73EA8" w:rsidRPr="00C73EA8" w:rsidRDefault="00C73EA8" w:rsidP="00C73EA8">
            <w:r w:rsidRPr="00DA7B4A">
              <w:t>0.3</w:t>
            </w:r>
            <w:r w:rsidRPr="00C73EA8">
              <w:t>1</w:t>
            </w:r>
          </w:p>
        </w:tc>
        <w:tc>
          <w:tcPr>
            <w:tcW w:w="2034" w:type="dxa"/>
            <w:vAlign w:val="top"/>
          </w:tcPr>
          <w:p w:rsidR="00C73EA8" w:rsidRPr="00C73EA8" w:rsidRDefault="00C73EA8" w:rsidP="00C73EA8">
            <w:r w:rsidRPr="00DA7B4A">
              <w:t>0.</w:t>
            </w:r>
            <w:r w:rsidRPr="00C73EA8">
              <w:t>10</w:t>
            </w:r>
          </w:p>
        </w:tc>
      </w:tr>
      <w:tr w:rsidR="00C73EA8" w:rsidRPr="00C43648" w:rsidTr="00E10A41">
        <w:trPr>
          <w:cnfStyle w:val="000000010000" w:firstRow="0" w:lastRow="0" w:firstColumn="0" w:lastColumn="0" w:oddVBand="0" w:evenVBand="0" w:oddHBand="0" w:evenHBand="1" w:firstRowFirstColumn="0" w:firstRowLastColumn="0" w:lastRowFirstColumn="0" w:lastRowLastColumn="0"/>
        </w:trPr>
        <w:tc>
          <w:tcPr>
            <w:tcW w:w="2373" w:type="dxa"/>
          </w:tcPr>
          <w:p w:rsidR="00C73EA8" w:rsidRPr="00C73EA8" w:rsidRDefault="00C73EA8" w:rsidP="00C73EA8">
            <w:r w:rsidRPr="00DA7B4A">
              <w:t>Issuer's legal counsel</w:t>
            </w:r>
          </w:p>
        </w:tc>
        <w:tc>
          <w:tcPr>
            <w:tcW w:w="2252" w:type="dxa"/>
            <w:vAlign w:val="top"/>
          </w:tcPr>
          <w:p w:rsidR="00C73EA8" w:rsidRPr="00C73EA8" w:rsidRDefault="00C73EA8" w:rsidP="00C73EA8">
            <w:r w:rsidRPr="00DA7B4A">
              <w:t>$15,265</w:t>
            </w:r>
          </w:p>
        </w:tc>
        <w:tc>
          <w:tcPr>
            <w:tcW w:w="2034" w:type="dxa"/>
            <w:vAlign w:val="top"/>
          </w:tcPr>
          <w:p w:rsidR="00C73EA8" w:rsidRPr="00C73EA8" w:rsidRDefault="00C73EA8" w:rsidP="00C73EA8">
            <w:r w:rsidRPr="00DA7B4A">
              <w:t>0.0</w:t>
            </w:r>
            <w:r w:rsidRPr="00C73EA8">
              <w:t>9</w:t>
            </w:r>
          </w:p>
        </w:tc>
        <w:tc>
          <w:tcPr>
            <w:tcW w:w="2034" w:type="dxa"/>
            <w:vAlign w:val="top"/>
          </w:tcPr>
          <w:p w:rsidR="00C73EA8" w:rsidRPr="00C73EA8" w:rsidRDefault="00C73EA8" w:rsidP="00C73EA8">
            <w:r w:rsidRPr="00DA7B4A">
              <w:t>0.0</w:t>
            </w:r>
            <w:r w:rsidRPr="00C73EA8">
              <w:t>9</w:t>
            </w:r>
          </w:p>
        </w:tc>
      </w:tr>
      <w:tr w:rsidR="00C73EA8" w:rsidRPr="00C43648" w:rsidTr="00E10A41">
        <w:tc>
          <w:tcPr>
            <w:tcW w:w="2373" w:type="dxa"/>
          </w:tcPr>
          <w:p w:rsidR="00C73EA8" w:rsidRPr="00C73EA8" w:rsidRDefault="00C73EA8" w:rsidP="00C73EA8">
            <w:r w:rsidRPr="00DA7B4A">
              <w:t>Company credit rating</w:t>
            </w:r>
          </w:p>
        </w:tc>
        <w:tc>
          <w:tcPr>
            <w:tcW w:w="2252" w:type="dxa"/>
            <w:vAlign w:val="top"/>
          </w:tcPr>
          <w:p w:rsidR="00C73EA8" w:rsidRPr="00C73EA8" w:rsidRDefault="00C73EA8" w:rsidP="00C73EA8">
            <w:r w:rsidRPr="00DA7B4A">
              <w:t>$77,500</w:t>
            </w:r>
          </w:p>
        </w:tc>
        <w:tc>
          <w:tcPr>
            <w:tcW w:w="2034" w:type="dxa"/>
            <w:vAlign w:val="top"/>
          </w:tcPr>
          <w:p w:rsidR="00C73EA8" w:rsidRPr="00C73EA8" w:rsidRDefault="00C73EA8" w:rsidP="00C73EA8">
            <w:r w:rsidRPr="00DA7B4A">
              <w:t>0.4</w:t>
            </w:r>
            <w:r w:rsidRPr="00C73EA8">
              <w:t>2</w:t>
            </w:r>
          </w:p>
        </w:tc>
        <w:tc>
          <w:tcPr>
            <w:tcW w:w="2034" w:type="dxa"/>
            <w:vAlign w:val="top"/>
          </w:tcPr>
          <w:p w:rsidR="00C73EA8" w:rsidRPr="00C73EA8" w:rsidRDefault="00C73EA8" w:rsidP="00C73EA8">
            <w:r w:rsidRPr="00DA7B4A">
              <w:t>0.</w:t>
            </w:r>
            <w:r w:rsidRPr="00C73EA8">
              <w:t>21</w:t>
            </w:r>
          </w:p>
        </w:tc>
      </w:tr>
      <w:tr w:rsidR="00C73EA8" w:rsidRPr="00C43648" w:rsidTr="00E10A41">
        <w:trPr>
          <w:cnfStyle w:val="000000010000" w:firstRow="0" w:lastRow="0" w:firstColumn="0" w:lastColumn="0" w:oddVBand="0" w:evenVBand="0" w:oddHBand="0" w:evenHBand="1" w:firstRowFirstColumn="0" w:firstRowLastColumn="0" w:lastRowFirstColumn="0" w:lastRowLastColumn="0"/>
        </w:trPr>
        <w:tc>
          <w:tcPr>
            <w:tcW w:w="2373" w:type="dxa"/>
          </w:tcPr>
          <w:p w:rsidR="00C73EA8" w:rsidRPr="00C73EA8" w:rsidRDefault="00C73EA8" w:rsidP="00C73EA8">
            <w:r w:rsidRPr="00DA7B4A">
              <w:t>Annual surveillance fee</w:t>
            </w:r>
          </w:p>
        </w:tc>
        <w:tc>
          <w:tcPr>
            <w:tcW w:w="2252" w:type="dxa"/>
            <w:vAlign w:val="top"/>
          </w:tcPr>
          <w:p w:rsidR="00C73EA8" w:rsidRPr="00C73EA8" w:rsidRDefault="00C73EA8" w:rsidP="00C73EA8">
            <w:r w:rsidRPr="00DA7B4A">
              <w:t>$35,500</w:t>
            </w:r>
          </w:p>
        </w:tc>
        <w:tc>
          <w:tcPr>
            <w:tcW w:w="2034" w:type="dxa"/>
            <w:vAlign w:val="top"/>
          </w:tcPr>
          <w:p w:rsidR="00C73EA8" w:rsidRPr="00C73EA8" w:rsidRDefault="00C73EA8" w:rsidP="00C73EA8">
            <w:r w:rsidRPr="00DA7B4A">
              <w:t>0.14</w:t>
            </w:r>
          </w:p>
        </w:tc>
        <w:tc>
          <w:tcPr>
            <w:tcW w:w="2034" w:type="dxa"/>
            <w:vAlign w:val="top"/>
          </w:tcPr>
          <w:p w:rsidR="00C73EA8" w:rsidRPr="00C73EA8" w:rsidRDefault="00C73EA8" w:rsidP="00C73EA8">
            <w:r w:rsidRPr="00DA7B4A">
              <w:t>0.</w:t>
            </w:r>
            <w:r w:rsidRPr="00C73EA8">
              <w:t>07</w:t>
            </w:r>
          </w:p>
        </w:tc>
      </w:tr>
      <w:tr w:rsidR="00C73EA8" w:rsidRPr="00C43648" w:rsidTr="00E10A41">
        <w:tc>
          <w:tcPr>
            <w:tcW w:w="2373" w:type="dxa"/>
          </w:tcPr>
          <w:p w:rsidR="00C73EA8" w:rsidRPr="00C73EA8" w:rsidRDefault="00C73EA8" w:rsidP="00C73EA8">
            <w:r w:rsidRPr="00DA7B4A">
              <w:t>Up-front issuance fee</w:t>
            </w:r>
          </w:p>
        </w:tc>
        <w:tc>
          <w:tcPr>
            <w:tcW w:w="2252" w:type="dxa"/>
            <w:vAlign w:val="top"/>
          </w:tcPr>
          <w:p w:rsidR="00C73EA8" w:rsidRPr="00C73EA8" w:rsidRDefault="00C73EA8" w:rsidP="00C73EA8">
            <w:r w:rsidRPr="00DA7B4A">
              <w:t>5.20bp</w:t>
            </w:r>
          </w:p>
        </w:tc>
        <w:tc>
          <w:tcPr>
            <w:tcW w:w="2034" w:type="dxa"/>
            <w:vAlign w:val="top"/>
          </w:tcPr>
          <w:p w:rsidR="00C73EA8" w:rsidRPr="00C73EA8" w:rsidRDefault="00C73EA8" w:rsidP="00C73EA8">
            <w:r w:rsidRPr="00DA7B4A">
              <w:t>0.</w:t>
            </w:r>
            <w:r w:rsidRPr="00C73EA8">
              <w:t>71</w:t>
            </w:r>
          </w:p>
        </w:tc>
        <w:tc>
          <w:tcPr>
            <w:tcW w:w="2034" w:type="dxa"/>
            <w:vAlign w:val="top"/>
          </w:tcPr>
          <w:p w:rsidR="00C73EA8" w:rsidRPr="00C73EA8" w:rsidRDefault="00C73EA8" w:rsidP="00C73EA8">
            <w:r w:rsidRPr="00DA7B4A">
              <w:t>0.</w:t>
            </w:r>
            <w:r w:rsidRPr="00C73EA8">
              <w:t>71</w:t>
            </w:r>
          </w:p>
        </w:tc>
      </w:tr>
      <w:tr w:rsidR="00C73EA8" w:rsidRPr="00C43648" w:rsidTr="00E10A41">
        <w:trPr>
          <w:cnfStyle w:val="000000010000" w:firstRow="0" w:lastRow="0" w:firstColumn="0" w:lastColumn="0" w:oddVBand="0" w:evenVBand="0" w:oddHBand="0" w:evenHBand="1" w:firstRowFirstColumn="0" w:firstRowLastColumn="0" w:lastRowFirstColumn="0" w:lastRowLastColumn="0"/>
        </w:trPr>
        <w:tc>
          <w:tcPr>
            <w:tcW w:w="2373" w:type="dxa"/>
          </w:tcPr>
          <w:p w:rsidR="00C73EA8" w:rsidRPr="00C73EA8" w:rsidRDefault="00C73EA8" w:rsidP="00C73EA8">
            <w:r w:rsidRPr="00DA7B4A">
              <w:t>Registration up-front (per program)</w:t>
            </w:r>
          </w:p>
        </w:tc>
        <w:tc>
          <w:tcPr>
            <w:tcW w:w="2252" w:type="dxa"/>
            <w:vAlign w:val="top"/>
          </w:tcPr>
          <w:p w:rsidR="00C73EA8" w:rsidRPr="00C73EA8" w:rsidRDefault="00C73EA8" w:rsidP="00C73EA8">
            <w:r w:rsidRPr="00DA7B4A">
              <w:t>$20,850</w:t>
            </w:r>
          </w:p>
        </w:tc>
        <w:tc>
          <w:tcPr>
            <w:tcW w:w="2034" w:type="dxa"/>
            <w:vAlign w:val="top"/>
          </w:tcPr>
          <w:p w:rsidR="00C73EA8" w:rsidRPr="00C73EA8" w:rsidRDefault="00C73EA8" w:rsidP="00C73EA8">
            <w:r w:rsidRPr="00DA7B4A">
              <w:t>0.11</w:t>
            </w:r>
          </w:p>
        </w:tc>
        <w:tc>
          <w:tcPr>
            <w:tcW w:w="2034" w:type="dxa"/>
            <w:vAlign w:val="top"/>
          </w:tcPr>
          <w:p w:rsidR="00C73EA8" w:rsidRPr="00C73EA8" w:rsidRDefault="00C73EA8" w:rsidP="00C73EA8">
            <w:r w:rsidRPr="00DA7B4A">
              <w:t>0.</w:t>
            </w:r>
            <w:r w:rsidRPr="00C73EA8">
              <w:t>06</w:t>
            </w:r>
          </w:p>
        </w:tc>
      </w:tr>
      <w:tr w:rsidR="00C73EA8" w:rsidRPr="00C43648" w:rsidTr="00E10A41">
        <w:tc>
          <w:tcPr>
            <w:tcW w:w="2373" w:type="dxa"/>
          </w:tcPr>
          <w:p w:rsidR="00C73EA8" w:rsidRPr="00C73EA8" w:rsidRDefault="00C73EA8" w:rsidP="00C73EA8">
            <w:r w:rsidRPr="00DA7B4A">
              <w:t>Registration- annual</w:t>
            </w:r>
          </w:p>
        </w:tc>
        <w:tc>
          <w:tcPr>
            <w:tcW w:w="2252" w:type="dxa"/>
            <w:vAlign w:val="top"/>
          </w:tcPr>
          <w:p w:rsidR="00C73EA8" w:rsidRPr="00C73EA8" w:rsidRDefault="00C73EA8" w:rsidP="00C73EA8">
            <w:r w:rsidRPr="00DA7B4A">
              <w:t>$7,825</w:t>
            </w:r>
          </w:p>
        </w:tc>
        <w:tc>
          <w:tcPr>
            <w:tcW w:w="2034" w:type="dxa"/>
            <w:vAlign w:val="top"/>
          </w:tcPr>
          <w:p w:rsidR="00C73EA8" w:rsidRPr="00C73EA8" w:rsidRDefault="00C73EA8" w:rsidP="00C73EA8">
            <w:r w:rsidRPr="00DA7B4A">
              <w:t>0.31</w:t>
            </w:r>
          </w:p>
        </w:tc>
        <w:tc>
          <w:tcPr>
            <w:tcW w:w="2034" w:type="dxa"/>
            <w:vAlign w:val="top"/>
          </w:tcPr>
          <w:p w:rsidR="00C73EA8" w:rsidRPr="00C73EA8" w:rsidRDefault="00C73EA8" w:rsidP="00C73EA8">
            <w:r w:rsidRPr="00DA7B4A">
              <w:t>0.31</w:t>
            </w:r>
          </w:p>
        </w:tc>
      </w:tr>
      <w:tr w:rsidR="00C73EA8" w:rsidRPr="00C43648" w:rsidTr="00E10A41">
        <w:trPr>
          <w:cnfStyle w:val="000000010000" w:firstRow="0" w:lastRow="0" w:firstColumn="0" w:lastColumn="0" w:oddVBand="0" w:evenVBand="0" w:oddHBand="0" w:evenHBand="1" w:firstRowFirstColumn="0" w:firstRowLastColumn="0" w:lastRowFirstColumn="0" w:lastRowLastColumn="0"/>
        </w:trPr>
        <w:tc>
          <w:tcPr>
            <w:tcW w:w="2373" w:type="dxa"/>
          </w:tcPr>
          <w:p w:rsidR="00C73EA8" w:rsidRPr="00C73EA8" w:rsidRDefault="00C73EA8" w:rsidP="00C73EA8">
            <w:r w:rsidRPr="00DA7B4A">
              <w:t>Agents out-of-pockets</w:t>
            </w:r>
          </w:p>
        </w:tc>
        <w:tc>
          <w:tcPr>
            <w:tcW w:w="2252" w:type="dxa"/>
            <w:vAlign w:val="top"/>
          </w:tcPr>
          <w:p w:rsidR="00C73EA8" w:rsidRPr="00C73EA8" w:rsidRDefault="00C73EA8" w:rsidP="00C73EA8">
            <w:r w:rsidRPr="00DA7B4A">
              <w:t>$3,000</w:t>
            </w:r>
          </w:p>
        </w:tc>
        <w:tc>
          <w:tcPr>
            <w:tcW w:w="2034" w:type="dxa"/>
            <w:vAlign w:val="top"/>
          </w:tcPr>
          <w:p w:rsidR="00C73EA8" w:rsidRPr="00C73EA8" w:rsidRDefault="00C73EA8" w:rsidP="00C73EA8">
            <w:r w:rsidRPr="00DA7B4A">
              <w:t>0.02</w:t>
            </w:r>
          </w:p>
        </w:tc>
        <w:tc>
          <w:tcPr>
            <w:tcW w:w="2034" w:type="dxa"/>
            <w:vAlign w:val="top"/>
          </w:tcPr>
          <w:p w:rsidR="00C73EA8" w:rsidRPr="00C73EA8" w:rsidRDefault="00C73EA8" w:rsidP="00C73EA8">
            <w:r w:rsidRPr="00DA7B4A">
              <w:t>0.02</w:t>
            </w:r>
          </w:p>
        </w:tc>
      </w:tr>
      <w:tr w:rsidR="00C73EA8" w:rsidRPr="00C43648" w:rsidTr="00E10A41">
        <w:tc>
          <w:tcPr>
            <w:tcW w:w="2373" w:type="dxa"/>
          </w:tcPr>
          <w:p w:rsidR="00C73EA8" w:rsidRPr="00C73EA8" w:rsidRDefault="00C73EA8" w:rsidP="00C73EA8">
            <w:r w:rsidRPr="00C43648">
              <w:t>Total (basis points per annum)</w:t>
            </w:r>
          </w:p>
        </w:tc>
        <w:tc>
          <w:tcPr>
            <w:tcW w:w="2252" w:type="dxa"/>
            <w:vAlign w:val="top"/>
          </w:tcPr>
          <w:p w:rsidR="00C73EA8" w:rsidRPr="00C43648" w:rsidRDefault="00C73EA8" w:rsidP="00C73EA8"/>
        </w:tc>
        <w:tc>
          <w:tcPr>
            <w:tcW w:w="2034" w:type="dxa"/>
            <w:vAlign w:val="top"/>
          </w:tcPr>
          <w:p w:rsidR="00C73EA8" w:rsidRPr="00C73EA8" w:rsidRDefault="00C73EA8" w:rsidP="00C73EA8">
            <w:r w:rsidRPr="00C43648">
              <w:t>9.</w:t>
            </w:r>
            <w:r w:rsidRPr="00C73EA8">
              <w:t>3</w:t>
            </w:r>
          </w:p>
        </w:tc>
        <w:tc>
          <w:tcPr>
            <w:tcW w:w="2034" w:type="dxa"/>
            <w:vAlign w:val="top"/>
          </w:tcPr>
          <w:p w:rsidR="00C73EA8" w:rsidRPr="00C73EA8" w:rsidRDefault="00C73EA8" w:rsidP="00C73EA8">
            <w:r>
              <w:t>8.8</w:t>
            </w:r>
          </w:p>
        </w:tc>
      </w:tr>
    </w:tbl>
    <w:p w:rsidR="00C73EA8" w:rsidRDefault="00C73EA8" w:rsidP="00C73EA8">
      <w:pPr>
        <w:pStyle w:val="AERtablesource"/>
      </w:pPr>
      <w:r w:rsidRPr="00C43648">
        <w:t xml:space="preserve">Source: </w:t>
      </w:r>
      <w:r>
        <w:tab/>
      </w:r>
      <w:r w:rsidRPr="00C43648">
        <w:t>AER, Incenta.</w:t>
      </w:r>
      <w:r>
        <w:rPr>
          <w:rStyle w:val="FootnoteReference"/>
        </w:rPr>
        <w:footnoteReference w:id="1449"/>
      </w:r>
    </w:p>
    <w:p w:rsidR="00C73EA8" w:rsidRPr="00C73EA8" w:rsidRDefault="00C73EA8" w:rsidP="00C73EA8"/>
    <w:p w:rsidR="00D673C6" w:rsidRDefault="00D673C6" w:rsidP="00D673C6">
      <w:pPr>
        <w:pStyle w:val="Heading7"/>
      </w:pPr>
      <w:bookmarkStart w:id="334" w:name="_Ref451328742"/>
      <w:bookmarkStart w:id="335" w:name="_Toc451943834"/>
      <w:r>
        <w:t>Equity and debt averaging periods (Confidential)</w:t>
      </w:r>
      <w:bookmarkEnd w:id="334"/>
      <w:bookmarkEnd w:id="335"/>
    </w:p>
    <w:p w:rsidR="00D673C6" w:rsidRDefault="00D673C6" w:rsidP="00D673C6"/>
    <w:p w:rsidR="000633D3" w:rsidRPr="000633D3" w:rsidRDefault="000633D3" w:rsidP="000633D3"/>
    <w:sectPr w:rsidR="000633D3" w:rsidRPr="000633D3" w:rsidSect="00B757A6">
      <w:headerReference w:type="even" r:id="rId38"/>
      <w:footerReference w:type="even" r:id="rId39"/>
      <w:footerReference w:type="default" r:id="rId40"/>
      <w:headerReference w:type="first" r:id="rId41"/>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0CB" w:rsidRPr="00290C63" w:rsidRDefault="000230CB" w:rsidP="00290C63">
      <w:r>
        <w:separator/>
      </w:r>
    </w:p>
    <w:p w:rsidR="000230CB" w:rsidRDefault="000230CB"/>
  </w:endnote>
  <w:endnote w:type="continuationSeparator" w:id="0">
    <w:p w:rsidR="000230CB" w:rsidRPr="00290C63" w:rsidRDefault="000230CB" w:rsidP="00290C63">
      <w:r>
        <w:continuationSeparator/>
      </w:r>
    </w:p>
    <w:p w:rsidR="000230CB" w:rsidRDefault="00023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dge Round">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0CB" w:rsidRDefault="000230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0230CB" w:rsidRDefault="000230CB">
    <w:pPr>
      <w:pStyle w:val="Footer"/>
    </w:pPr>
  </w:p>
  <w:p w:rsidR="000230CB" w:rsidRDefault="000230CB">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0230CB" w:rsidRPr="00CA52A2" w:rsidRDefault="000230CB" w:rsidP="00CA52A2">
        <w:pPr>
          <w:pStyle w:val="Footer"/>
        </w:pPr>
        <w:r w:rsidRPr="00CA52A2">
          <w:fldChar w:fldCharType="begin"/>
        </w:r>
        <w:r>
          <w:instrText xml:space="preserve"> PAGE   \* MERGEFORMAT </w:instrText>
        </w:r>
        <w:r w:rsidRPr="00CA52A2">
          <w:fldChar w:fldCharType="separate"/>
        </w:r>
        <w:r w:rsidR="007F1E09">
          <w:rPr>
            <w:noProof/>
          </w:rPr>
          <w:t>3-1</w:t>
        </w:r>
        <w:r w:rsidRPr="00CA52A2">
          <w:fldChar w:fldCharType="end"/>
        </w:r>
        <w:r w:rsidRPr="00CA52A2">
          <w:t xml:space="preserve">          Attachment </w:t>
        </w:r>
        <w:r>
          <w:t xml:space="preserve">3 </w:t>
        </w:r>
        <w:r w:rsidRPr="00CA52A2">
          <w:t xml:space="preserve">– </w:t>
        </w:r>
        <w:r>
          <w:t xml:space="preserve">Rate of return </w:t>
        </w:r>
        <w:r w:rsidRPr="00CA52A2">
          <w:t xml:space="preserve">| </w:t>
        </w:r>
        <w:r>
          <w:t>Final decision: Australian Gas Networks Access Arrangement 2016</w:t>
        </w:r>
        <w:r w:rsidRPr="00CA52A2">
          <w:t>–</w:t>
        </w:r>
        <w:r>
          <w:t>21</w:t>
        </w:r>
      </w:p>
    </w:sdtContent>
  </w:sdt>
  <w:p w:rsidR="000230CB" w:rsidRDefault="000230CB">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0CB" w:rsidRPr="00290C63" w:rsidRDefault="000230CB" w:rsidP="00290C63">
      <w:r>
        <w:separator/>
      </w:r>
    </w:p>
    <w:p w:rsidR="000230CB" w:rsidRDefault="000230CB"/>
  </w:footnote>
  <w:footnote w:type="continuationSeparator" w:id="0">
    <w:p w:rsidR="000230CB" w:rsidRPr="00290C63" w:rsidRDefault="000230CB" w:rsidP="00290C63">
      <w:r>
        <w:continuationSeparator/>
      </w:r>
    </w:p>
    <w:p w:rsidR="000230CB" w:rsidRDefault="000230CB"/>
  </w:footnote>
  <w:footnote w:id="1">
    <w:p w:rsidR="000230CB" w:rsidRDefault="000230CB" w:rsidP="007E6AB8">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0230CB" w:rsidRDefault="000230CB" w:rsidP="00785836">
      <w:pPr>
        <w:pStyle w:val="FootnoteText"/>
      </w:pPr>
      <w:r>
        <w:rPr>
          <w:rStyle w:val="FootnoteReference"/>
        </w:rPr>
        <w:footnoteRef/>
      </w:r>
      <w:r>
        <w:t xml:space="preserve"> </w:t>
      </w:r>
      <w:r>
        <w:tab/>
        <w:t>NGR, cl. 87(2).</w:t>
      </w:r>
    </w:p>
  </w:footnote>
  <w:footnote w:id="3">
    <w:p w:rsidR="000230CB" w:rsidRDefault="000230CB" w:rsidP="00785836">
      <w:pPr>
        <w:pStyle w:val="FootnoteText"/>
      </w:pPr>
      <w:r>
        <w:rPr>
          <w:rStyle w:val="FootnoteReference"/>
        </w:rPr>
        <w:footnoteRef/>
      </w:r>
      <w:r>
        <w:t xml:space="preserve"> </w:t>
      </w:r>
      <w:r>
        <w:tab/>
        <w:t>NGR, cl. 87(3).</w:t>
      </w:r>
    </w:p>
  </w:footnote>
  <w:footnote w:id="4">
    <w:p w:rsidR="000230CB" w:rsidRDefault="000230CB" w:rsidP="00785836">
      <w:pPr>
        <w:pStyle w:val="FootnoteText"/>
      </w:pPr>
      <w:r>
        <w:rPr>
          <w:rStyle w:val="FootnoteReference"/>
        </w:rPr>
        <w:footnoteRef/>
      </w:r>
      <w:r>
        <w:t xml:space="preserve"> </w:t>
      </w:r>
      <w:r>
        <w:tab/>
        <w:t xml:space="preserve">AGN, </w:t>
      </w:r>
      <w:r>
        <w:rPr>
          <w:rStyle w:val="AERtextitalic"/>
        </w:rPr>
        <w:t>Attachment 10.26, Response to draft decision: Rate of return</w:t>
      </w:r>
      <w:r>
        <w:t>, 6 January 2016, p. 89.</w:t>
      </w:r>
    </w:p>
  </w:footnote>
  <w:footnote w:id="5">
    <w:p w:rsidR="000230CB" w:rsidRDefault="000230CB" w:rsidP="00785836">
      <w:pPr>
        <w:pStyle w:val="FootnoteText"/>
      </w:pPr>
      <w:r>
        <w:rPr>
          <w:rStyle w:val="FootnoteReference"/>
        </w:rPr>
        <w:footnoteRef/>
      </w:r>
      <w:r>
        <w:t xml:space="preserve"> </w:t>
      </w:r>
      <w:r>
        <w:tab/>
        <w:t>NGR, cl. 87(4).</w:t>
      </w:r>
    </w:p>
  </w:footnote>
  <w:footnote w:id="6">
    <w:p w:rsidR="000230CB" w:rsidRDefault="000230CB" w:rsidP="007E6AB8">
      <w:pPr>
        <w:pStyle w:val="FootnoteText"/>
      </w:pPr>
      <w:r>
        <w:rPr>
          <w:rStyle w:val="FootnoteReference"/>
        </w:rPr>
        <w:footnoteRef/>
      </w:r>
      <w:r>
        <w:t xml:space="preserve"> </w:t>
      </w:r>
      <w:r>
        <w:tab/>
        <w:t xml:space="preserve">NER, cl. 6.5.2(b); NER, cl. 6A.6.2(b); NGR, r. 87(2). </w:t>
      </w:r>
    </w:p>
  </w:footnote>
  <w:footnote w:id="7">
    <w:p w:rsidR="000230CB" w:rsidRDefault="000230CB" w:rsidP="00785836">
      <w:pPr>
        <w:pStyle w:val="FootnoteText"/>
      </w:pPr>
      <w:r>
        <w:rPr>
          <w:rStyle w:val="FootnoteReference"/>
        </w:rPr>
        <w:footnoteRef/>
      </w:r>
      <w:r>
        <w:t xml:space="preserve"> </w:t>
      </w:r>
      <w:r>
        <w:tab/>
        <w:t>NGL, s. 28.</w:t>
      </w:r>
    </w:p>
  </w:footnote>
  <w:footnote w:id="8">
    <w:p w:rsidR="000230CB" w:rsidRDefault="000230CB">
      <w:pPr>
        <w:pStyle w:val="FootnoteText"/>
      </w:pPr>
      <w:r>
        <w:rPr>
          <w:rStyle w:val="FootnoteReference"/>
        </w:rPr>
        <w:footnoteRef/>
      </w:r>
      <w:r>
        <w:t xml:space="preserve"> </w:t>
      </w:r>
      <w:r>
        <w:tab/>
      </w:r>
      <w:r w:rsidRPr="009A39AD">
        <w:t xml:space="preserve">AGN, </w:t>
      </w:r>
      <w:r w:rsidRPr="009A39AD">
        <w:rPr>
          <w:rStyle w:val="AERtextitalic"/>
        </w:rPr>
        <w:t>Attachment 10.26 response to draft decision: Rate of return</w:t>
      </w:r>
      <w:r w:rsidRPr="009A39AD">
        <w:t>, January 2016</w:t>
      </w:r>
      <w:r>
        <w:t>.</w:t>
      </w:r>
    </w:p>
  </w:footnote>
  <w:footnote w:id="9">
    <w:p w:rsidR="000230CB" w:rsidRDefault="000230CB" w:rsidP="007E6AB8">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xml:space="preserve">, October 2015. Also see our most recent decisions on Ergon Energy and Energex. </w:t>
      </w:r>
    </w:p>
  </w:footnote>
  <w:footnote w:id="10">
    <w:p w:rsidR="000230CB" w:rsidRDefault="000230CB" w:rsidP="00A15DA6">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0230CB" w:rsidRDefault="000230CB" w:rsidP="00A15DA6">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0230CB" w:rsidRDefault="000230CB" w:rsidP="00785836">
      <w:pPr>
        <w:pStyle w:val="FootnoteText"/>
      </w:pPr>
      <w:r>
        <w:rPr>
          <w:rStyle w:val="FootnoteReference"/>
        </w:rPr>
        <w:footnoteRef/>
      </w:r>
      <w:r>
        <w:t xml:space="preserve"> </w:t>
      </w:r>
      <w:r>
        <w:tab/>
        <w:t xml:space="preserve">AER, </w:t>
      </w:r>
      <w:r>
        <w:rPr>
          <w:rStyle w:val="AERtextitalic"/>
        </w:rPr>
        <w:t>Draft decision</w:t>
      </w:r>
      <w:r w:rsidRPr="00A827ED">
        <w:rPr>
          <w:rStyle w:val="AERtextitalic"/>
        </w:rPr>
        <w:t xml:space="preserve">, </w:t>
      </w:r>
      <w:r>
        <w:rPr>
          <w:rStyle w:val="AERtextitalic"/>
        </w:rPr>
        <w:t>AGN</w:t>
      </w:r>
      <w:r w:rsidRPr="00A827ED">
        <w:rPr>
          <w:rStyle w:val="AERtextitalic"/>
        </w:rPr>
        <w:t xml:space="preserve"> d</w:t>
      </w:r>
      <w:r>
        <w:rPr>
          <w:rStyle w:val="AERtextitalic"/>
        </w:rPr>
        <w:t>istribution access arrangement 2016 to 20</w:t>
      </w:r>
      <w:r w:rsidRPr="00A827ED">
        <w:rPr>
          <w:rStyle w:val="AERtextitalic"/>
        </w:rPr>
        <w:t>2</w:t>
      </w:r>
      <w:r>
        <w:rPr>
          <w:rStyle w:val="AERtextitalic"/>
        </w:rPr>
        <w:t>1</w:t>
      </w:r>
      <w:r w:rsidRPr="00A827ED">
        <w:rPr>
          <w:rStyle w:val="AERtextitalic"/>
        </w:rPr>
        <w:t>, Attachment 3–Rate of return</w:t>
      </w:r>
      <w:r>
        <w:t>, October 2015.</w:t>
      </w:r>
    </w:p>
  </w:footnote>
  <w:footnote w:id="13">
    <w:p w:rsidR="000230CB" w:rsidRDefault="000230CB" w:rsidP="00FE1CFF">
      <w:pPr>
        <w:pStyle w:val="FootnoteText"/>
      </w:pPr>
      <w:r>
        <w:rPr>
          <w:rStyle w:val="FootnoteReference"/>
        </w:rPr>
        <w:footnoteRef/>
      </w:r>
      <w:r>
        <w:t xml:space="preserve"> </w:t>
      </w:r>
      <w:r>
        <w:tab/>
        <w:t>NER, cl. 6.2.8(c); NER, cl. 6A.6.2(c); NGR, r. 87(3).</w:t>
      </w:r>
    </w:p>
  </w:footnote>
  <w:footnote w:id="14">
    <w:p w:rsidR="000230CB" w:rsidRDefault="000230CB" w:rsidP="00785836">
      <w:pPr>
        <w:pStyle w:val="FootnoteText"/>
      </w:pPr>
      <w:r>
        <w:rPr>
          <w:rStyle w:val="FootnoteReference"/>
        </w:rPr>
        <w:footnoteRef/>
      </w:r>
      <w:r>
        <w:t xml:space="preserve"> </w:t>
      </w:r>
      <w:r>
        <w:tab/>
        <w:t xml:space="preserve">AGN, </w:t>
      </w:r>
      <w:r>
        <w:rPr>
          <w:rStyle w:val="AERtextitalic"/>
        </w:rPr>
        <w:t>Attachment 10.26, Response to draft decision: Rate of return</w:t>
      </w:r>
      <w:r>
        <w:t>, 6 January 2016, pp. 6, 10.</w:t>
      </w:r>
    </w:p>
  </w:footnote>
  <w:footnote w:id="15">
    <w:p w:rsidR="000230CB" w:rsidRDefault="000230CB" w:rsidP="00785836">
      <w:pPr>
        <w:pStyle w:val="FootnoteText"/>
      </w:pPr>
      <w:r>
        <w:rPr>
          <w:rStyle w:val="FootnoteReference"/>
        </w:rPr>
        <w:footnoteRef/>
      </w:r>
      <w:r>
        <w:t xml:space="preserve">     This final decision determines the return on debt methodology for the 2016-21 access arrangement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6">
    <w:p w:rsidR="000230CB" w:rsidRDefault="000230CB" w:rsidP="004F2761">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7">
    <w:p w:rsidR="000230CB" w:rsidRDefault="000230CB" w:rsidP="00785836">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w:t>
      </w:r>
      <w:r w:rsidRPr="004F2761">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8">
    <w:p w:rsidR="000230CB" w:rsidRDefault="000230CB" w:rsidP="00785836">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9">
    <w:p w:rsidR="000230CB" w:rsidRDefault="000230CB" w:rsidP="004F2761">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0">
    <w:p w:rsidR="000230CB" w:rsidRDefault="000230CB" w:rsidP="004F2761">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1">
    <w:p w:rsidR="000230CB" w:rsidRDefault="000230CB" w:rsidP="004F2761">
      <w:pPr>
        <w:pStyle w:val="FootnoteText"/>
      </w:pPr>
      <w:r>
        <w:rPr>
          <w:rStyle w:val="FootnoteReference"/>
        </w:rPr>
        <w:footnoteRef/>
      </w:r>
      <w:r>
        <w:t xml:space="preserve"> </w:t>
      </w:r>
      <w:r>
        <w:tab/>
        <w:t>For clarity, that is 100% of the base rate and DRP components of the allowed return on debt.</w:t>
      </w:r>
    </w:p>
  </w:footnote>
  <w:footnote w:id="22">
    <w:p w:rsidR="000230CB" w:rsidRDefault="000230CB" w:rsidP="004F2761">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3">
    <w:p w:rsidR="000230CB" w:rsidRDefault="000230CB" w:rsidP="004F2761">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24">
    <w:p w:rsidR="000230CB" w:rsidRDefault="000230CB" w:rsidP="004F2761">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5">
    <w:p w:rsidR="000230CB" w:rsidRDefault="000230CB" w:rsidP="00785836">
      <w:pPr>
        <w:pStyle w:val="FootnoteText"/>
      </w:pPr>
      <w:r>
        <w:rPr>
          <w:rStyle w:val="FootnoteReference"/>
        </w:rPr>
        <w:footnoteRef/>
      </w:r>
      <w:r>
        <w:t xml:space="preserve"> </w:t>
      </w:r>
      <w:r>
        <w:tab/>
        <w:t xml:space="preserve">AGN, </w:t>
      </w:r>
      <w:r>
        <w:rPr>
          <w:rStyle w:val="AERtextitalic"/>
        </w:rPr>
        <w:t>Attachment 10.26, Response to draft decision: Rate of return</w:t>
      </w:r>
      <w:r>
        <w:t>, 6 January 2016, p. 88.</w:t>
      </w:r>
    </w:p>
  </w:footnote>
  <w:footnote w:id="26">
    <w:p w:rsidR="000230CB" w:rsidRDefault="000230CB" w:rsidP="00785836">
      <w:pPr>
        <w:pStyle w:val="FootnoteText"/>
      </w:pPr>
      <w:r>
        <w:rPr>
          <w:rStyle w:val="FootnoteReference"/>
        </w:rPr>
        <w:footnoteRef/>
      </w:r>
      <w:r>
        <w:t xml:space="preserve"> </w:t>
      </w:r>
      <w:r>
        <w:tab/>
        <w:t xml:space="preserve">As per: Frontier Economics, </w:t>
      </w:r>
      <w:r w:rsidRPr="00E87EB1">
        <w:rPr>
          <w:rStyle w:val="AERtextitalic"/>
        </w:rPr>
        <w:t xml:space="preserve">The required return on equity under a foundation model approach: Report prepared for JEN, ActewAGL Distribution, AusNet Services, AGN, Citipower, Powercor and </w:t>
      </w:r>
      <w:r>
        <w:rPr>
          <w:rStyle w:val="AERtextitalic"/>
        </w:rPr>
        <w:t>AGN</w:t>
      </w:r>
      <w:r>
        <w:t>, January 2016.</w:t>
      </w:r>
    </w:p>
  </w:footnote>
  <w:footnote w:id="27">
    <w:p w:rsidR="000230CB" w:rsidRDefault="000230CB" w:rsidP="00785836">
      <w:pPr>
        <w:pStyle w:val="FootnoteText"/>
      </w:pPr>
      <w:r>
        <w:rPr>
          <w:rStyle w:val="FootnoteReference"/>
        </w:rPr>
        <w:footnoteRef/>
      </w:r>
      <w:r>
        <w:t xml:space="preserve"> </w:t>
      </w:r>
      <w:r>
        <w:tab/>
        <w:t>In AGN's initial access arrangement proposal, SFG's estimates of the SLCAPM, Black CAPM, Fama</w:t>
      </w:r>
      <w:r>
        <w:rPr>
          <w:rFonts w:cs="Gautami"/>
        </w:rPr>
        <w:t>–</w:t>
      </w:r>
      <w:r>
        <w:t>French three factor model and DGM were weighted 12.5%, 25%, 37.5% and 25% respectively.  AGN</w:t>
      </w:r>
      <w:r w:rsidRPr="00B611A8">
        <w:t xml:space="preserve">, </w:t>
      </w:r>
      <w:r>
        <w:rPr>
          <w:rStyle w:val="AERtextitalic"/>
        </w:rPr>
        <w:t>Access arrangement information for AGN's SA natural gas distribution network</w:t>
      </w:r>
      <w:r>
        <w:t>, July 2015, p. 173.</w:t>
      </w:r>
    </w:p>
  </w:footnote>
  <w:footnote w:id="28">
    <w:p w:rsidR="000230CB" w:rsidRDefault="000230CB" w:rsidP="00785836">
      <w:pPr>
        <w:pStyle w:val="FootnoteText"/>
      </w:pPr>
      <w:r>
        <w:rPr>
          <w:rStyle w:val="FootnoteReference"/>
        </w:rPr>
        <w:footnoteRef/>
      </w:r>
      <w:r>
        <w:t xml:space="preserve"> </w:t>
      </w:r>
      <w:r>
        <w:tab/>
        <w:t xml:space="preserve">AGN, </w:t>
      </w:r>
      <w:r>
        <w:rPr>
          <w:rStyle w:val="AERtextitalic"/>
        </w:rPr>
        <w:t>Attachment 10.26, Response to draft decision: Rate of return</w:t>
      </w:r>
      <w:r>
        <w:t>, 6 January 2016, p. 86</w:t>
      </w:r>
      <w:r w:rsidRPr="00410847">
        <w:rPr>
          <w:rStyle w:val="AERtextitalic"/>
          <w:i w:val="0"/>
        </w:rPr>
        <w:t>.</w:t>
      </w:r>
    </w:p>
  </w:footnote>
  <w:footnote w:id="29">
    <w:p w:rsidR="000230CB" w:rsidRDefault="000230CB" w:rsidP="004C2FA9">
      <w:pPr>
        <w:pStyle w:val="FootnoteText"/>
      </w:pPr>
      <w:r>
        <w:rPr>
          <w:rStyle w:val="FootnoteReference"/>
        </w:rPr>
        <w:footnoteRef/>
      </w:r>
      <w:r>
        <w:t xml:space="preserve"> </w:t>
      </w:r>
      <w:r>
        <w:tab/>
        <w:t xml:space="preserve">AGN, </w:t>
      </w:r>
      <w:r>
        <w:rPr>
          <w:rStyle w:val="AERtextitalic"/>
        </w:rPr>
        <w:t>Attachment 10.26, Response to draft decision: Rate of return</w:t>
      </w:r>
      <w:r>
        <w:t>, 6 January 2016, pp. 86</w:t>
      </w:r>
      <w:r>
        <w:rPr>
          <w:rFonts w:cs="Arial"/>
        </w:rPr>
        <w:t>–</w:t>
      </w:r>
      <w:r>
        <w:t>7</w:t>
      </w:r>
      <w:r>
        <w:rPr>
          <w:rStyle w:val="AERtextitalic"/>
        </w:rPr>
        <w:t>.</w:t>
      </w:r>
    </w:p>
  </w:footnote>
  <w:footnote w:id="30">
    <w:p w:rsidR="000230CB" w:rsidRDefault="000230CB" w:rsidP="004F2761">
      <w:pPr>
        <w:pStyle w:val="FootnoteText"/>
      </w:pPr>
      <w:r>
        <w:rPr>
          <w:rStyle w:val="FootnoteReference"/>
        </w:rPr>
        <w:footnoteRef/>
      </w:r>
      <w:r>
        <w:t xml:space="preserve"> </w:t>
      </w:r>
      <w:r>
        <w:tab/>
        <w:t>NGL, s. 28(1)(a).</w:t>
      </w:r>
    </w:p>
  </w:footnote>
  <w:footnote w:id="31">
    <w:p w:rsidR="000230CB" w:rsidRDefault="000230CB" w:rsidP="004F2761">
      <w:pPr>
        <w:pStyle w:val="FootnoteText"/>
      </w:pPr>
      <w:r>
        <w:rPr>
          <w:rStyle w:val="FootnoteReference"/>
        </w:rPr>
        <w:footnoteRef/>
      </w:r>
      <w:r>
        <w:t xml:space="preserve"> </w:t>
      </w:r>
      <w:r>
        <w:tab/>
        <w:t>NGL, s. 23.</w:t>
      </w:r>
    </w:p>
  </w:footnote>
  <w:footnote w:id="32">
    <w:p w:rsidR="000230CB" w:rsidRDefault="000230CB" w:rsidP="004F2761">
      <w:pPr>
        <w:pStyle w:val="FootnoteText"/>
      </w:pPr>
      <w:r>
        <w:rPr>
          <w:rStyle w:val="FootnoteReference"/>
        </w:rPr>
        <w:footnoteRef/>
      </w:r>
      <w:r>
        <w:t xml:space="preserve"> </w:t>
      </w:r>
      <w:r>
        <w:tab/>
        <w:t>NGL, s. 28(2)(a)(i).</w:t>
      </w:r>
    </w:p>
  </w:footnote>
  <w:footnote w:id="33">
    <w:p w:rsidR="000230CB" w:rsidRDefault="000230CB" w:rsidP="004F2761">
      <w:pPr>
        <w:pStyle w:val="FootnoteText"/>
      </w:pPr>
      <w:r>
        <w:rPr>
          <w:rStyle w:val="FootnoteReference"/>
        </w:rPr>
        <w:footnoteRef/>
      </w:r>
      <w:r>
        <w:t xml:space="preserve"> </w:t>
      </w:r>
      <w:r>
        <w:tab/>
        <w:t>NGL, s. 24(2)(a).</w:t>
      </w:r>
    </w:p>
  </w:footnote>
  <w:footnote w:id="34">
    <w:p w:rsidR="000230CB" w:rsidRDefault="000230CB" w:rsidP="004F2761">
      <w:pPr>
        <w:pStyle w:val="FootnoteText"/>
      </w:pPr>
      <w:r>
        <w:rPr>
          <w:rStyle w:val="FootnoteReference"/>
        </w:rPr>
        <w:footnoteRef/>
      </w:r>
      <w:r>
        <w:t xml:space="preserve"> </w:t>
      </w:r>
      <w:r>
        <w:tab/>
        <w:t>NGL, s. 24(3).</w:t>
      </w:r>
    </w:p>
  </w:footnote>
  <w:footnote w:id="35">
    <w:p w:rsidR="000230CB" w:rsidRDefault="000230CB" w:rsidP="004F2761">
      <w:pPr>
        <w:pStyle w:val="FootnoteText"/>
      </w:pPr>
      <w:r>
        <w:rPr>
          <w:rStyle w:val="FootnoteReference"/>
        </w:rPr>
        <w:footnoteRef/>
      </w:r>
      <w:r>
        <w:t xml:space="preserve"> </w:t>
      </w:r>
      <w:r>
        <w:tab/>
        <w:t>NGL, s. 24(5).</w:t>
      </w:r>
    </w:p>
  </w:footnote>
  <w:footnote w:id="36">
    <w:p w:rsidR="000230CB" w:rsidRDefault="000230CB" w:rsidP="004F2761">
      <w:pPr>
        <w:pStyle w:val="FootnoteText"/>
      </w:pPr>
      <w:r>
        <w:rPr>
          <w:rStyle w:val="FootnoteReference"/>
        </w:rPr>
        <w:footnoteRef/>
      </w:r>
      <w:r>
        <w:t xml:space="preserve"> </w:t>
      </w:r>
      <w:r>
        <w:tab/>
        <w:t>NGL, s. 24(6).</w:t>
      </w:r>
    </w:p>
  </w:footnote>
  <w:footnote w:id="37">
    <w:p w:rsidR="000230CB" w:rsidRDefault="000230CB" w:rsidP="004F2761">
      <w:pPr>
        <w:pStyle w:val="FootnoteText"/>
      </w:pPr>
      <w:r>
        <w:rPr>
          <w:rStyle w:val="FootnoteReference"/>
        </w:rPr>
        <w:footnoteRef/>
      </w:r>
      <w:r>
        <w:t xml:space="preserve"> </w:t>
      </w:r>
      <w:r>
        <w:tab/>
        <w:t>NGL, s. 24(7).</w:t>
      </w:r>
    </w:p>
  </w:footnote>
  <w:footnote w:id="38">
    <w:p w:rsidR="000230CB" w:rsidRPr="00D5405B" w:rsidRDefault="000230CB" w:rsidP="004F2761">
      <w:pPr>
        <w:pStyle w:val="FootnoteText"/>
        <w:rPr>
          <w:rStyle w:val="AERtexthighlight"/>
        </w:rPr>
      </w:pPr>
      <w:r>
        <w:rPr>
          <w:rStyle w:val="FootnoteReference"/>
        </w:rPr>
        <w:footnoteRef/>
      </w:r>
      <w:r>
        <w:t xml:space="preserve"> </w:t>
      </w:r>
      <w:r>
        <w:tab/>
        <w:t>NER, cl. 6.5.2(d); NER, cl. 6A.6.2(d); NGR, r, 87(4).</w:t>
      </w:r>
    </w:p>
  </w:footnote>
  <w:footnote w:id="39">
    <w:p w:rsidR="000230CB" w:rsidRDefault="000230CB" w:rsidP="004F2761">
      <w:pPr>
        <w:pStyle w:val="FootnoteText"/>
      </w:pPr>
      <w:r>
        <w:rPr>
          <w:rStyle w:val="FootnoteReference"/>
        </w:rPr>
        <w:footnoteRef/>
      </w:r>
      <w:r>
        <w:t xml:space="preserve"> </w:t>
      </w:r>
      <w:r>
        <w:tab/>
        <w:t>NER, cl. 6.5.2(e), NER cl, 6A.6.2(e); NGR, r. 87(5).</w:t>
      </w:r>
    </w:p>
  </w:footnote>
  <w:footnote w:id="40">
    <w:p w:rsidR="000230CB" w:rsidRDefault="000230CB" w:rsidP="004F2761">
      <w:pPr>
        <w:pStyle w:val="FootnoteText"/>
      </w:pPr>
      <w:r>
        <w:rPr>
          <w:rStyle w:val="FootnoteReference"/>
        </w:rPr>
        <w:footnoteRef/>
      </w:r>
      <w:r>
        <w:t xml:space="preserve"> </w:t>
      </w:r>
      <w:r>
        <w:tab/>
        <w:t>NER, cl  6.5.2</w:t>
      </w:r>
      <w:r w:rsidRPr="00A7067C">
        <w:t>(g)</w:t>
      </w:r>
      <w:r>
        <w:t xml:space="preserve">; NER, cl 6A.6.2(g); NGR, r. 87 (7). </w:t>
      </w:r>
    </w:p>
  </w:footnote>
  <w:footnote w:id="41">
    <w:p w:rsidR="000230CB" w:rsidRDefault="000230CB" w:rsidP="004F2761">
      <w:pPr>
        <w:pStyle w:val="FootnoteText"/>
      </w:pPr>
      <w:r>
        <w:rPr>
          <w:rStyle w:val="FootnoteReference"/>
        </w:rPr>
        <w:footnoteRef/>
      </w:r>
      <w:r>
        <w:t xml:space="preserve"> </w:t>
      </w:r>
      <w:r>
        <w:tab/>
        <w:t xml:space="preserve">NER, cl. 6.5.2 (h); NER, cl. 6A.6.2(h); NGR, cl. 87(8). </w:t>
      </w:r>
    </w:p>
  </w:footnote>
  <w:footnote w:id="42">
    <w:p w:rsidR="000230CB" w:rsidRDefault="000230CB" w:rsidP="004F2761">
      <w:pPr>
        <w:pStyle w:val="FootnoteText"/>
      </w:pPr>
      <w:r>
        <w:rPr>
          <w:rStyle w:val="FootnoteReference"/>
        </w:rPr>
        <w:footnoteRef/>
      </w:r>
      <w:r>
        <w:t xml:space="preserve"> </w:t>
      </w:r>
      <w:r>
        <w:tab/>
        <w:t>NER, cl. 6.5.2 (i); NER, cl. 6A.6.2(i)(2); NGR, cl. 87(9)(b).</w:t>
      </w:r>
    </w:p>
  </w:footnote>
  <w:footnote w:id="43">
    <w:p w:rsidR="000230CB" w:rsidRDefault="000230CB" w:rsidP="004F2761">
      <w:pPr>
        <w:pStyle w:val="FootnoteText"/>
      </w:pPr>
      <w:r>
        <w:rPr>
          <w:rStyle w:val="FootnoteReference"/>
        </w:rPr>
        <w:footnoteRef/>
      </w:r>
      <w:r>
        <w:t xml:space="preserve"> </w:t>
      </w:r>
      <w:r>
        <w:tab/>
        <w:t>NER, cl. 6.5.2 (k)(4); NER, cl. 6A.6.2(k)(4); NGR, cl. 87(11)(d).</w:t>
      </w:r>
    </w:p>
  </w:footnote>
  <w:footnote w:id="44">
    <w:p w:rsidR="000230CB" w:rsidRDefault="000230CB" w:rsidP="004F2761">
      <w:pPr>
        <w:pStyle w:val="FootnoteText"/>
      </w:pPr>
      <w:r>
        <w:rPr>
          <w:rStyle w:val="FootnoteReference"/>
        </w:rPr>
        <w:footnoteRef/>
      </w:r>
      <w:r>
        <w:t xml:space="preserve"> </w:t>
      </w:r>
      <w:r>
        <w:tab/>
        <w:t xml:space="preserve">NER, cl. 6.5.2(c); NER, cl. 6A.6.2(c); NGR r. 87(3). </w:t>
      </w:r>
    </w:p>
  </w:footnote>
  <w:footnote w:id="45">
    <w:p w:rsidR="000230CB" w:rsidRDefault="000230CB" w:rsidP="004F2761">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6">
    <w:p w:rsidR="000230CB" w:rsidRDefault="000230CB" w:rsidP="004F2761">
      <w:pPr>
        <w:pStyle w:val="FootnoteText"/>
      </w:pPr>
      <w:r>
        <w:rPr>
          <w:rStyle w:val="FootnoteReference"/>
        </w:rPr>
        <w:footnoteRef/>
      </w:r>
      <w:r>
        <w:t xml:space="preserve"> </w:t>
      </w:r>
      <w:r>
        <w:tab/>
        <w:t xml:space="preserve">See section 2.1 of </w:t>
      </w:r>
      <w:r w:rsidRPr="00067443">
        <w:t xml:space="preserve">Appendix </w:t>
      </w:r>
      <w:r w:rsidRPr="00067443">
        <w:fldChar w:fldCharType="begin"/>
      </w:r>
      <w:r w:rsidRPr="00067443">
        <w:instrText xml:space="preserve"> REF _Ref451328843 \r \h </w:instrText>
      </w:r>
      <w:r w:rsidRPr="00067443">
        <w:fldChar w:fldCharType="separate"/>
      </w:r>
      <w:r>
        <w:t>H</w:t>
      </w:r>
      <w:r w:rsidRPr="00067443">
        <w:fldChar w:fldCharType="end"/>
      </w:r>
      <w:r>
        <w:t>.</w:t>
      </w:r>
    </w:p>
  </w:footnote>
  <w:footnote w:id="47">
    <w:p w:rsidR="000230CB" w:rsidRDefault="000230CB" w:rsidP="004F276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8">
    <w:p w:rsidR="000230CB" w:rsidRDefault="000230CB" w:rsidP="004F2761">
      <w:pPr>
        <w:pStyle w:val="FootnoteText"/>
      </w:pPr>
      <w:r>
        <w:rPr>
          <w:rStyle w:val="FootnoteReference"/>
        </w:rPr>
        <w:footnoteRef/>
      </w:r>
      <w:r>
        <w:t xml:space="preserve"> </w:t>
      </w:r>
      <w:r>
        <w:tab/>
        <w:t xml:space="preserve">This includes both new and existing investment. </w:t>
      </w:r>
    </w:p>
  </w:footnote>
  <w:footnote w:id="49">
    <w:p w:rsidR="000230CB" w:rsidRDefault="000230CB" w:rsidP="004F2761">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0">
    <w:p w:rsidR="000230CB" w:rsidRDefault="000230CB" w:rsidP="004F2761">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1">
    <w:p w:rsidR="000230CB" w:rsidRDefault="000230CB" w:rsidP="004F276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2">
    <w:p w:rsidR="000230CB" w:rsidRDefault="000230CB" w:rsidP="004F2761">
      <w:pPr>
        <w:pStyle w:val="FootnoteText"/>
      </w:pPr>
      <w:r>
        <w:rPr>
          <w:rStyle w:val="FootnoteReference"/>
        </w:rPr>
        <w:footnoteRef/>
      </w:r>
      <w:r>
        <w:t xml:space="preserve"> </w:t>
      </w:r>
      <w:r>
        <w:tab/>
        <w:t xml:space="preserve">See sections 1.1 and 2.1 of </w:t>
      </w:r>
      <w:r w:rsidRPr="00067443">
        <w:t xml:space="preserve">Appendix </w:t>
      </w:r>
      <w:r w:rsidRPr="00067443">
        <w:fldChar w:fldCharType="begin"/>
      </w:r>
      <w:r w:rsidRPr="00067443">
        <w:instrText xml:space="preserve"> REF _Ref451328843 \r \h </w:instrText>
      </w:r>
      <w:r w:rsidRPr="00067443">
        <w:fldChar w:fldCharType="separate"/>
      </w:r>
      <w:r>
        <w:t>H</w:t>
      </w:r>
      <w:r w:rsidRPr="00067443">
        <w:fldChar w:fldCharType="end"/>
      </w:r>
      <w:r>
        <w:t>.</w:t>
      </w:r>
    </w:p>
  </w:footnote>
  <w:footnote w:id="53">
    <w:p w:rsidR="000230CB" w:rsidRDefault="000230CB" w:rsidP="004F276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4">
    <w:p w:rsidR="000230CB" w:rsidRDefault="000230CB" w:rsidP="004F2761">
      <w:pPr>
        <w:pStyle w:val="FootnoteText"/>
      </w:pPr>
      <w:r>
        <w:rPr>
          <w:rStyle w:val="FootnoteReference"/>
        </w:rPr>
        <w:footnoteRef/>
      </w:r>
      <w:r>
        <w:t xml:space="preserve"> </w:t>
      </w:r>
      <w:r>
        <w:tab/>
        <w:t>Bishop, S., Faff, R., Oliver, B., Twite, G., 'Corporate Finance', Ed. 5 Pearson Prentice Hall, 2004, p. 577.</w:t>
      </w:r>
    </w:p>
  </w:footnote>
  <w:footnote w:id="55">
    <w:p w:rsidR="000230CB" w:rsidRDefault="000230CB" w:rsidP="004F2761">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6">
    <w:p w:rsidR="000230CB" w:rsidRDefault="000230CB" w:rsidP="004F2761">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7">
    <w:p w:rsidR="000230CB" w:rsidRDefault="000230CB" w:rsidP="004F2761">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8">
    <w:p w:rsidR="000230CB" w:rsidRDefault="000230CB" w:rsidP="004F2761">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9">
    <w:p w:rsidR="000230CB" w:rsidRDefault="000230CB" w:rsidP="004F2761">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0">
    <w:p w:rsidR="000230CB" w:rsidRDefault="000230CB" w:rsidP="004F2761">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1">
    <w:p w:rsidR="000230CB" w:rsidRDefault="000230CB" w:rsidP="004F2761">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July 2013.</w:t>
      </w:r>
    </w:p>
  </w:footnote>
  <w:footnote w:id="62">
    <w:p w:rsidR="000230CB" w:rsidRDefault="000230CB" w:rsidP="004F2761">
      <w:pPr>
        <w:pStyle w:val="FootnoteText"/>
      </w:pPr>
      <w:r>
        <w:rPr>
          <w:rStyle w:val="FootnoteReference"/>
        </w:rPr>
        <w:footnoteRef/>
      </w:r>
      <w:r>
        <w:t xml:space="preserve"> </w:t>
      </w:r>
      <w:r>
        <w:tab/>
      </w:r>
      <w:r w:rsidRPr="007D32F9">
        <w:t>NER, cls. 6.5.2(c), 6A.6.2(c); NGR, r. 87(2)(3).</w:t>
      </w:r>
    </w:p>
  </w:footnote>
  <w:footnote w:id="63">
    <w:p w:rsidR="000230CB" w:rsidRPr="00866141" w:rsidRDefault="000230CB" w:rsidP="00866141">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4">
    <w:p w:rsidR="000230CB" w:rsidRDefault="000230CB" w:rsidP="004F2761">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5">
    <w:p w:rsidR="000230CB" w:rsidRDefault="000230CB" w:rsidP="004F2761">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6">
    <w:p w:rsidR="000230CB" w:rsidRDefault="000230CB" w:rsidP="004F2761">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7">
    <w:p w:rsidR="000230CB" w:rsidRDefault="000230CB" w:rsidP="004F2761">
      <w:pPr>
        <w:pStyle w:val="FootnoteText"/>
      </w:pPr>
      <w:r>
        <w:rPr>
          <w:rStyle w:val="FootnoteReference"/>
        </w:rPr>
        <w:footnoteRef/>
      </w:r>
      <w:r>
        <w:t xml:space="preserve"> </w:t>
      </w:r>
      <w:r>
        <w:tab/>
        <w:t xml:space="preserve">NGR </w:t>
      </w:r>
      <w:r w:rsidRPr="00866141">
        <w:t xml:space="preserve">87(3). </w:t>
      </w:r>
      <w:r>
        <w:t xml:space="preserve">Instead of 'reference services', the NER refer to 'prescribed transmission services' for transmission and 'standard control services' for distribution. See NER 6A.6.2(c) and </w:t>
      </w:r>
      <w:r w:rsidRPr="00866141">
        <w:t xml:space="preserve">NER 6.5.2(c). </w:t>
      </w:r>
    </w:p>
  </w:footnote>
  <w:footnote w:id="68">
    <w:p w:rsidR="000230CB" w:rsidRDefault="000230CB" w:rsidP="004F2761">
      <w:pPr>
        <w:pStyle w:val="FootnoteText"/>
      </w:pPr>
      <w:r>
        <w:rPr>
          <w:rStyle w:val="FootnoteReference"/>
        </w:rPr>
        <w:footnoteRef/>
      </w:r>
      <w:r>
        <w:t xml:space="preserve"> </w:t>
      </w:r>
      <w:r>
        <w:tab/>
        <w:t>NGL, Chapter 1, Part 1 (2</w:t>
      </w:r>
      <w:r>
        <w:rPr>
          <w:rFonts w:cs="Arial"/>
        </w:rPr>
        <w:t>—</w:t>
      </w:r>
      <w:r>
        <w:t xml:space="preserve">Definitions). </w:t>
      </w:r>
    </w:p>
  </w:footnote>
  <w:footnote w:id="69">
    <w:p w:rsidR="000230CB" w:rsidRDefault="000230CB" w:rsidP="004F2761">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0">
    <w:p w:rsidR="000230CB" w:rsidRDefault="000230CB" w:rsidP="004F2761">
      <w:pPr>
        <w:pStyle w:val="FootnoteText"/>
      </w:pPr>
      <w:r>
        <w:rPr>
          <w:rStyle w:val="FootnoteReference"/>
        </w:rPr>
        <w:footnoteRef/>
      </w:r>
      <w:r>
        <w:t xml:space="preserve"> </w:t>
      </w:r>
      <w:r>
        <w:tab/>
        <w:t>See NGL, Chapter 1, Part 1 (2</w:t>
      </w:r>
      <w:r w:rsidRPr="00020C31">
        <w:t>—</w:t>
      </w:r>
      <w:r>
        <w:t xml:space="preserve">Definitions). '. </w:t>
      </w:r>
    </w:p>
  </w:footnote>
  <w:footnote w:id="71">
    <w:p w:rsidR="000230CB" w:rsidRDefault="000230CB" w:rsidP="004F2761">
      <w:pPr>
        <w:pStyle w:val="FootnoteText"/>
      </w:pPr>
      <w:r>
        <w:rPr>
          <w:rStyle w:val="FootnoteReference"/>
        </w:rPr>
        <w:footnoteRef/>
      </w:r>
      <w:r>
        <w:t xml:space="preserve"> </w:t>
      </w:r>
      <w:r>
        <w:tab/>
        <w:t>Bishop, S., Faff, R., Oliver, B., Twite, G., 'Corporate Finance', Ed. 5 Pearson Prentice Hall, 2004, p. 577.</w:t>
      </w:r>
    </w:p>
  </w:footnote>
  <w:footnote w:id="72">
    <w:p w:rsidR="000230CB" w:rsidRDefault="000230CB" w:rsidP="004F2761">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3">
    <w:p w:rsidR="000230CB" w:rsidRDefault="000230CB" w:rsidP="004F2761">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4">
    <w:p w:rsidR="000230CB" w:rsidRDefault="000230CB" w:rsidP="004F2761">
      <w:pPr>
        <w:pStyle w:val="FootnoteText"/>
      </w:pPr>
      <w:r>
        <w:rPr>
          <w:rStyle w:val="FootnoteReference"/>
        </w:rPr>
        <w:footnoteRef/>
      </w:r>
      <w:r>
        <w:t xml:space="preserve"> </w:t>
      </w:r>
      <w:r>
        <w:tab/>
        <w:t>Brealey, R., Myers, S., Allen, F., 'Principles of corporate finance', 2011, Ed. 10, McGraw-Hill Irwin, Figure 8.2, p. 187.</w:t>
      </w:r>
    </w:p>
  </w:footnote>
  <w:footnote w:id="75">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6">
    <w:p w:rsidR="000230CB" w:rsidRDefault="000230CB" w:rsidP="004F2761">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7">
    <w:p w:rsidR="000230CB" w:rsidRDefault="000230CB" w:rsidP="004F2761">
      <w:pPr>
        <w:pStyle w:val="FootnoteText"/>
      </w:pPr>
      <w:r>
        <w:rPr>
          <w:rStyle w:val="FootnoteReference"/>
        </w:rPr>
        <w:footnoteRef/>
      </w:r>
      <w:r>
        <w:t xml:space="preserve"> </w:t>
      </w:r>
      <w:r>
        <w:tab/>
        <w:t xml:space="preserve">Frontier Economics, </w:t>
      </w:r>
      <w:r w:rsidRPr="00A56F1B">
        <w:rPr>
          <w:rStyle w:val="AERtextitalic"/>
        </w:rPr>
        <w:t>Assessing risk when determining the appropriate rate of return for regulated energy networks in Australia</w:t>
      </w:r>
      <w:r>
        <w:t xml:space="preserve">, July 2013, p. 4. </w:t>
      </w:r>
    </w:p>
  </w:footnote>
  <w:footnote w:id="78">
    <w:p w:rsidR="000230CB" w:rsidRDefault="000230CB" w:rsidP="004F2761">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79">
    <w:p w:rsidR="000230CB" w:rsidRDefault="000230CB" w:rsidP="004F2761">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13.</w:t>
      </w:r>
    </w:p>
  </w:footnote>
  <w:footnote w:id="80">
    <w:p w:rsidR="000230CB" w:rsidRDefault="000230CB" w:rsidP="004F2761">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1">
    <w:p w:rsidR="000230CB" w:rsidRDefault="000230CB" w:rsidP="004F2761">
      <w:pPr>
        <w:pStyle w:val="FootnoteText"/>
      </w:pPr>
      <w:r>
        <w:rPr>
          <w:rStyle w:val="FootnoteReference"/>
        </w:rPr>
        <w:footnoteRef/>
      </w:r>
      <w:r>
        <w:t xml:space="preserve"> </w:t>
      </w:r>
      <w:r>
        <w:tab/>
        <w:t>That is, standard control services as referred to in NER 6.5.2(c), prescribed transmission services as referred to in NER  6A.6.2(c), or 'reference services' as referred to in NGR  87(3).</w:t>
      </w:r>
    </w:p>
  </w:footnote>
  <w:footnote w:id="82">
    <w:p w:rsidR="000230CB" w:rsidRDefault="000230CB" w:rsidP="004F276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3">
    <w:p w:rsidR="000230CB" w:rsidRDefault="000230CB" w:rsidP="004F2761">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4">
    <w:p w:rsidR="000230CB" w:rsidRDefault="000230CB" w:rsidP="004F276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5">
    <w:p w:rsidR="000230CB" w:rsidRDefault="000230CB" w:rsidP="004F2761">
      <w:pPr>
        <w:pStyle w:val="FootnoteText"/>
      </w:pPr>
      <w:r>
        <w:rPr>
          <w:rStyle w:val="FootnoteReference"/>
        </w:rPr>
        <w:footnoteRef/>
      </w:r>
      <w:r>
        <w:t xml:space="preserve"> </w:t>
      </w:r>
      <w:r>
        <w:tab/>
        <w:t>NER, cl. 6.5.2(k) and cl. 6A.6.2(k); NGR, r.87(11).</w:t>
      </w:r>
    </w:p>
  </w:footnote>
  <w:footnote w:id="86">
    <w:p w:rsidR="000230CB" w:rsidRDefault="000230CB" w:rsidP="004F2761">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7">
    <w:p w:rsidR="000230CB" w:rsidRDefault="000230CB" w:rsidP="004F2761">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8">
    <w:p w:rsidR="000230CB" w:rsidRDefault="000230CB" w:rsidP="004F2761">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89">
    <w:p w:rsidR="000230CB" w:rsidRDefault="000230CB" w:rsidP="004F2761">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0">
    <w:p w:rsidR="000230CB" w:rsidRDefault="000230CB" w:rsidP="004F2761">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March 2010, pp. 40, 57; AER, Final decision—NT Gas: Access arrangement proposal for the Amadeus Gas Pipeline August 2011 to June 2016, July 2011, p. 78.</w:t>
      </w:r>
    </w:p>
  </w:footnote>
  <w:footnote w:id="91">
    <w:p w:rsidR="000230CB" w:rsidRDefault="000230CB" w:rsidP="004F2761">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2">
    <w:p w:rsidR="000230CB" w:rsidRDefault="000230CB" w:rsidP="004F2761">
      <w:pPr>
        <w:pStyle w:val="FootnoteText"/>
      </w:pPr>
      <w:r>
        <w:rPr>
          <w:rStyle w:val="FootnoteReference"/>
        </w:rPr>
        <w:footnoteRef/>
      </w:r>
      <w:r>
        <w:t xml:space="preserve"> </w:t>
      </w:r>
      <w:r>
        <w:tab/>
        <w:t>NER cl. 6.5.2(l) and cl. 6A.6.2(l), NGR, r.87(12).</w:t>
      </w:r>
    </w:p>
  </w:footnote>
  <w:footnote w:id="93">
    <w:p w:rsidR="000230CB" w:rsidRDefault="000230CB" w:rsidP="004F2761">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4">
    <w:p w:rsidR="000230CB" w:rsidRDefault="000230CB" w:rsidP="004F2761">
      <w:pPr>
        <w:pStyle w:val="FootnoteText"/>
      </w:pPr>
      <w:r>
        <w:rPr>
          <w:rStyle w:val="FootnoteReference"/>
        </w:rPr>
        <w:footnoteRef/>
      </w:r>
      <w:r>
        <w:t xml:space="preserve"> </w:t>
      </w:r>
      <w:r>
        <w:tab/>
        <w:t>NGR, cl. 87(18); NER, cl. 6.2.8(c).</w:t>
      </w:r>
    </w:p>
  </w:footnote>
  <w:footnote w:id="95">
    <w:p w:rsidR="000230CB" w:rsidRDefault="000230CB" w:rsidP="004F2761">
      <w:pPr>
        <w:pStyle w:val="FootnoteText"/>
      </w:pPr>
      <w:r>
        <w:rPr>
          <w:rStyle w:val="FootnoteReference"/>
        </w:rPr>
        <w:footnoteRef/>
      </w:r>
      <w:r>
        <w:t xml:space="preserve"> </w:t>
      </w:r>
      <w:r>
        <w:tab/>
        <w:t>NER, cl. S6.1.3(9),(9A),(9B).</w:t>
      </w:r>
    </w:p>
  </w:footnote>
  <w:footnote w:id="96">
    <w:p w:rsidR="000230CB" w:rsidRDefault="000230CB" w:rsidP="004F2761">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7">
    <w:p w:rsidR="000230CB" w:rsidRDefault="000230CB" w:rsidP="004F2761">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98">
    <w:p w:rsidR="000230CB" w:rsidRDefault="000230CB" w:rsidP="004F2761">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99">
    <w:p w:rsidR="000230CB" w:rsidRDefault="000230CB" w:rsidP="004F2761">
      <w:pPr>
        <w:pStyle w:val="FootnoteText"/>
      </w:pPr>
      <w:r>
        <w:rPr>
          <w:rStyle w:val="FootnoteReference"/>
        </w:rPr>
        <w:footnoteRef/>
      </w:r>
      <w:r>
        <w:t xml:space="preserve"> </w:t>
      </w:r>
      <w:r>
        <w:tab/>
        <w:t>NER, cl. 6.5.2 (n), NER, cl. 6A.6.2(n);</w:t>
      </w:r>
      <w:r w:rsidRPr="009416A4">
        <w:t xml:space="preserve"> </w:t>
      </w:r>
      <w:r>
        <w:t>NGR, cl. 87(14).</w:t>
      </w:r>
    </w:p>
  </w:footnote>
  <w:footnote w:id="100">
    <w:p w:rsidR="000230CB" w:rsidRDefault="000230CB" w:rsidP="004F2761">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1">
    <w:p w:rsidR="000230CB" w:rsidRDefault="000230CB" w:rsidP="004F2761">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2">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3">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104">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5">
    <w:p w:rsidR="000230CB" w:rsidRDefault="000230CB" w:rsidP="004F2761">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0230CB" w:rsidRDefault="000230CB" w:rsidP="004F2761">
      <w:pPr>
        <w:pStyle w:val="FootnoteText"/>
      </w:pPr>
    </w:p>
  </w:footnote>
  <w:footnote w:id="106">
    <w:p w:rsidR="000230CB" w:rsidRDefault="000230CB" w:rsidP="004F2761">
      <w:pPr>
        <w:pStyle w:val="FootnoteText"/>
      </w:pPr>
      <w:r>
        <w:rPr>
          <w:rStyle w:val="FootnoteReference"/>
        </w:rPr>
        <w:footnoteRef/>
      </w:r>
      <w:r>
        <w:t xml:space="preserve"> </w:t>
      </w:r>
      <w:r>
        <w:tab/>
        <w:t>This final decision determines the return on debt methodology for the 2016–201 access arrangement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NGR, the return on debt methodology must be determined in future decisions that relate to that period.</w:t>
      </w:r>
    </w:p>
  </w:footnote>
  <w:footnote w:id="107">
    <w:p w:rsidR="000230CB" w:rsidRDefault="000230CB" w:rsidP="004F2761">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8">
    <w:p w:rsidR="000230CB" w:rsidRDefault="000230CB" w:rsidP="004F2761">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09">
    <w:p w:rsidR="000230CB" w:rsidRDefault="000230CB" w:rsidP="004F2761">
      <w:pPr>
        <w:pStyle w:val="FootnoteText"/>
      </w:pPr>
      <w:r>
        <w:rPr>
          <w:rStyle w:val="FootnoteReference"/>
        </w:rPr>
        <w:footnoteRef/>
      </w:r>
      <w:r>
        <w:t xml:space="preserve"> </w:t>
      </w:r>
      <w:r>
        <w:tab/>
        <w:t>NER, cl. 6.5.2(i); NER, cl. 6A.6.2(i); NGR r. 87(9).</w:t>
      </w:r>
    </w:p>
  </w:footnote>
  <w:footnote w:id="110">
    <w:p w:rsidR="000230CB" w:rsidRDefault="000230CB" w:rsidP="004F2761">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1">
    <w:p w:rsidR="000230CB" w:rsidRDefault="000230CB" w:rsidP="004F2761">
      <w:pPr>
        <w:pStyle w:val="FootnoteText"/>
      </w:pPr>
      <w:r>
        <w:rPr>
          <w:rStyle w:val="FootnoteReference"/>
        </w:rPr>
        <w:footnoteRef/>
      </w:r>
      <w:r>
        <w:t xml:space="preserve"> </w:t>
      </w:r>
      <w:r>
        <w:tab/>
        <w:t>NER, cl. 6.5.2(e); NER, cl. 6A.6.2(e); NGR r. 87(9).</w:t>
      </w:r>
    </w:p>
  </w:footnote>
  <w:footnote w:id="112">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3">
    <w:p w:rsidR="000230CB" w:rsidRDefault="000230CB" w:rsidP="004F2761">
      <w:pPr>
        <w:pStyle w:val="FootnoteText"/>
      </w:pPr>
      <w:r>
        <w:rPr>
          <w:rStyle w:val="FootnoteReference"/>
        </w:rPr>
        <w:footnoteRef/>
      </w:r>
      <w:r>
        <w:t xml:space="preserve"> </w:t>
      </w:r>
      <w:r>
        <w:tab/>
        <w:t>NEL, s. 7A(2); NGL s. 24(2)(a).</w:t>
      </w:r>
    </w:p>
  </w:footnote>
  <w:footnote w:id="114">
    <w:p w:rsidR="000230CB" w:rsidRDefault="000230CB" w:rsidP="004F2761">
      <w:pPr>
        <w:pStyle w:val="FootnoteText"/>
      </w:pPr>
      <w:r>
        <w:rPr>
          <w:rStyle w:val="FootnoteReference"/>
        </w:rPr>
        <w:footnoteRef/>
      </w:r>
      <w:r>
        <w:t xml:space="preserve"> </w:t>
      </w:r>
      <w:r>
        <w:tab/>
        <w:t>NEL, s. 7A(3);</w:t>
      </w:r>
      <w:r w:rsidRPr="00002EB2">
        <w:t xml:space="preserve"> </w:t>
      </w:r>
      <w:r>
        <w:t>NGL s. 24(2)(b).</w:t>
      </w:r>
    </w:p>
  </w:footnote>
  <w:footnote w:id="115">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116">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7">
    <w:p w:rsidR="000230CB" w:rsidRDefault="000230CB" w:rsidP="004F2761">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18">
    <w:p w:rsidR="000230CB" w:rsidRDefault="000230CB" w:rsidP="004F2761">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19">
    <w:p w:rsidR="000230CB" w:rsidRDefault="000230CB" w:rsidP="004F2761">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0">
    <w:p w:rsidR="000230CB" w:rsidRDefault="000230CB" w:rsidP="004F2761">
      <w:pPr>
        <w:pStyle w:val="FootnoteText"/>
      </w:pPr>
      <w:r>
        <w:rPr>
          <w:rStyle w:val="FootnoteReference"/>
        </w:rPr>
        <w:footnoteRef/>
      </w:r>
      <w:r>
        <w:t xml:space="preserve"> </w:t>
      </w:r>
      <w:r>
        <w:tab/>
        <w:t xml:space="preserve">NGR, r. 87(5)(a) and NER clause 6.5.2(e).  </w:t>
      </w:r>
    </w:p>
  </w:footnote>
  <w:footnote w:id="121">
    <w:p w:rsidR="000230CB" w:rsidRDefault="000230CB" w:rsidP="004F2761">
      <w:pPr>
        <w:pStyle w:val="FootnoteText"/>
      </w:pPr>
      <w:r>
        <w:rPr>
          <w:rStyle w:val="FootnoteReference"/>
        </w:rPr>
        <w:footnoteRef/>
      </w:r>
      <w:r>
        <w:t xml:space="preserve"> </w:t>
      </w:r>
      <w:r>
        <w:tab/>
      </w:r>
      <w:r w:rsidRPr="00BB36FA">
        <w:t xml:space="preserve">AEMC, </w:t>
      </w:r>
      <w:r w:rsidRPr="008B1340">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2">
    <w:p w:rsidR="000230CB" w:rsidRDefault="000230CB" w:rsidP="004F2761">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3">
    <w:p w:rsidR="000230CB" w:rsidRDefault="000230CB" w:rsidP="004F2761">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4">
    <w:p w:rsidR="000230CB" w:rsidRDefault="000230CB" w:rsidP="004F2761">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5">
    <w:p w:rsidR="000230CB" w:rsidRDefault="000230CB" w:rsidP="004F2761">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6">
    <w:p w:rsidR="000230CB" w:rsidRDefault="000230CB" w:rsidP="004F2761">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27">
    <w:p w:rsidR="000230CB" w:rsidRDefault="000230CB" w:rsidP="004F2761">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8">
    <w:p w:rsidR="000230CB" w:rsidRDefault="000230CB" w:rsidP="004F2761">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29">
    <w:p w:rsidR="000230CB" w:rsidRDefault="000230CB" w:rsidP="004F276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0">
    <w:p w:rsidR="000230CB" w:rsidRDefault="000230CB" w:rsidP="004F2761">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8B1340">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1">
    <w:p w:rsidR="000230CB" w:rsidRDefault="000230CB" w:rsidP="004F2761">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2">
    <w:p w:rsidR="000230CB" w:rsidRDefault="000230CB" w:rsidP="004F2761">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3">
    <w:p w:rsidR="000230CB" w:rsidRDefault="000230CB" w:rsidP="004F2761">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4">
    <w:p w:rsidR="000230CB" w:rsidRDefault="000230CB" w:rsidP="004F2761">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5">
    <w:p w:rsidR="000230CB" w:rsidRDefault="000230CB" w:rsidP="004F2761">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6">
    <w:p w:rsidR="000230CB" w:rsidRDefault="000230CB" w:rsidP="00191978">
      <w:pPr>
        <w:pStyle w:val="FootnoteText"/>
      </w:pPr>
      <w:r>
        <w:rPr>
          <w:rStyle w:val="FootnoteReference"/>
        </w:rPr>
        <w:footnoteRef/>
      </w:r>
      <w:r>
        <w:t xml:space="preserve"> </w:t>
      </w:r>
      <w:r>
        <w:tab/>
        <w:t xml:space="preserve">For a list of submissions on AGN's initial access arrangement proposal, see AER, </w:t>
      </w:r>
      <w:r>
        <w:rPr>
          <w:rStyle w:val="AERtextitalic"/>
        </w:rPr>
        <w:t>Draft decision</w:t>
      </w:r>
      <w:r w:rsidRPr="00382A73">
        <w:rPr>
          <w:rStyle w:val="AERtextitalic"/>
        </w:rPr>
        <w:t xml:space="preserve">: </w:t>
      </w:r>
      <w:r>
        <w:rPr>
          <w:rStyle w:val="AERtextitalic"/>
        </w:rPr>
        <w:t>AGN</w:t>
      </w:r>
      <w:r w:rsidRPr="00382A73">
        <w:rPr>
          <w:rStyle w:val="AERtextitalic"/>
        </w:rPr>
        <w:t xml:space="preserve"> distribution </w:t>
      </w:r>
      <w:r>
        <w:rPr>
          <w:rStyle w:val="AERtextitalic"/>
        </w:rPr>
        <w:t xml:space="preserve">access arrangement </w:t>
      </w:r>
      <w:r w:rsidRPr="00382A73">
        <w:rPr>
          <w:rStyle w:val="AERtextitalic"/>
        </w:rPr>
        <w:t>2016 to 20</w:t>
      </w:r>
      <w:r>
        <w:rPr>
          <w:rStyle w:val="AERtextitalic"/>
        </w:rPr>
        <w:t>21</w:t>
      </w:r>
      <w:r w:rsidRPr="00382A73">
        <w:rPr>
          <w:rStyle w:val="AERtextitalic"/>
        </w:rPr>
        <w:t>: Overview</w:t>
      </w:r>
      <w:r>
        <w:t xml:space="preserve">, October 2015, p. 61. </w:t>
      </w:r>
      <w:r w:rsidRPr="00B259BE">
        <w:t xml:space="preserve">For a list of submissions on </w:t>
      </w:r>
      <w:r>
        <w:t xml:space="preserve">AGN's revised access arrangement and our draft decision, see AER, </w:t>
      </w:r>
      <w:r w:rsidRPr="00382A73">
        <w:rPr>
          <w:rStyle w:val="AERtextitalic"/>
        </w:rPr>
        <w:t xml:space="preserve">Final Decision: </w:t>
      </w:r>
      <w:r>
        <w:rPr>
          <w:rStyle w:val="AERtextitalic"/>
        </w:rPr>
        <w:t>AGN</w:t>
      </w:r>
      <w:r w:rsidRPr="00382A73">
        <w:rPr>
          <w:rStyle w:val="AERtextitalic"/>
        </w:rPr>
        <w:t xml:space="preserve"> distribution </w:t>
      </w:r>
      <w:r>
        <w:rPr>
          <w:rStyle w:val="AERtextitalic"/>
        </w:rPr>
        <w:t xml:space="preserve">access arrangement </w:t>
      </w:r>
      <w:r w:rsidRPr="00382A73">
        <w:rPr>
          <w:rStyle w:val="AERtextitalic"/>
        </w:rPr>
        <w:t>2016 to 20</w:t>
      </w:r>
      <w:r>
        <w:rPr>
          <w:rStyle w:val="AERtextitalic"/>
        </w:rPr>
        <w:t>21</w:t>
      </w:r>
      <w:r w:rsidRPr="00382A73">
        <w:rPr>
          <w:rStyle w:val="AERtextitalic"/>
        </w:rPr>
        <w:t>: Overview</w:t>
      </w:r>
      <w:r>
        <w:t>, May 2016, Attachment A.</w:t>
      </w:r>
    </w:p>
  </w:footnote>
  <w:footnote w:id="137">
    <w:p w:rsidR="000230CB" w:rsidRDefault="000230CB" w:rsidP="0019197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38">
    <w:p w:rsidR="000230CB" w:rsidRDefault="000230CB" w:rsidP="004F2761">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sidRPr="00D001FE">
        <w:rPr>
          <w:rStyle w:val="AERtextitalic"/>
        </w:rPr>
        <w:t>Submission to the AER:  Response to AER Preliminary Decisions and revised proposals from Victorian electricity DNSPs for a revenue reset for the 2016‐2020 regulatory period</w:t>
      </w:r>
      <w:r>
        <w:t>, February 2016.</w:t>
      </w:r>
    </w:p>
  </w:footnote>
  <w:footnote w:id="139">
    <w:p w:rsidR="000230CB" w:rsidRDefault="000230CB" w:rsidP="004F2761">
      <w:pPr>
        <w:pStyle w:val="FootnoteText"/>
      </w:pPr>
      <w:r>
        <w:rPr>
          <w:rStyle w:val="FootnoteReference"/>
        </w:rPr>
        <w:footnoteRef/>
      </w:r>
      <w:r>
        <w:t xml:space="preserve"> </w:t>
      </w:r>
      <w:r>
        <w:tab/>
        <w:t xml:space="preserve">CCP8, </w:t>
      </w:r>
      <w:r w:rsidRPr="00D001FE">
        <w:rPr>
          <w:rStyle w:val="AERtextitalic"/>
        </w:rPr>
        <w:t>Advice to AER: Draft Decision and ActewAGL Distribution’s Revised Access Arrangement 2016‐2021 Proposal</w:t>
      </w:r>
      <w:r>
        <w:t xml:space="preserve">, </w:t>
      </w:r>
      <w:r w:rsidRPr="00960F27">
        <w:t>March 2016</w:t>
      </w:r>
      <w:r>
        <w:t xml:space="preserve">, p. 2; CCP8, </w:t>
      </w:r>
      <w:r w:rsidRPr="002D0A4D">
        <w:rPr>
          <w:rStyle w:val="AERtextitalic"/>
        </w:rPr>
        <w:t xml:space="preserve">Advice to AER: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0">
    <w:p w:rsidR="000230CB" w:rsidRDefault="000230CB" w:rsidP="004F2761">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1">
    <w:p w:rsidR="000230CB" w:rsidRDefault="000230CB" w:rsidP="004F2761">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2">
    <w:p w:rsidR="000230CB" w:rsidRDefault="000230CB" w:rsidP="004F2761">
      <w:pPr>
        <w:pStyle w:val="FootnoteText"/>
      </w:pPr>
      <w:r>
        <w:rPr>
          <w:rStyle w:val="FootnoteReference"/>
        </w:rPr>
        <w:footnoteRef/>
      </w:r>
      <w:r>
        <w:t xml:space="preserve"> </w:t>
      </w:r>
      <w:r>
        <w:tab/>
        <w:t>NGR, cl. 87(3); NER, cl. 6A.6.2(c) include similar provisions.</w:t>
      </w:r>
    </w:p>
  </w:footnote>
  <w:footnote w:id="143">
    <w:p w:rsidR="000230CB" w:rsidRDefault="000230CB" w:rsidP="004F2761">
      <w:pPr>
        <w:pStyle w:val="FootnoteText"/>
      </w:pPr>
      <w:r>
        <w:rPr>
          <w:rStyle w:val="FootnoteReference"/>
        </w:rPr>
        <w:footnoteRef/>
      </w:r>
      <w:r>
        <w:t xml:space="preserve"> </w:t>
      </w:r>
      <w:r>
        <w:tab/>
        <w:t>The transmission and gas rules mirror this provision in NER, cl. 6A.6.2(k)(4); NGR, cl. 87(11)(d).</w:t>
      </w:r>
    </w:p>
  </w:footnote>
  <w:footnote w:id="144">
    <w:p w:rsidR="000230CB" w:rsidRPr="00D5405B" w:rsidRDefault="000230CB" w:rsidP="00785836">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45">
    <w:p w:rsidR="000230CB" w:rsidRDefault="000230CB" w:rsidP="00785836">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6">
    <w:p w:rsidR="000230CB" w:rsidRDefault="000230CB" w:rsidP="00785836">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47">
    <w:p w:rsidR="000230CB" w:rsidRDefault="000230CB" w:rsidP="00785836">
      <w:pPr>
        <w:pStyle w:val="FootnoteText"/>
      </w:pPr>
      <w:r>
        <w:rPr>
          <w:rStyle w:val="FootnoteReference"/>
        </w:rPr>
        <w:footnoteRef/>
      </w:r>
      <w:r>
        <w:t xml:space="preserve"> </w:t>
      </w:r>
      <w:r>
        <w:tab/>
        <w:t>NER, cl. 6.5.2(c); NGR, r. 87(3).</w:t>
      </w:r>
    </w:p>
  </w:footnote>
  <w:footnote w:id="148">
    <w:p w:rsidR="000230CB" w:rsidRDefault="000230CB" w:rsidP="008F4F73">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49">
    <w:p w:rsidR="000230CB" w:rsidRDefault="000230CB" w:rsidP="008F4F73">
      <w:pPr>
        <w:pStyle w:val="FootnoteText"/>
      </w:pPr>
      <w:r>
        <w:rPr>
          <w:rStyle w:val="FootnoteReference"/>
        </w:rPr>
        <w:footnoteRef/>
      </w:r>
      <w:r>
        <w:t xml:space="preserve"> </w:t>
      </w:r>
      <w:r>
        <w:tab/>
        <w:t>As set out in NER cl.6; NER cl. 6A; NGR.</w:t>
      </w:r>
    </w:p>
  </w:footnote>
  <w:footnote w:id="150">
    <w:p w:rsidR="000230CB" w:rsidRDefault="000230CB" w:rsidP="008F4F73">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1">
    <w:p w:rsidR="000230CB" w:rsidRDefault="000230CB" w:rsidP="008F4F73">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2">
    <w:p w:rsidR="000230CB" w:rsidRDefault="000230CB" w:rsidP="008F4F73">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3">
    <w:p w:rsidR="000230CB" w:rsidRDefault="000230CB" w:rsidP="008F4F73">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101 of Attachment 3 to our draft decision for AGN.</w:t>
      </w:r>
    </w:p>
  </w:footnote>
  <w:footnote w:id="154">
    <w:p w:rsidR="000230CB" w:rsidRDefault="000230CB" w:rsidP="008F4F73">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_Ref451691679 \r \h </w:instrText>
      </w:r>
      <w:r>
        <w:fldChar w:fldCharType="separate"/>
      </w:r>
      <w:r>
        <w:t>B.1</w:t>
      </w:r>
      <w:r>
        <w:fldChar w:fldCharType="end"/>
      </w:r>
      <w:r>
        <w:t>.</w:t>
      </w:r>
    </w:p>
  </w:footnote>
  <w:footnote w:id="155">
    <w:p w:rsidR="000230CB" w:rsidRDefault="000230CB" w:rsidP="008F4F73">
      <w:pPr>
        <w:pStyle w:val="FootnoteText"/>
        <w:numPr>
          <w:ilvl w:val="0"/>
          <w:numId w:val="24"/>
        </w:numPr>
      </w:pPr>
      <w:r>
        <w:rPr>
          <w:rStyle w:val="FootnoteReference"/>
        </w:rPr>
        <w:footnoteRef/>
      </w:r>
      <w:r>
        <w:t xml:space="preserve"> </w:t>
      </w:r>
      <w:r>
        <w:tab/>
        <w:t>Calculated as: 7.1% = 2.57% + 0.7 * 6.</w:t>
      </w:r>
      <w:r w:rsidRPr="000A1A8C">
        <w:t>5%</w:t>
      </w:r>
      <w:r>
        <w:t xml:space="preserve">. For more information on the Sharpe-Lintner CAPM, see section </w:t>
      </w:r>
      <w:r>
        <w:fldChar w:fldCharType="begin"/>
      </w:r>
      <w:r>
        <w:instrText xml:space="preserve"> REF _Ref451691691 \r \h </w:instrText>
      </w:r>
      <w:r>
        <w:fldChar w:fldCharType="separate"/>
      </w:r>
      <w:r>
        <w:t>B.1</w:t>
      </w:r>
      <w:r>
        <w:fldChar w:fldCharType="end"/>
      </w:r>
      <w:r>
        <w:t>.</w:t>
      </w:r>
    </w:p>
  </w:footnote>
  <w:footnote w:id="156">
    <w:p w:rsidR="000230CB" w:rsidRDefault="000230CB" w:rsidP="008F4F73">
      <w:pPr>
        <w:pStyle w:val="FootnoteText"/>
      </w:pPr>
      <w:r>
        <w:rPr>
          <w:rStyle w:val="FootnoteReference"/>
        </w:rPr>
        <w:footnoteRef/>
      </w:r>
      <w:r>
        <w:t xml:space="preserve"> </w:t>
      </w:r>
      <w:r>
        <w:tab/>
        <w:t xml:space="preserve">Appendix  </w:t>
      </w:r>
      <w:r>
        <w:fldChar w:fldCharType="begin"/>
      </w:r>
      <w:r>
        <w:instrText xml:space="preserve"> REF _Ref451328742 \r \h </w:instrText>
      </w:r>
      <w:r>
        <w:fldChar w:fldCharType="separate"/>
      </w:r>
      <w:r>
        <w:t>L</w:t>
      </w:r>
      <w:r>
        <w:fldChar w:fldCharType="end"/>
      </w:r>
      <w:r>
        <w:t xml:space="preserve"> sets out the averaging period used in this decision.</w:t>
      </w:r>
    </w:p>
  </w:footnote>
  <w:footnote w:id="157">
    <w:p w:rsidR="000230CB" w:rsidRDefault="000230CB" w:rsidP="008F4F73">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58">
    <w:p w:rsidR="000230CB" w:rsidRDefault="000230CB" w:rsidP="008F4F73">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59">
    <w:p w:rsidR="000230CB" w:rsidRPr="00E97B82" w:rsidRDefault="000230CB" w:rsidP="008F4F73">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0">
    <w:p w:rsidR="000230CB" w:rsidRDefault="000230CB" w:rsidP="008F4F73">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1">
    <w:p w:rsidR="000230CB" w:rsidRDefault="000230CB" w:rsidP="008F4F73">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2">
    <w:p w:rsidR="000230CB" w:rsidRDefault="000230CB" w:rsidP="008F4F73">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3">
    <w:p w:rsidR="000230CB" w:rsidRDefault="000230CB" w:rsidP="008F4F73">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64">
    <w:p w:rsidR="000230CB" w:rsidRDefault="000230CB" w:rsidP="008F4F73">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65">
    <w:p w:rsidR="000230CB" w:rsidRDefault="000230CB" w:rsidP="008F4F73">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66">
    <w:p w:rsidR="000230CB" w:rsidRDefault="000230CB" w:rsidP="008F4F73">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67">
    <w:p w:rsidR="000230CB" w:rsidRDefault="000230CB" w:rsidP="008F4F73">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68">
    <w:p w:rsidR="000230CB" w:rsidRDefault="000230CB" w:rsidP="008F4F73">
      <w:pPr>
        <w:pStyle w:val="FootnoteText"/>
      </w:pPr>
      <w:r>
        <w:rPr>
          <w:rStyle w:val="FootnoteReference"/>
        </w:rPr>
        <w:footnoteRef/>
      </w:r>
      <w:r>
        <w:t xml:space="preserve"> </w:t>
      </w:r>
      <w:r>
        <w:tab/>
        <w:t>As set out in NER cl.6; NER cl. 6A; NGR r.87.</w:t>
      </w:r>
    </w:p>
  </w:footnote>
  <w:footnote w:id="169">
    <w:p w:rsidR="000230CB" w:rsidRDefault="000230CB" w:rsidP="008F4F73">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0">
    <w:p w:rsidR="000230CB" w:rsidRDefault="000230CB" w:rsidP="008F4F73">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1">
    <w:p w:rsidR="000230CB" w:rsidRDefault="000230CB" w:rsidP="008F4F73">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2">
    <w:p w:rsidR="000230CB" w:rsidRDefault="000230CB" w:rsidP="008F4F73">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3">
    <w:p w:rsidR="000230CB" w:rsidRDefault="000230CB" w:rsidP="008F4F73">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4">
    <w:p w:rsidR="000230CB" w:rsidRDefault="000230CB" w:rsidP="008F4F73">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p>
  </w:footnote>
  <w:footnote w:id="175">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76">
    <w:p w:rsidR="000230CB" w:rsidRDefault="000230CB" w:rsidP="008F4F73">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77">
    <w:p w:rsidR="000230CB" w:rsidRDefault="000230CB" w:rsidP="008F4F73">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78">
    <w:p w:rsidR="000230CB" w:rsidRDefault="000230CB" w:rsidP="008F4F73">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pp.206–210,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79">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0">
    <w:p w:rsidR="000230CB" w:rsidRDefault="000230CB" w:rsidP="008F4F73">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1">
    <w:p w:rsidR="000230CB" w:rsidRDefault="000230CB" w:rsidP="008F4F73">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2">
    <w:p w:rsidR="000230CB" w:rsidRDefault="000230CB" w:rsidP="008F4F73">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3">
    <w:p w:rsidR="000230CB" w:rsidRDefault="000230CB" w:rsidP="008F4F73">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4">
    <w:p w:rsidR="000230CB" w:rsidRDefault="000230CB" w:rsidP="008F4F7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5">
    <w:p w:rsidR="000230CB" w:rsidRDefault="000230CB" w:rsidP="008F4F73">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86">
    <w:p w:rsidR="000230CB" w:rsidRDefault="000230CB" w:rsidP="008F4F73">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87">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pp.38–46; APTNT, </w:t>
      </w:r>
      <w:r w:rsidRPr="00791180">
        <w:rPr>
          <w:rStyle w:val="Emphasis"/>
        </w:rPr>
        <w:t>Amadeus Gas Pipeline access arrangement revision proposal</w:t>
      </w:r>
      <w:r w:rsidRPr="00791180">
        <w:t>, August 2015, pp. 128–131.</w:t>
      </w:r>
    </w:p>
  </w:footnote>
  <w:footnote w:id="188">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89">
    <w:p w:rsidR="000230CB" w:rsidRDefault="000230CB" w:rsidP="008F4F73">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0">
    <w:p w:rsidR="000230CB" w:rsidRDefault="000230CB" w:rsidP="008F4F73">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1">
    <w:p w:rsidR="000230CB" w:rsidRDefault="000230CB" w:rsidP="008F4F7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2">
    <w:p w:rsidR="000230CB" w:rsidRDefault="000230CB" w:rsidP="008F4F73">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3">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xml:space="preserve">, 6 January 2016, pp.40–46;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194">
    <w:p w:rsidR="000230CB" w:rsidRDefault="000230CB" w:rsidP="008F4F7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195">
    <w:p w:rsidR="000230CB" w:rsidRDefault="000230CB" w:rsidP="008F4F73">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196">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pp.62–64;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197">
    <w:p w:rsidR="000230CB" w:rsidRDefault="000230CB" w:rsidP="008F4F73">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198">
    <w:p w:rsidR="000230CB" w:rsidRDefault="000230CB" w:rsidP="008F4F73">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199">
    <w:p w:rsidR="000230CB" w:rsidRDefault="000230CB" w:rsidP="008F4F73">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0">
    <w:p w:rsidR="000230CB" w:rsidRDefault="000230CB" w:rsidP="008F4F7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&amp; 47.</w:t>
      </w:r>
    </w:p>
  </w:footnote>
  <w:footnote w:id="201">
    <w:p w:rsidR="000230CB" w:rsidRDefault="000230CB" w:rsidP="008F4F73">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xml:space="preserve">, 6 January 2016, pp.50–51;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2">
    <w:p w:rsidR="000230CB" w:rsidRDefault="000230CB" w:rsidP="008F4F73">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3">
    <w:p w:rsidR="000230CB" w:rsidRDefault="000230CB" w:rsidP="008F4F7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04">
    <w:p w:rsidR="000230CB" w:rsidRDefault="000230CB" w:rsidP="008F4F73">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05">
    <w:p w:rsidR="000230CB" w:rsidRDefault="000230CB" w:rsidP="008F4F73">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27–30.</w:t>
      </w:r>
    </w:p>
  </w:footnote>
  <w:footnote w:id="206">
    <w:p w:rsidR="000230CB" w:rsidRDefault="000230CB" w:rsidP="008F4F73">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07">
    <w:p w:rsidR="000230CB" w:rsidRDefault="000230CB" w:rsidP="00106ECB">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08">
    <w:p w:rsidR="000230CB" w:rsidRDefault="000230CB" w:rsidP="00106ECB">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09">
    <w:p w:rsidR="000230CB" w:rsidRDefault="000230CB" w:rsidP="00106ECB">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0">
    <w:p w:rsidR="000230CB" w:rsidRDefault="000230CB" w:rsidP="00106ECB">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C.8</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1">
    <w:p w:rsidR="000230CB" w:rsidRDefault="000230CB" w:rsidP="00106EC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2">
    <w:p w:rsidR="000230CB" w:rsidRDefault="000230CB" w:rsidP="00106ECB">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3">
    <w:p w:rsidR="000230CB" w:rsidRDefault="000230CB" w:rsidP="00106ECB">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4">
    <w:p w:rsidR="000230CB" w:rsidRDefault="000230CB" w:rsidP="00106ECB">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15">
    <w:p w:rsidR="000230CB" w:rsidRDefault="000230CB" w:rsidP="00106ECB">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16">
    <w:p w:rsidR="000230CB" w:rsidRDefault="000230CB" w:rsidP="00106ECB">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17">
    <w:p w:rsidR="000230CB" w:rsidRDefault="000230CB" w:rsidP="00106ECB">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18">
    <w:p w:rsidR="000230CB" w:rsidRDefault="000230CB" w:rsidP="00106ECB">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19">
    <w:p w:rsidR="000230CB" w:rsidRDefault="000230CB" w:rsidP="00106ECB">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0">
    <w:p w:rsidR="000230CB" w:rsidRDefault="000230CB" w:rsidP="00106ECB">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1">
    <w:p w:rsidR="000230CB" w:rsidRDefault="000230CB" w:rsidP="00106ECB">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2">
    <w:p w:rsidR="000230CB" w:rsidRDefault="000230CB" w:rsidP="00106ECB">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3">
    <w:p w:rsidR="000230CB" w:rsidRDefault="000230CB" w:rsidP="00106ECB">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4">
    <w:p w:rsidR="000230CB" w:rsidRDefault="000230CB" w:rsidP="00106ECB">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25">
    <w:p w:rsidR="000230CB" w:rsidRDefault="000230CB" w:rsidP="00106ECB">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26">
    <w:p w:rsidR="000230CB" w:rsidRDefault="000230CB" w:rsidP="00106ECB">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27">
    <w:p w:rsidR="000230CB" w:rsidRDefault="000230CB" w:rsidP="00106ECB">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28">
    <w:p w:rsidR="000230CB" w:rsidRDefault="000230CB" w:rsidP="00106ECB">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29">
    <w:p w:rsidR="000230CB" w:rsidRDefault="000230CB" w:rsidP="00106ECB">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0">
    <w:p w:rsidR="000230CB" w:rsidRDefault="000230CB" w:rsidP="00106ECB">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1">
    <w:p w:rsidR="000230CB" w:rsidRDefault="000230CB" w:rsidP="00FF645A">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2">
    <w:p w:rsidR="000230CB" w:rsidRDefault="000230CB" w:rsidP="00FF645A">
      <w:pPr>
        <w:pStyle w:val="FootnoteText"/>
      </w:pPr>
      <w:r>
        <w:rPr>
          <w:rStyle w:val="FootnoteReference"/>
        </w:rPr>
        <w:footnoteRef/>
      </w:r>
      <w:r>
        <w:t xml:space="preserve"> </w:t>
      </w:r>
      <w:r>
        <w:tab/>
        <w:t>More precisely, reference services, see: NER, cl. 6.5.2(c). For electricity transmission network service providers the rules refer to prescribed transmission services, see NER, cl. 6A.6.2(c). For electricity distribution service providers the rules refer to standard control services, see: NER, cl. 6.5.2(c).</w:t>
      </w:r>
    </w:p>
  </w:footnote>
  <w:footnote w:id="233">
    <w:p w:rsidR="000230CB" w:rsidRDefault="000230CB" w:rsidP="00FF645A">
      <w:pPr>
        <w:pStyle w:val="FootnoteText"/>
      </w:pPr>
      <w:r>
        <w:rPr>
          <w:rStyle w:val="FootnoteReference"/>
        </w:rPr>
        <w:footnoteRef/>
      </w:r>
      <w:r>
        <w:t xml:space="preserve"> </w:t>
      </w:r>
      <w:r>
        <w:tab/>
        <w:t>More precisely, an efficient business (or benchmark efficient entity) with a similar degree of risk as that which applies to AGN in the provision of reference services.</w:t>
      </w:r>
    </w:p>
  </w:footnote>
  <w:footnote w:id="234">
    <w:p w:rsidR="000230CB" w:rsidRDefault="000230CB" w:rsidP="00FF645A">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35">
    <w:p w:rsidR="000230CB" w:rsidRDefault="000230CB" w:rsidP="00FF645A">
      <w:pPr>
        <w:pStyle w:val="FootnoteText"/>
      </w:pPr>
      <w:r>
        <w:rPr>
          <w:rStyle w:val="FootnoteReference"/>
        </w:rPr>
        <w:footnoteRef/>
      </w:r>
      <w:r>
        <w:t xml:space="preserve"> </w:t>
      </w:r>
      <w:r>
        <w:tab/>
        <w:t>However, the Black CAPM replaces this with an assumption of unlimited ability to short sell stocks.</w:t>
      </w:r>
    </w:p>
  </w:footnote>
  <w:footnote w:id="236">
    <w:p w:rsidR="000230CB" w:rsidRDefault="000230CB" w:rsidP="00FF645A">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37">
    <w:p w:rsidR="000230CB" w:rsidRDefault="000230CB" w:rsidP="00FF645A">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38">
    <w:p w:rsidR="000230CB" w:rsidRDefault="000230CB" w:rsidP="00FF645A">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39">
    <w:p w:rsidR="000230CB" w:rsidRDefault="000230CB" w:rsidP="00FF645A">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G.6</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0">
    <w:p w:rsidR="000230CB" w:rsidRDefault="000230CB" w:rsidP="00FF645A">
      <w:pPr>
        <w:pStyle w:val="FootnoteText"/>
      </w:pPr>
      <w:r>
        <w:rPr>
          <w:rStyle w:val="FootnoteReference"/>
        </w:rPr>
        <w:footnoteRef/>
      </w:r>
      <w:r>
        <w:t xml:space="preserve"> </w:t>
      </w:r>
      <w:r>
        <w:tab/>
        <w:t>But does not support an estimate beyond our range. We hold this view based on:</w:t>
      </w:r>
    </w:p>
    <w:p w:rsidR="000230CB" w:rsidRDefault="000230CB" w:rsidP="00FF645A">
      <w:pPr>
        <w:pStyle w:val="FootnoteText"/>
      </w:pPr>
      <w:r>
        <w:tab/>
        <w:t>(1) the outcome of our conceptual analysis that a business with a similar degree of risk as AGN (in providing regulated services) is likely to have an equity beta less than one;</w:t>
      </w:r>
    </w:p>
    <w:p w:rsidR="000230CB" w:rsidRDefault="000230CB" w:rsidP="00FF645A">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1">
    <w:p w:rsidR="000230CB" w:rsidRDefault="000230CB" w:rsidP="00FF645A">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2">
    <w:p w:rsidR="000230CB" w:rsidRDefault="000230CB" w:rsidP="00FF645A">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3">
    <w:p w:rsidR="000230CB" w:rsidRDefault="000230CB" w:rsidP="00FF645A">
      <w:pPr>
        <w:pStyle w:val="FootnoteText"/>
      </w:pPr>
      <w:r>
        <w:rPr>
          <w:rStyle w:val="FootnoteReference"/>
        </w:rPr>
        <w:footnoteRef/>
      </w:r>
      <w:r>
        <w:t xml:space="preserve"> </w:t>
      </w:r>
      <w:r>
        <w:tab/>
        <w:t>NER, cl. 6.5.2(f); NER, cl. 6A.6.2(f); NGR, r. 87(6). NEL, s.16; NGL, s. 23.</w:t>
      </w:r>
    </w:p>
  </w:footnote>
  <w:footnote w:id="244">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45">
    <w:p w:rsidR="000230CB" w:rsidRDefault="000230CB" w:rsidP="00FF645A">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0230CB" w:rsidRDefault="000230CB" w:rsidP="00FF645A">
      <w:pPr>
        <w:pStyle w:val="FootnoteText"/>
      </w:pPr>
      <w:r>
        <w:tab/>
      </w:r>
      <w:r w:rsidRPr="000667B3">
        <w:t xml:space="preserve">Powercor, </w:t>
      </w:r>
      <w:r w:rsidRPr="000667B3">
        <w:rPr>
          <w:rStyle w:val="Emphasis"/>
        </w:rPr>
        <w:t>Revised regulatory proposal 2016–2020,</w:t>
      </w:r>
      <w:r w:rsidRPr="000667B3">
        <w:t xml:space="preserve"> January 2016, pp. 306–308; ActewAGL, </w:t>
      </w:r>
      <w:r w:rsidRPr="000667B3">
        <w:rPr>
          <w:rStyle w:val="Emphasis"/>
        </w:rPr>
        <w:t>Revised 2016–21 access arrangement proposal Response to the AER's draft decision, Appendix 5.01 Detailed response to rate of return, gamma and inflation</w:t>
      </w:r>
      <w:r w:rsidRPr="000667B3">
        <w:t xml:space="preserve">, January 2016, pp. 88–91; United Energy, </w:t>
      </w:r>
      <w:r w:rsidRPr="000667B3">
        <w:rPr>
          <w:rStyle w:val="Emphasis"/>
        </w:rPr>
        <w:t>Response to AER preliminary determination–Re: rate of return and gamma</w:t>
      </w:r>
      <w:r w:rsidRPr="000667B3">
        <w:t xml:space="preserve">, 6 January 2016, pp. 66–68; AGN, </w:t>
      </w:r>
      <w:r w:rsidRPr="000667B3">
        <w:rPr>
          <w:rStyle w:val="Emphasis"/>
        </w:rPr>
        <w:t>2016–17 to 2020/21 Access Arrangement information response to draft decision: Attachment 10.26 Response to draft decision: rate of return</w:t>
      </w:r>
      <w:r w:rsidRPr="000667B3">
        <w:t xml:space="preserve">, January 2016, pp. 70–72;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71–73; AusNet Services, </w:t>
      </w:r>
      <w:r w:rsidRPr="000667B3">
        <w:rPr>
          <w:rStyle w:val="Emphasis"/>
        </w:rPr>
        <w:t>Electricity distribution price review 2016–20 Revised regulatory proposal: Chapter 7 Rate of return &amp; gamma</w:t>
      </w:r>
      <w:r w:rsidRPr="000667B3">
        <w:t>, 6 January 2016, pp. 65–67.</w:t>
      </w:r>
    </w:p>
  </w:footnote>
  <w:footnote w:id="246">
    <w:p w:rsidR="000230CB" w:rsidRDefault="000230CB" w:rsidP="00FF645A">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47">
    <w:p w:rsidR="000230CB" w:rsidRDefault="000230CB" w:rsidP="00FF645A">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48">
    <w:p w:rsidR="000230CB" w:rsidRDefault="000230CB" w:rsidP="00FF645A">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0230CB" w:rsidRDefault="000230CB" w:rsidP="00FF645A">
      <w:pPr>
        <w:pStyle w:val="FootnoteText"/>
      </w:pPr>
      <w:r>
        <w:tab/>
      </w:r>
      <w:r w:rsidRPr="000667B3">
        <w:t xml:space="preserve">Powercor, </w:t>
      </w:r>
      <w:r w:rsidRPr="000667B3">
        <w:rPr>
          <w:rStyle w:val="Emphasis"/>
        </w:rPr>
        <w:t>Revised regulatory proposal 2016–2020,</w:t>
      </w:r>
      <w:r w:rsidRPr="000667B3">
        <w:t xml:space="preserve"> January 2016, pp. 304–305; ActewAGL, </w:t>
      </w:r>
      <w:r w:rsidRPr="000667B3">
        <w:rPr>
          <w:rStyle w:val="Emphasis"/>
        </w:rPr>
        <w:t>Revised 2016–21 access arrangement proposal Response to the AER's draft decision, Appendix 5.01 Detailed response to rate of return, gamma and inflation</w:t>
      </w:r>
      <w:r w:rsidRPr="000667B3">
        <w:t xml:space="preserve">, January 2016, pp. 87–88; United Energy, </w:t>
      </w:r>
      <w:r w:rsidRPr="000667B3">
        <w:rPr>
          <w:rStyle w:val="Emphasis"/>
        </w:rPr>
        <w:t>Response to AER preliminary determination–Re: rate of return and gamma</w:t>
      </w:r>
      <w:r w:rsidRPr="000667B3">
        <w:t xml:space="preserve">, 6 January 2016, pp. 64–65; AGN, </w:t>
      </w:r>
      <w:r w:rsidRPr="000667B3">
        <w:rPr>
          <w:rStyle w:val="Emphasis"/>
        </w:rPr>
        <w:t>2016–17 to 2020/21 Access Arrangement information response to draft decision: Attachment 10.26 Response to draft decision: rate of return</w:t>
      </w:r>
      <w:r w:rsidRPr="000667B3">
        <w:t xml:space="preserve">, January 2016, pp. 69–70;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69–70; AusNet Services, </w:t>
      </w:r>
      <w:r w:rsidRPr="000667B3">
        <w:rPr>
          <w:rStyle w:val="Emphasis"/>
        </w:rPr>
        <w:t>Electricity distribution price review 2016–20 Revised regulatory proposal: Chapter 7 Rate of return &amp; gamma</w:t>
      </w:r>
      <w:r w:rsidRPr="000667B3">
        <w:t>, 6 January 2016, pp. 63–64.</w:t>
      </w:r>
    </w:p>
  </w:footnote>
  <w:footnote w:id="249">
    <w:p w:rsidR="000230CB" w:rsidRDefault="000230CB" w:rsidP="00FF645A">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0">
    <w:p w:rsidR="000230CB" w:rsidRDefault="000230CB" w:rsidP="00FF645A">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1">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2">
    <w:p w:rsidR="000230CB" w:rsidRDefault="000230CB" w:rsidP="00FF645A">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footnote>
  <w:footnote w:id="253">
    <w:p w:rsidR="000230CB" w:rsidRDefault="000230CB" w:rsidP="00FF645A">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4">
    <w:p w:rsidR="000230CB" w:rsidRDefault="000230CB" w:rsidP="00FF645A">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55">
    <w:p w:rsidR="000230CB" w:rsidRDefault="000230CB" w:rsidP="00FF645A">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56">
    <w:p w:rsidR="000230CB" w:rsidRDefault="000230CB" w:rsidP="00FF645A">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57">
    <w:p w:rsidR="000230CB" w:rsidRDefault="000230CB" w:rsidP="00FF645A">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58">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59">
    <w:p w:rsidR="000230CB" w:rsidRDefault="000230CB" w:rsidP="00FF645A">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0230CB" w:rsidRDefault="000230CB" w:rsidP="00FF645A">
      <w:pPr>
        <w:pStyle w:val="FootnoteText"/>
      </w:pPr>
      <w:r>
        <w:tab/>
      </w:r>
      <w:r w:rsidRPr="000667B3">
        <w:t xml:space="preserve">Powercor, </w:t>
      </w:r>
      <w:r w:rsidRPr="000667B3">
        <w:rPr>
          <w:rStyle w:val="Emphasis"/>
        </w:rPr>
        <w:t>Revised regulatory proposal 2016–2020,</w:t>
      </w:r>
      <w:r w:rsidRPr="000667B3">
        <w:t xml:space="preserve"> January 2016, pp. 308–309; ActewAGL, </w:t>
      </w:r>
      <w:r w:rsidRPr="000667B3">
        <w:rPr>
          <w:rStyle w:val="Emphasis"/>
        </w:rPr>
        <w:t>Revised 2016–21 access arrangement proposal Response to the AER's draft decision, Appendix 5.01 Detailed response to rate of return, gamma and inflation</w:t>
      </w:r>
      <w:r w:rsidRPr="000667B3">
        <w:t xml:space="preserve">, January 2016, pp. 91–92; United Energy, </w:t>
      </w:r>
      <w:r w:rsidRPr="000667B3">
        <w:rPr>
          <w:rStyle w:val="Emphasis"/>
        </w:rPr>
        <w:t>Response to AER preliminary determination–Re: rate of return and gamma</w:t>
      </w:r>
      <w:r w:rsidRPr="000667B3">
        <w:t xml:space="preserve">, 6 January 2016, p. 68; AGN, </w:t>
      </w:r>
      <w:r w:rsidRPr="000667B3">
        <w:rPr>
          <w:rStyle w:val="Emphasis"/>
        </w:rPr>
        <w:t>2016–17 to 2020/21 Access Arrangement information response to draft decision: Attachment 10.26 Response to draft decision: rate of return</w:t>
      </w:r>
      <w:r w:rsidRPr="000667B3">
        <w:t xml:space="preserve">, January 2016, pp. 72–73;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73–74; AusNet Services, </w:t>
      </w:r>
      <w:r w:rsidRPr="000667B3">
        <w:rPr>
          <w:rStyle w:val="Emphasis"/>
        </w:rPr>
        <w:t>Electricity distribution price review 2016–20 Revised regulatory proposal: Chapter 7 Rate of return &amp; gamma</w:t>
      </w:r>
      <w:r w:rsidRPr="000667B3">
        <w:t>, 6 January 2016, p. 67.</w:t>
      </w:r>
    </w:p>
  </w:footnote>
  <w:footnote w:id="260">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0230CB" w:rsidRDefault="000230CB" w:rsidP="00FF645A">
      <w:pPr>
        <w:pStyle w:val="FootnoteText"/>
      </w:pPr>
      <w:r>
        <w:tab/>
      </w:r>
      <w:r w:rsidRPr="000667B3">
        <w:t xml:space="preserve">Powercor, </w:t>
      </w:r>
      <w:r w:rsidRPr="000667B3">
        <w:rPr>
          <w:rStyle w:val="Emphasis"/>
        </w:rPr>
        <w:t>Revised regulatory proposal 2016–2020,</w:t>
      </w:r>
      <w:r w:rsidRPr="000667B3">
        <w:t xml:space="preserve"> January 2016, pp. 305–308; ActewAGL, </w:t>
      </w:r>
      <w:r w:rsidRPr="000667B3">
        <w:rPr>
          <w:rStyle w:val="Emphasis"/>
        </w:rPr>
        <w:t>Revised 2016–21 access arrangement proposal Response to the AER's draft decision, Appendix 5.01 Detailed response to rate of return, gamma and inflation</w:t>
      </w:r>
      <w:r w:rsidRPr="000667B3">
        <w:t xml:space="preserve">, January 2016, pp. 87–89; United Energy, </w:t>
      </w:r>
      <w:r w:rsidRPr="000667B3">
        <w:rPr>
          <w:rStyle w:val="Emphasis"/>
        </w:rPr>
        <w:t>Response to AER preliminary determination–Re: rate of return and gamma</w:t>
      </w:r>
      <w:r w:rsidRPr="000667B3">
        <w:t xml:space="preserve">, 6 January 2016, pp. 65–66; AGN, </w:t>
      </w:r>
      <w:r w:rsidRPr="000667B3">
        <w:rPr>
          <w:rStyle w:val="Emphasis"/>
        </w:rPr>
        <w:t>2016–17 to 2020/21 Access Arrangement information response to draft decision: Attachment 10.26 Response to draft decision: rate of return</w:t>
      </w:r>
      <w:r w:rsidRPr="000667B3">
        <w:t xml:space="preserve">, January 2016, pp. 69–71;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70–72; AusNet Services, </w:t>
      </w:r>
      <w:r w:rsidRPr="000667B3">
        <w:rPr>
          <w:rStyle w:val="Emphasis"/>
        </w:rPr>
        <w:t>Electricity distribution price review 2016–20 Revised regulatory proposal: Chapter 7 Rate of return &amp; gamma</w:t>
      </w:r>
      <w:r w:rsidRPr="000667B3">
        <w:t>, 6 January 2016, pp. 64–65.</w:t>
      </w:r>
    </w:p>
  </w:footnote>
  <w:footnote w:id="261">
    <w:p w:rsidR="000230CB" w:rsidRDefault="000230CB" w:rsidP="00FF645A">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2">
    <w:p w:rsidR="000230CB" w:rsidRDefault="000230CB" w:rsidP="00FF645A">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3">
    <w:p w:rsidR="000230CB" w:rsidRDefault="000230CB" w:rsidP="00FF645A">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64">
    <w:p w:rsidR="000230CB" w:rsidRDefault="000230CB" w:rsidP="00FF645A">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65">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66">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67">
    <w:p w:rsidR="000230CB" w:rsidRDefault="000230CB" w:rsidP="00FF645A">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68">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0230CB" w:rsidRDefault="000230CB" w:rsidP="00FF645A">
      <w:pPr>
        <w:pStyle w:val="FootnoteText"/>
      </w:pPr>
      <w:r>
        <w:tab/>
      </w:r>
      <w:r w:rsidRPr="000667B3">
        <w:t xml:space="preserve">Powercor, </w:t>
      </w:r>
      <w:r w:rsidRPr="000667B3">
        <w:rPr>
          <w:rStyle w:val="Emphasis"/>
        </w:rPr>
        <w:t>Revised regulatory proposal 2016–2020,</w:t>
      </w:r>
      <w:r w:rsidRPr="000667B3">
        <w:t xml:space="preserve"> January 2016, pp. 309–310; ActewAGL, </w:t>
      </w:r>
      <w:r w:rsidRPr="000667B3">
        <w:rPr>
          <w:rStyle w:val="Emphasis"/>
        </w:rPr>
        <w:t>Revised 2016–21 access arrangement proposal Response to the AER's draft decision, Appendix 5.01 Detailed response to rate of return, gamma and inflation</w:t>
      </w:r>
      <w:r w:rsidRPr="000667B3">
        <w:t xml:space="preserve">, January 2016, pp. 93–94; United Energy, </w:t>
      </w:r>
      <w:r w:rsidRPr="000667B3">
        <w:rPr>
          <w:rStyle w:val="Emphasis"/>
        </w:rPr>
        <w:t>Response to AER preliminary determination–Re: rate of return and gamma</w:t>
      </w:r>
      <w:r w:rsidRPr="000667B3">
        <w:t xml:space="preserve">, 6 January 2016, pp. 69–70; AGN, </w:t>
      </w:r>
      <w:r w:rsidRPr="000667B3">
        <w:rPr>
          <w:rStyle w:val="Emphasis"/>
        </w:rPr>
        <w:t>2016–17 to 2020/21 Access Arrangement information response to draft decision: Attachment 10.26 Response to draft decision: rate of return</w:t>
      </w:r>
      <w:r w:rsidRPr="000667B3">
        <w:t xml:space="preserve">, January 2016, pp. 73–74;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74–75; AusNet Services, </w:t>
      </w:r>
      <w:r w:rsidRPr="000667B3">
        <w:rPr>
          <w:rStyle w:val="Emphasis"/>
        </w:rPr>
        <w:t>Electricity distribution price review 2016–20 Revised regulatory proposal: Chapter 7 Rate of return &amp; gamma</w:t>
      </w:r>
      <w:r w:rsidRPr="000667B3">
        <w:t>, 6 January 2016, pp. 68–69.</w:t>
      </w:r>
    </w:p>
  </w:footnote>
  <w:footnote w:id="269">
    <w:p w:rsidR="000230CB" w:rsidRDefault="000230CB" w:rsidP="00FF645A">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0">
    <w:p w:rsidR="000230CB" w:rsidRDefault="000230CB" w:rsidP="00FF645A">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1">
    <w:p w:rsidR="000230CB" w:rsidRDefault="000230CB" w:rsidP="00FF645A">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2">
    <w:p w:rsidR="000230CB" w:rsidRDefault="000230CB" w:rsidP="00FF645A">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3">
    <w:p w:rsidR="000230CB" w:rsidRDefault="000230CB" w:rsidP="00FF645A">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74">
    <w:p w:rsidR="000230CB" w:rsidRDefault="000230CB" w:rsidP="00FF645A">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75">
    <w:p w:rsidR="000230CB" w:rsidRDefault="000230CB" w:rsidP="00FF645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76">
    <w:p w:rsidR="000230CB" w:rsidRDefault="000230CB" w:rsidP="00FF645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77">
    <w:p w:rsidR="000230CB" w:rsidRDefault="000230CB" w:rsidP="00FF645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78">
    <w:p w:rsidR="000230CB" w:rsidRDefault="000230CB" w:rsidP="00FF645A">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79">
    <w:p w:rsidR="000230CB" w:rsidRDefault="000230CB" w:rsidP="00FF645A">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0">
    <w:p w:rsidR="000230CB" w:rsidRDefault="000230CB" w:rsidP="00FF645A">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1">
    <w:p w:rsidR="000230CB" w:rsidRDefault="000230CB" w:rsidP="00FF645A">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0230CB" w:rsidRDefault="000230CB" w:rsidP="00FF645A">
      <w:pPr>
        <w:pStyle w:val="FootnoteText"/>
      </w:pPr>
      <w:r>
        <w:tab/>
      </w:r>
      <w:r w:rsidRPr="000667B3">
        <w:t xml:space="preserve">CitiPower, </w:t>
      </w:r>
      <w:r w:rsidRPr="000667B3">
        <w:rPr>
          <w:rStyle w:val="AERtextitalic"/>
        </w:rPr>
        <w:t>Revised proposal</w:t>
      </w:r>
      <w:r w:rsidRPr="000667B3">
        <w:t xml:space="preserve">, January 2016, pp. 311–313; Powercor, </w:t>
      </w:r>
      <w:r w:rsidRPr="000667B3">
        <w:rPr>
          <w:rStyle w:val="Emphasis"/>
        </w:rPr>
        <w:t>Revised regulatory proposal 2016–2020,</w:t>
      </w:r>
      <w:r w:rsidRPr="000667B3">
        <w:t xml:space="preserve"> January 2016, pp. 305–307; ActewAGL, </w:t>
      </w:r>
      <w:r w:rsidRPr="000667B3">
        <w:rPr>
          <w:rStyle w:val="Emphasis"/>
        </w:rPr>
        <w:t>Revised 2016–21 access arrangement proposal Response to the AER's draft decision, Appendix 5.01 Detailed response to rate of return, gamma and inflation</w:t>
      </w:r>
      <w:r w:rsidRPr="000667B3">
        <w:t xml:space="preserve">, January 2016, pp. 87–91; United Energy, </w:t>
      </w:r>
      <w:r w:rsidRPr="000667B3">
        <w:rPr>
          <w:rStyle w:val="Emphasis"/>
        </w:rPr>
        <w:t>Response to AER preliminary determination–Re: rate of return and gamma</w:t>
      </w:r>
      <w:r w:rsidRPr="000667B3">
        <w:t xml:space="preserve">, 6 January 2016, pp. 65–67; AGN, </w:t>
      </w:r>
      <w:r w:rsidRPr="000667B3">
        <w:rPr>
          <w:rStyle w:val="Emphasis"/>
        </w:rPr>
        <w:t>2016–17 to 2020/21 Access Arrangement information response to draft decision: Attachment 10.26 Response to draft decision: rate of return</w:t>
      </w:r>
      <w:r w:rsidRPr="000667B3">
        <w:t xml:space="preserve">, January 2016, pp. 69–71; JEN (Vic), </w:t>
      </w:r>
      <w:r w:rsidRPr="000667B3">
        <w:rPr>
          <w:rStyle w:val="Emphasis"/>
        </w:rPr>
        <w:t>2016–20 Electricity distribution price review regulatory proposal revocation and substitution submission: Attachment 6–1 Rate of return, gamma, forecast inflation, and debt and equity raising costs,</w:t>
      </w:r>
      <w:r w:rsidRPr="000667B3">
        <w:t xml:space="preserve"> 6 January 2016, pp. 70–72; AusNet Services, </w:t>
      </w:r>
      <w:r w:rsidRPr="000667B3">
        <w:rPr>
          <w:rStyle w:val="Emphasis"/>
        </w:rPr>
        <w:t>Electricity distribution price review 2016–20 Revised regulatory proposal: Chapter 7 Rate of return &amp; gamma</w:t>
      </w:r>
      <w:r w:rsidRPr="000667B3">
        <w:t>, 6 January 2016, pp. 64–66</w:t>
      </w:r>
      <w:r>
        <w:t>.</w:t>
      </w:r>
    </w:p>
    <w:p w:rsidR="000230CB" w:rsidRDefault="000230CB" w:rsidP="00FF645A">
      <w:pPr>
        <w:pStyle w:val="FootnoteText"/>
      </w:pPr>
      <w:r>
        <w:tab/>
        <w:t xml:space="preserve">Also see Frontier Economics, </w:t>
      </w:r>
      <w:r>
        <w:rPr>
          <w:rStyle w:val="AERtextitalic"/>
        </w:rPr>
        <w:t>The required return on equity under a foundation model approach</w:t>
      </w:r>
      <w:r>
        <w:t>, January 2016, p. 39.</w:t>
      </w:r>
    </w:p>
  </w:footnote>
  <w:footnote w:id="282">
    <w:p w:rsidR="000230CB" w:rsidRDefault="000230CB" w:rsidP="00FF645A">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footnote>
  <w:footnote w:id="283">
    <w:p w:rsidR="000230CB" w:rsidRDefault="000230CB" w:rsidP="00FF645A">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84">
    <w:p w:rsidR="000230CB" w:rsidRDefault="000230CB" w:rsidP="00FF645A">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85">
    <w:p w:rsidR="000230CB" w:rsidRDefault="000230CB" w:rsidP="008F4F73">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86">
    <w:p w:rsidR="000230CB" w:rsidRDefault="000230CB" w:rsidP="008F4F73">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87">
    <w:p w:rsidR="000230CB" w:rsidRDefault="000230CB" w:rsidP="008F4F73">
      <w:pPr>
        <w:pStyle w:val="FootnoteText"/>
      </w:pPr>
      <w:r>
        <w:rPr>
          <w:rStyle w:val="FootnoteReference"/>
        </w:rPr>
        <w:footnoteRef/>
      </w:r>
      <w:r>
        <w:t xml:space="preserve"> </w:t>
      </w:r>
      <w:r>
        <w:tab/>
        <w:t xml:space="preserve">Or more precisely, a benchmark efficient entity with a similar degree of risk as </w:t>
      </w:r>
      <w:r w:rsidRPr="00A37246">
        <w:t>AGN</w:t>
      </w:r>
      <w:r>
        <w:t xml:space="preserve"> in respect of the provision of reference services.</w:t>
      </w:r>
    </w:p>
  </w:footnote>
  <w:footnote w:id="288">
    <w:p w:rsidR="000230CB" w:rsidRDefault="000230CB" w:rsidP="008F4F73">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89">
    <w:p w:rsidR="000230CB" w:rsidRDefault="000230CB" w:rsidP="008F4F73">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0">
    <w:p w:rsidR="000230CB" w:rsidRDefault="000230CB" w:rsidP="008F4F73">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1">
    <w:p w:rsidR="000230CB" w:rsidRDefault="000230CB" w:rsidP="008F4F73">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2">
    <w:p w:rsidR="000230CB" w:rsidRDefault="000230CB" w:rsidP="008F4F73">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3">
    <w:p w:rsidR="000230CB" w:rsidRDefault="000230CB" w:rsidP="008F4F73">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294">
    <w:p w:rsidR="000230CB" w:rsidRDefault="000230CB" w:rsidP="008F4F73">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C.7</w:t>
      </w:r>
      <w:r>
        <w:fldChar w:fldCharType="end"/>
      </w:r>
      <w:r>
        <w:t xml:space="preserve"> respectively.</w:t>
      </w:r>
    </w:p>
  </w:footnote>
  <w:footnote w:id="295">
    <w:p w:rsidR="000230CB" w:rsidRDefault="000230CB" w:rsidP="008F4F73">
      <w:pPr>
        <w:pStyle w:val="FootnoteText"/>
      </w:pPr>
      <w:r>
        <w:rPr>
          <w:rStyle w:val="FootnoteReference"/>
        </w:rPr>
        <w:footnoteRef/>
      </w:r>
      <w:r>
        <w:t xml:space="preserve"> </w:t>
      </w:r>
      <w:r>
        <w:tab/>
        <w:t>Estimated as the difference between our estimate of the equity risk premium and the prevailing debt risk premium for March 2016.</w:t>
      </w:r>
    </w:p>
  </w:footnote>
  <w:footnote w:id="296">
    <w:p w:rsidR="000230CB" w:rsidRDefault="000230CB" w:rsidP="008F4F73">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97">
    <w:p w:rsidR="000230CB" w:rsidRDefault="000230CB" w:rsidP="008F4F73">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101 of Attachment 3 to our preliminary decision for </w:t>
      </w:r>
      <w:r w:rsidRPr="00D66C2D">
        <w:t>AGN</w:t>
      </w:r>
      <w:r w:rsidRPr="00D66C2D" w:rsidDel="00F8641A">
        <w:t xml:space="preserve"> </w:t>
      </w:r>
      <w:r>
        <w:t>.</w:t>
      </w:r>
    </w:p>
  </w:footnote>
  <w:footnote w:id="298">
    <w:p w:rsidR="000230CB" w:rsidRDefault="000230CB" w:rsidP="008F4F73">
      <w:pPr>
        <w:pStyle w:val="FootnoteText"/>
      </w:pPr>
      <w:r>
        <w:rPr>
          <w:rStyle w:val="FootnoteReference"/>
        </w:rPr>
        <w:footnoteRef/>
      </w:r>
      <w:r>
        <w:t xml:space="preserve"> </w:t>
      </w:r>
      <w:r>
        <w:tab/>
        <w:t xml:space="preserve">RBA, </w:t>
      </w:r>
      <w:r w:rsidRPr="001A0C41">
        <w:rPr>
          <w:rStyle w:val="AERtextitalic"/>
        </w:rPr>
        <w:t>Statement on monetary policy</w:t>
      </w:r>
      <w:r>
        <w:t>, February 2016, p. 50.</w:t>
      </w:r>
    </w:p>
  </w:footnote>
  <w:footnote w:id="299">
    <w:p w:rsidR="000230CB" w:rsidRDefault="000230CB" w:rsidP="008F4F73">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101 of Attachment 3 to our draft decision for </w:t>
      </w:r>
      <w:r w:rsidRPr="00CA1ED0">
        <w:t>AGN</w:t>
      </w:r>
      <w:r>
        <w:t>.</w:t>
      </w:r>
    </w:p>
  </w:footnote>
  <w:footnote w:id="300">
    <w:p w:rsidR="000230CB" w:rsidRDefault="000230CB" w:rsidP="008F4F73">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1">
    <w:p w:rsidR="000230CB" w:rsidRDefault="000230CB" w:rsidP="008F4F73">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2">
    <w:p w:rsidR="000230CB" w:rsidRDefault="000230CB" w:rsidP="008F4F73">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3">
    <w:p w:rsidR="000230CB" w:rsidRDefault="000230CB" w:rsidP="008F4F73">
      <w:pPr>
        <w:pStyle w:val="FootnoteText"/>
      </w:pPr>
      <w:r>
        <w:rPr>
          <w:rStyle w:val="FootnoteReference"/>
        </w:rPr>
        <w:footnoteRef/>
      </w:r>
      <w:r>
        <w:t xml:space="preserve"> </w:t>
      </w:r>
      <w:r>
        <w:tab/>
        <w:t>For details, see section L.1 of Confidential Appendix L in Attachment 3 to our draft decision.</w:t>
      </w:r>
    </w:p>
  </w:footnote>
  <w:footnote w:id="304">
    <w:p w:rsidR="000230CB" w:rsidRDefault="000230CB" w:rsidP="008F4F73">
      <w:pPr>
        <w:pStyle w:val="FootnoteText"/>
      </w:pPr>
      <w:r>
        <w:rPr>
          <w:rStyle w:val="FootnoteReference"/>
        </w:rPr>
        <w:footnoteRef/>
      </w:r>
      <w:r>
        <w:t xml:space="preserve"> </w:t>
      </w:r>
      <w:r>
        <w:tab/>
        <w:t xml:space="preserve">See section </w:t>
      </w:r>
      <w:r>
        <w:fldChar w:fldCharType="begin"/>
      </w:r>
      <w:r>
        <w:instrText xml:space="preserve"> REF _Ref451692404 \r \h </w:instrText>
      </w:r>
      <w:r>
        <w:fldChar w:fldCharType="separate"/>
      </w:r>
      <w:r>
        <w:t>E</w:t>
      </w:r>
      <w:r>
        <w:fldChar w:fldCharType="end"/>
      </w:r>
      <w:r>
        <w:t xml:space="preserve"> for further discussion.</w:t>
      </w:r>
    </w:p>
  </w:footnote>
  <w:footnote w:id="305">
    <w:p w:rsidR="000230CB" w:rsidRDefault="000230CB" w:rsidP="008F4F73">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06">
    <w:p w:rsidR="000230CB" w:rsidRDefault="000230CB" w:rsidP="008F4F73">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07">
    <w:p w:rsidR="000230CB" w:rsidRDefault="000230CB" w:rsidP="008F4F73">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08">
    <w:p w:rsidR="000230CB" w:rsidRDefault="000230CB" w:rsidP="008F4F73">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09">
    <w:p w:rsidR="000230CB" w:rsidRDefault="000230CB" w:rsidP="008F4F73">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0">
    <w:p w:rsidR="000230CB" w:rsidRDefault="000230CB" w:rsidP="008F4F73">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1">
    <w:p w:rsidR="000230CB" w:rsidRDefault="000230CB" w:rsidP="008F4F73">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2">
    <w:p w:rsidR="000230CB" w:rsidRDefault="000230CB" w:rsidP="008F4F73">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3">
    <w:p w:rsidR="000230CB" w:rsidRDefault="000230CB" w:rsidP="008F4F73">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4">
    <w:p w:rsidR="000230CB" w:rsidRDefault="000230CB" w:rsidP="008F4F73">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15">
    <w:p w:rsidR="000230CB" w:rsidRDefault="000230CB" w:rsidP="008F4F73">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16">
    <w:p w:rsidR="000230CB" w:rsidRDefault="000230CB" w:rsidP="008F4F73">
      <w:pPr>
        <w:pStyle w:val="FootnoteText"/>
      </w:pPr>
      <w:r>
        <w:rPr>
          <w:rStyle w:val="FootnoteReference"/>
        </w:rPr>
        <w:footnoteRef/>
      </w:r>
      <w:r>
        <w:t xml:space="preserve"> </w:t>
      </w:r>
      <w:r>
        <w:tab/>
        <w:t xml:space="preserve">We consider that </w:t>
      </w:r>
      <w:r>
        <w:rPr>
          <w:rStyle w:val="AERtextsize8"/>
        </w:rPr>
        <w:t>AGN</w:t>
      </w:r>
      <w:r>
        <w:t xml:space="preserve"> would be shielded from systematic risk due to reasons such natural monopoly positions and limited demand risk.</w:t>
      </w:r>
    </w:p>
  </w:footnote>
  <w:footnote w:id="317">
    <w:p w:rsidR="000230CB" w:rsidRDefault="000230CB" w:rsidP="008F4F73">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18">
    <w:p w:rsidR="000230CB" w:rsidRDefault="000230CB" w:rsidP="008F4F73">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19">
    <w:p w:rsidR="000230CB" w:rsidRDefault="000230CB" w:rsidP="008F4F73">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0">
    <w:p w:rsidR="000230CB" w:rsidRDefault="000230CB" w:rsidP="008F4F73">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1">
    <w:p w:rsidR="000230CB" w:rsidRDefault="000230CB" w:rsidP="008F4F73">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2">
    <w:p w:rsidR="000230CB" w:rsidRDefault="000230CB" w:rsidP="008F4F73">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3">
    <w:p w:rsidR="000230CB" w:rsidRDefault="000230CB" w:rsidP="008F4F73">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xml:space="preserve">, 6 January 2016, pp.53–54,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pp.70–74.</w:t>
      </w:r>
    </w:p>
  </w:footnote>
  <w:footnote w:id="324">
    <w:p w:rsidR="000230CB" w:rsidRDefault="000230CB" w:rsidP="008F4F73">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25">
    <w:p w:rsidR="000230CB" w:rsidRDefault="000230CB" w:rsidP="008F4F73">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26">
    <w:p w:rsidR="000230CB" w:rsidRDefault="000230CB" w:rsidP="008F4F73">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27">
    <w:p w:rsidR="000230CB" w:rsidRDefault="000230CB" w:rsidP="008F4F73">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28">
    <w:p w:rsidR="000230CB" w:rsidRDefault="000230CB" w:rsidP="008F4F73">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29">
    <w:p w:rsidR="000230CB" w:rsidRDefault="000230CB" w:rsidP="008F4F73">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0">
    <w:p w:rsidR="000230CB" w:rsidRDefault="000230CB" w:rsidP="008F4F73">
      <w:pPr>
        <w:pStyle w:val="FootnoteText"/>
      </w:pPr>
      <w:r>
        <w:rPr>
          <w:rStyle w:val="FootnoteReference"/>
        </w:rPr>
        <w:footnoteRef/>
      </w:r>
      <w:r>
        <w:t xml:space="preserve"> </w:t>
      </w:r>
      <w:r>
        <w:tab/>
        <w:t xml:space="preserve">Or more precisely, a benchmark efficient entity with a similar degree of risk as </w:t>
      </w:r>
      <w:r>
        <w:rPr>
          <w:rStyle w:val="AERtextsize8"/>
        </w:rPr>
        <w:t>AGN</w:t>
      </w:r>
      <w:r>
        <w:t xml:space="preserve"> in respect of the provision of reference services.</w:t>
      </w:r>
    </w:p>
  </w:footnote>
  <w:footnote w:id="331">
    <w:p w:rsidR="000230CB" w:rsidRDefault="000230CB" w:rsidP="008F4F73">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2">
    <w:p w:rsidR="000230CB" w:rsidRDefault="000230CB" w:rsidP="008F4F73">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3">
    <w:p w:rsidR="000230CB" w:rsidRDefault="000230CB" w:rsidP="008F4F73">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4">
    <w:p w:rsidR="000230CB" w:rsidRDefault="000230CB" w:rsidP="008F4F73">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35">
    <w:p w:rsidR="000230CB" w:rsidRDefault="000230CB" w:rsidP="008F4F73">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March 2013, pp. 32–38.</w:t>
      </w:r>
      <w:r w:rsidRPr="00B55FA0">
        <w:t xml:space="preserve">AER, </w:t>
      </w:r>
      <w:r w:rsidRPr="00B55FA0">
        <w:rPr>
          <w:rStyle w:val="Emphasis"/>
        </w:rPr>
        <w:t>Draft decision Australian Gas Networks access arrangement 2016 to 2021–Attachment 3: rate of return</w:t>
      </w:r>
      <w:r w:rsidRPr="00B55FA0">
        <w:t>, November 2015, pp. 275–277</w:t>
      </w:r>
    </w:p>
    <w:p w:rsidR="000230CB" w:rsidRDefault="000230CB" w:rsidP="008F4F73">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36">
    <w:p w:rsidR="000230CB" w:rsidRDefault="000230CB" w:rsidP="008F4F73">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market risk premium expected by investors</w:t>
      </w:r>
      <w:r w:rsidRPr="0056174F">
        <w:t>.</w:t>
      </w:r>
    </w:p>
  </w:footnote>
  <w:footnote w:id="337">
    <w:p w:rsidR="000230CB" w:rsidRDefault="000230CB" w:rsidP="008F4F73">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38">
    <w:p w:rsidR="000230CB" w:rsidRDefault="000230CB" w:rsidP="008F4F73">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39">
    <w:p w:rsidR="000230CB" w:rsidRDefault="000230CB" w:rsidP="008F4F73">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0">
    <w:p w:rsidR="000230CB" w:rsidRDefault="000230CB" w:rsidP="008F4F73">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1">
    <w:p w:rsidR="000230CB" w:rsidRDefault="000230CB" w:rsidP="008F4F73">
      <w:pPr>
        <w:pStyle w:val="FootnoteText"/>
      </w:pPr>
      <w:r>
        <w:rPr>
          <w:rStyle w:val="FootnoteReference"/>
        </w:rPr>
        <w:footnoteRef/>
      </w:r>
      <w:r>
        <w:t xml:space="preserve"> </w:t>
      </w:r>
      <w:r>
        <w:tab/>
        <w:t xml:space="preserve">For example, see </w:t>
      </w:r>
      <w:r w:rsidRPr="00C36099">
        <w:t xml:space="preserve">, </w:t>
      </w:r>
      <w:r w:rsidRPr="00C36099">
        <w:rPr>
          <w:rStyle w:val="Emphasis"/>
        </w:rPr>
        <w:t>Draft decision Australian Gas Networks access arrangement 2016 to 2021–Attachment 3: rate of return</w:t>
      </w:r>
      <w:r w:rsidRPr="00C36099">
        <w:t>, November 2015, pp. 275–277.</w:t>
      </w:r>
    </w:p>
  </w:footnote>
  <w:footnote w:id="342">
    <w:p w:rsidR="000230CB" w:rsidRDefault="000230CB" w:rsidP="008F4F73">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3">
    <w:p w:rsidR="000230CB" w:rsidRDefault="000230CB" w:rsidP="008F4F73">
      <w:pPr>
        <w:pStyle w:val="FootnoteText"/>
      </w:pPr>
      <w:r>
        <w:rPr>
          <w:rStyle w:val="FootnoteReference"/>
        </w:rPr>
        <w:footnoteRef/>
      </w:r>
      <w:r>
        <w:t xml:space="preserve"> </w:t>
      </w:r>
      <w:r>
        <w:tab/>
        <w:t xml:space="preserve">A 2014 article from McKinsey and a 2012 article from JP Morgan. </w:t>
      </w:r>
    </w:p>
  </w:footnote>
  <w:footnote w:id="344">
    <w:p w:rsidR="000230CB" w:rsidRDefault="000230CB" w:rsidP="008F4F73">
      <w:pPr>
        <w:pStyle w:val="FootnoteText"/>
      </w:pPr>
      <w:r>
        <w:rPr>
          <w:rStyle w:val="FootnoteReference"/>
        </w:rPr>
        <w:footnoteRef/>
      </w:r>
      <w:r>
        <w:t xml:space="preserve"> </w:t>
      </w:r>
      <w:r>
        <w:tab/>
        <w:t>A 2014 decision by the Federal Energy Regulatory Commission (FERC) in the United States.</w:t>
      </w:r>
    </w:p>
  </w:footnote>
  <w:footnote w:id="345">
    <w:p w:rsidR="000230CB" w:rsidRDefault="000230CB" w:rsidP="008F4F73">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46">
    <w:p w:rsidR="000230CB" w:rsidRDefault="000230CB" w:rsidP="008F4F73">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47">
    <w:p w:rsidR="000230CB" w:rsidRDefault="000230CB" w:rsidP="008F4F73">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48">
    <w:p w:rsidR="000230CB" w:rsidRDefault="000230CB" w:rsidP="008F4F73">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49">
    <w:p w:rsidR="000230CB" w:rsidRDefault="000230CB" w:rsidP="008F4F73">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0">
    <w:p w:rsidR="000230CB" w:rsidRDefault="000230CB" w:rsidP="008F4F73">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351">
    <w:p w:rsidR="000230CB" w:rsidRDefault="000230CB" w:rsidP="008F4F73">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2">
    <w:p w:rsidR="000230CB" w:rsidRDefault="000230CB" w:rsidP="008F4F73">
      <w:pPr>
        <w:pStyle w:val="FootnoteText"/>
      </w:pPr>
      <w:r>
        <w:rPr>
          <w:rStyle w:val="FootnoteReference"/>
        </w:rPr>
        <w:footnoteRef/>
      </w:r>
      <w:r>
        <w:t xml:space="preserve"> </w:t>
      </w:r>
      <w:r>
        <w:tab/>
        <w:t xml:space="preserve">See section C.7.2 of Attachment 3 to our draft decision for </w:t>
      </w:r>
      <w:r w:rsidRPr="00CA1ED0">
        <w:t>AGN</w:t>
      </w:r>
      <w:r>
        <w:t>.</w:t>
      </w:r>
    </w:p>
  </w:footnote>
  <w:footnote w:id="353">
    <w:p w:rsidR="000230CB" w:rsidRDefault="000230CB" w:rsidP="008F4F73">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4">
    <w:p w:rsidR="000230CB" w:rsidRDefault="000230CB" w:rsidP="008F4F73">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55">
    <w:p w:rsidR="000230CB" w:rsidRDefault="000230CB" w:rsidP="008F4F73">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6">
    <w:p w:rsidR="000230CB" w:rsidRDefault="000230CB" w:rsidP="008F4F73">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57">
    <w:p w:rsidR="000230CB" w:rsidRDefault="000230CB" w:rsidP="008F4F73">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8">
    <w:p w:rsidR="000230CB" w:rsidRDefault="000230CB" w:rsidP="008F4F73">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59">
    <w:p w:rsidR="000230CB" w:rsidRDefault="000230CB" w:rsidP="008F4F73">
      <w:pPr>
        <w:pStyle w:val="FootnoteText"/>
      </w:pPr>
      <w:r>
        <w:rPr>
          <w:rStyle w:val="FootnoteReference"/>
        </w:rPr>
        <w:footnoteRef/>
      </w:r>
      <w:r>
        <w:t xml:space="preserve"> </w:t>
      </w:r>
      <w:r>
        <w:tab/>
        <w:t>Assuming rational, well-functioning markets.</w:t>
      </w:r>
    </w:p>
  </w:footnote>
  <w:footnote w:id="360">
    <w:p w:rsidR="000230CB" w:rsidRDefault="000230CB" w:rsidP="008F4F73">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1">
    <w:p w:rsidR="000230CB" w:rsidRDefault="000230CB" w:rsidP="008F4F73">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2">
    <w:p w:rsidR="000230CB" w:rsidRDefault="000230CB" w:rsidP="008F4F73">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3">
    <w:p w:rsidR="000230CB" w:rsidRDefault="000230CB" w:rsidP="008F4F73">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64">
    <w:p w:rsidR="000230CB" w:rsidRDefault="000230CB" w:rsidP="008F4F73">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65">
    <w:p w:rsidR="000230CB" w:rsidRDefault="000230CB" w:rsidP="00D55F59">
      <w:pPr>
        <w:pStyle w:val="FootnoteText"/>
      </w:pPr>
      <w:r>
        <w:rPr>
          <w:rStyle w:val="FootnoteReference"/>
        </w:rPr>
        <w:footnoteRef/>
      </w:r>
      <w:r>
        <w:t xml:space="preserve"> </w:t>
      </w:r>
      <w:r>
        <w:tab/>
      </w:r>
      <w:r w:rsidRPr="00851313">
        <w:t xml:space="preserve">AGN, </w:t>
      </w:r>
      <w:r w:rsidRPr="00851313">
        <w:rPr>
          <w:rStyle w:val="AERtextitalic"/>
        </w:rPr>
        <w:t>Attachment 10.26 response to draft decision: Rate of return</w:t>
      </w:r>
      <w:r w:rsidRPr="00851313">
        <w:t>, January 2016</w:t>
      </w:r>
      <w:r>
        <w:t>, p. 38</w:t>
      </w:r>
      <w:r w:rsidRPr="00851313">
        <w:t>.</w:t>
      </w:r>
    </w:p>
  </w:footnote>
  <w:footnote w:id="366">
    <w:p w:rsidR="000230CB" w:rsidRDefault="000230CB" w:rsidP="00114691">
      <w:pPr>
        <w:pStyle w:val="FootnoteText"/>
      </w:pPr>
      <w:r>
        <w:rPr>
          <w:rStyle w:val="FootnoteReference"/>
        </w:rPr>
        <w:footnoteRef/>
      </w:r>
      <w:r>
        <w:t xml:space="preserve"> </w:t>
      </w:r>
      <w:r>
        <w:tab/>
        <w:t>For clarity, that is 100% of the base rate and DRP components of the allowed return on debt.</w:t>
      </w:r>
    </w:p>
  </w:footnote>
  <w:footnote w:id="367">
    <w:p w:rsidR="000230CB" w:rsidRDefault="000230CB" w:rsidP="00114691">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Pr>
          <w:rStyle w:val="AERtextitalic"/>
        </w:rPr>
        <w:t xml:space="preserve">ActewAGL Distribution,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68">
    <w:p w:rsidR="000230CB" w:rsidRDefault="000230CB" w:rsidP="00114691">
      <w:pPr>
        <w:pStyle w:val="FootnoteText"/>
      </w:pPr>
      <w:r>
        <w:rPr>
          <w:rStyle w:val="FootnoteReference"/>
        </w:rPr>
        <w:footnoteRef/>
      </w:r>
      <w:r>
        <w:t xml:space="preserve"> </w:t>
      </w:r>
      <w:r>
        <w:tab/>
        <w:t>S</w:t>
      </w:r>
      <w:r w:rsidRPr="00AE0473">
        <w:t>uch as our full transition</w:t>
      </w:r>
      <w:r>
        <w:t>.</w:t>
      </w:r>
    </w:p>
  </w:footnote>
  <w:footnote w:id="369">
    <w:p w:rsidR="000230CB" w:rsidRDefault="000230CB" w:rsidP="00B56838">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0">
    <w:p w:rsidR="000230CB" w:rsidRDefault="000230CB" w:rsidP="00B56838">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1">
    <w:p w:rsidR="000230CB" w:rsidRDefault="000230CB" w:rsidP="00114691">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2">
    <w:p w:rsidR="000230CB" w:rsidRDefault="000230CB" w:rsidP="00114691">
      <w:pPr>
        <w:pStyle w:val="FootnoteText"/>
      </w:pPr>
      <w:r>
        <w:rPr>
          <w:rStyle w:val="FootnoteReference"/>
        </w:rPr>
        <w:footnoteRef/>
      </w:r>
      <w:r>
        <w:t xml:space="preserve"> </w:t>
      </w:r>
      <w:r>
        <w:tab/>
        <w:t>This decision determines the return on debt methodology for the 2016–21 access arrangement period. This period covers the first five years of the 10 year transition period. This decision also sets out our intended return on debt methodology for the remaining five years.</w:t>
      </w:r>
    </w:p>
  </w:footnote>
  <w:footnote w:id="373">
    <w:p w:rsidR="000230CB" w:rsidRDefault="000230CB" w:rsidP="00114691">
      <w:pPr>
        <w:pStyle w:val="FootnoteText"/>
      </w:pPr>
      <w:r>
        <w:rPr>
          <w:rStyle w:val="FootnoteReference"/>
        </w:rPr>
        <w:footnoteRef/>
      </w:r>
      <w:r>
        <w:t xml:space="preserve"> </w:t>
      </w:r>
      <w:r>
        <w:tab/>
      </w:r>
      <w:r w:rsidRPr="000938BF">
        <w:t>NER cl. 6.5.2(l) and cl. 6A.6.2(l)</w:t>
      </w:r>
      <w:r>
        <w:t>and NGR, r.87(12). The return on debt methodology for the purposes of the annual update is set out in A</w:t>
      </w:r>
      <w:r w:rsidRPr="00901515">
        <w:t>ppendix</w:t>
      </w:r>
      <w:r w:rsidRPr="009114E9">
        <w:rPr>
          <w:rStyle w:val="AERbody"/>
          <w:sz w:val="16"/>
        </w:rPr>
        <w:t xml:space="preserve"> </w:t>
      </w:r>
      <w:r>
        <w:rPr>
          <w:rStyle w:val="AERbody"/>
          <w:sz w:val="16"/>
        </w:rPr>
        <w:fldChar w:fldCharType="begin"/>
      </w:r>
      <w:r>
        <w:rPr>
          <w:rStyle w:val="AERbody"/>
          <w:sz w:val="16"/>
        </w:rPr>
        <w:instrText xml:space="preserve"> REF _Ref451328902 \r \h </w:instrText>
      </w:r>
      <w:r>
        <w:rPr>
          <w:rStyle w:val="AERbody"/>
          <w:sz w:val="16"/>
        </w:rPr>
      </w:r>
      <w:r>
        <w:rPr>
          <w:rStyle w:val="AERbody"/>
          <w:sz w:val="16"/>
        </w:rPr>
        <w:fldChar w:fldCharType="separate"/>
      </w:r>
      <w:r>
        <w:rPr>
          <w:rStyle w:val="AERbody"/>
          <w:sz w:val="16"/>
        </w:rPr>
        <w:t>J</w:t>
      </w:r>
      <w:r>
        <w:rPr>
          <w:rStyle w:val="AERbody"/>
          <w:sz w:val="16"/>
        </w:rPr>
        <w:fldChar w:fldCharType="end"/>
      </w:r>
      <w:r>
        <w:rPr>
          <w:rStyle w:val="AERbody"/>
        </w:rPr>
        <w:t xml:space="preserve"> </w:t>
      </w:r>
      <w:r>
        <w:t>of this attachment 3.</w:t>
      </w:r>
    </w:p>
  </w:footnote>
  <w:footnote w:id="374">
    <w:p w:rsidR="000230CB" w:rsidRDefault="000230CB" w:rsidP="00114691">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75">
    <w:p w:rsidR="000230CB" w:rsidRDefault="000230CB" w:rsidP="00114691">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76">
    <w:p w:rsidR="000230CB" w:rsidRDefault="000230CB" w:rsidP="00114691">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77">
    <w:p w:rsidR="000230CB" w:rsidRDefault="000230CB" w:rsidP="00114691">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78">
    <w:p w:rsidR="000230CB" w:rsidRDefault="000230CB" w:rsidP="00114691">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79">
    <w:p w:rsidR="000230CB" w:rsidRDefault="000230CB" w:rsidP="00114691">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0">
    <w:p w:rsidR="000230CB" w:rsidRDefault="000230CB" w:rsidP="0011469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1">
    <w:p w:rsidR="000230CB" w:rsidRDefault="000230CB" w:rsidP="0011469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2">
    <w:p w:rsidR="000230CB" w:rsidRDefault="000230CB" w:rsidP="00114691">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3">
    <w:p w:rsidR="000230CB" w:rsidRDefault="000230CB" w:rsidP="00114691">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4">
    <w:p w:rsidR="000230CB" w:rsidRDefault="000230CB" w:rsidP="00114691">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385">
    <w:p w:rsidR="000230CB" w:rsidRDefault="000230CB" w:rsidP="00114691">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6">
    <w:p w:rsidR="000230CB" w:rsidRDefault="000230CB" w:rsidP="00114691">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87">
    <w:p w:rsidR="000230CB" w:rsidRDefault="000230CB" w:rsidP="00114691">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88">
    <w:p w:rsidR="000230CB" w:rsidRDefault="000230CB" w:rsidP="00114691">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rsidRPr="00564427">
        <w:t xml:space="preserve"> </w:t>
      </w:r>
      <w:r>
        <w:t>, 22 February 2016, p. 34</w:t>
      </w:r>
    </w:p>
  </w:footnote>
  <w:footnote w:id="389">
    <w:p w:rsidR="000230CB" w:rsidRDefault="000230CB" w:rsidP="00114691">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0">
    <w:p w:rsidR="000230CB" w:rsidRDefault="000230CB" w:rsidP="00114691">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p.1</w:t>
      </w:r>
    </w:p>
  </w:footnote>
  <w:footnote w:id="391">
    <w:p w:rsidR="000230CB" w:rsidRDefault="000230CB" w:rsidP="00114691">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2">
    <w:p w:rsidR="000230CB" w:rsidRDefault="000230CB" w:rsidP="00114691">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3">
    <w:p w:rsidR="000230CB" w:rsidRDefault="000230CB" w:rsidP="00114691">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4">
    <w:p w:rsidR="000230CB" w:rsidRDefault="000230CB" w:rsidP="00114691">
      <w:pPr>
        <w:pStyle w:val="FootnoteText"/>
      </w:pPr>
      <w:r>
        <w:rPr>
          <w:rStyle w:val="FootnoteReference"/>
        </w:rPr>
        <w:footnoteRef/>
      </w:r>
      <w:r>
        <w:t xml:space="preserve"> </w:t>
      </w:r>
      <w:r>
        <w:tab/>
        <w:t>For the RPPs see NEL, s. 7A; NGL, s. 24.</w:t>
      </w:r>
    </w:p>
  </w:footnote>
  <w:footnote w:id="395">
    <w:p w:rsidR="000230CB" w:rsidRPr="00B57A7C" w:rsidRDefault="000230CB" w:rsidP="0011469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396">
    <w:p w:rsidR="000230CB" w:rsidRDefault="000230CB" w:rsidP="0011469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397">
    <w:p w:rsidR="000230CB" w:rsidRDefault="000230CB" w:rsidP="00114691">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398">
    <w:p w:rsidR="000230CB" w:rsidRDefault="000230CB" w:rsidP="00114691">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399">
    <w:p w:rsidR="000230CB" w:rsidRDefault="000230CB" w:rsidP="00114691">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0">
    <w:p w:rsidR="000230CB" w:rsidRDefault="000230CB" w:rsidP="00114691">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w:t>
      </w:r>
      <w:r w:rsidRPr="00067443">
        <w:t xml:space="preserve">Appendix </w:t>
      </w:r>
      <w:r w:rsidRPr="00067443">
        <w:fldChar w:fldCharType="begin"/>
      </w:r>
      <w:r w:rsidRPr="00067443">
        <w:instrText xml:space="preserve"> REF _Ref451328655 \r \h </w:instrText>
      </w:r>
      <w:r w:rsidRPr="00067443">
        <w:fldChar w:fldCharType="separate"/>
      </w:r>
      <w:r>
        <w:t>H</w:t>
      </w:r>
      <w:r w:rsidRPr="00067443">
        <w:fldChar w:fldCharType="end"/>
      </w:r>
      <w:r>
        <w:t xml:space="preserve">). </w:t>
      </w:r>
    </w:p>
  </w:footnote>
  <w:footnote w:id="401">
    <w:p w:rsidR="000230CB" w:rsidRDefault="000230CB" w:rsidP="00114691">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2">
    <w:p w:rsidR="000230CB" w:rsidRDefault="000230CB" w:rsidP="00114691">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403">
    <w:p w:rsidR="000230CB" w:rsidRDefault="000230CB" w:rsidP="00114691">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404">
    <w:p w:rsidR="000230CB" w:rsidRDefault="000230CB" w:rsidP="00114691">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05">
    <w:p w:rsidR="000230CB" w:rsidRDefault="000230CB" w:rsidP="00114691">
      <w:pPr>
        <w:pStyle w:val="FootnoteText"/>
      </w:pPr>
      <w:r>
        <w:rPr>
          <w:rStyle w:val="FootnoteReference"/>
        </w:rPr>
        <w:footnoteRef/>
      </w:r>
      <w:r>
        <w:t xml:space="preserve"> </w:t>
      </w:r>
      <w:r>
        <w:tab/>
        <w:t>As required under NER, cl. 5.5.2(h); NER, cl. 6A.6.2(h); NGR, cl. 87(8).</w:t>
      </w:r>
    </w:p>
  </w:footnote>
  <w:footnote w:id="406">
    <w:p w:rsidR="000230CB" w:rsidRDefault="000230CB" w:rsidP="00114691">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07">
    <w:p w:rsidR="000230CB" w:rsidRDefault="000230CB" w:rsidP="00114691">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08">
    <w:p w:rsidR="000230CB" w:rsidRDefault="000230CB" w:rsidP="00114691">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09">
    <w:p w:rsidR="000230CB" w:rsidRDefault="000230CB" w:rsidP="00114691">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0">
    <w:p w:rsidR="000230CB" w:rsidRDefault="000230CB" w:rsidP="00114691">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1">
    <w:p w:rsidR="000230CB" w:rsidRDefault="000230CB" w:rsidP="00114691">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2">
    <w:p w:rsidR="000230CB" w:rsidRDefault="000230CB" w:rsidP="00114691">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3">
    <w:p w:rsidR="000230CB" w:rsidRDefault="000230CB" w:rsidP="00114691">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414">
    <w:p w:rsidR="000230CB" w:rsidRDefault="000230CB" w:rsidP="00114691">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15">
    <w:p w:rsidR="000230CB" w:rsidRDefault="000230CB" w:rsidP="00114691">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16">
    <w:p w:rsidR="000230CB" w:rsidRDefault="000230CB" w:rsidP="00114691">
      <w:pPr>
        <w:pStyle w:val="FootnoteText"/>
      </w:pPr>
      <w:r>
        <w:rPr>
          <w:rStyle w:val="FootnoteReference"/>
        </w:rPr>
        <w:footnoteRef/>
      </w:r>
      <w:r>
        <w:t xml:space="preserve"> </w:t>
      </w:r>
      <w:r>
        <w:tab/>
        <w:t>The RPPs require we have regard to this effect on incentives. See NEL, s7A(3)(b); NGL,  s24(3)(b).</w:t>
      </w:r>
    </w:p>
  </w:footnote>
  <w:footnote w:id="417">
    <w:p w:rsidR="000230CB" w:rsidRDefault="000230CB" w:rsidP="00114691">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18">
    <w:p w:rsidR="000230CB" w:rsidRDefault="000230CB" w:rsidP="00114691">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19">
    <w:p w:rsidR="000230CB" w:rsidRDefault="000230CB" w:rsidP="00114691">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0">
    <w:p w:rsidR="000230CB" w:rsidRDefault="000230CB" w:rsidP="00114691">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1">
    <w:p w:rsidR="000230CB" w:rsidRDefault="000230CB" w:rsidP="00114691">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2">
    <w:p w:rsidR="000230CB" w:rsidRDefault="000230CB" w:rsidP="00114691">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13 February 2011, pp. 9</w:t>
      </w:r>
      <w:r>
        <w:rPr>
          <w:rFonts w:cs="Arial"/>
        </w:rPr>
        <w:t>–</w:t>
      </w:r>
      <w:r w:rsidRPr="00586A00">
        <w:t xml:space="preserve">10. </w:t>
      </w:r>
    </w:p>
  </w:footnote>
  <w:footnote w:id="423">
    <w:p w:rsidR="000230CB" w:rsidRDefault="000230CB" w:rsidP="00E33504">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4">
    <w:p w:rsidR="000230CB" w:rsidRDefault="000230CB" w:rsidP="00114691">
      <w:pPr>
        <w:pStyle w:val="FootnoteText"/>
      </w:pPr>
      <w:r>
        <w:rPr>
          <w:rStyle w:val="FootnoteReference"/>
        </w:rPr>
        <w:footnoteRef/>
      </w:r>
      <w:r>
        <w:t xml:space="preserve"> </w:t>
      </w:r>
      <w:r>
        <w:tab/>
        <w:t xml:space="preserve">For example, see AER, </w:t>
      </w:r>
      <w:r>
        <w:rPr>
          <w:rStyle w:val="AERtextitalic"/>
        </w:rPr>
        <w:t xml:space="preserve">Draft </w:t>
      </w:r>
      <w:r w:rsidRPr="00D1603D">
        <w:rPr>
          <w:rStyle w:val="AERtextitalic"/>
        </w:rPr>
        <w:t>decision―</w:t>
      </w:r>
      <w:r>
        <w:rPr>
          <w:rStyle w:val="AERtextitalic"/>
        </w:rPr>
        <w:t>AGN access arrangement</w:t>
      </w:r>
      <w:r w:rsidRPr="00D1603D">
        <w:rPr>
          <w:rStyle w:val="AERtextitalic"/>
        </w:rPr>
        <w:t>, Attachment 3: Rate of return</w:t>
      </w:r>
      <w:r>
        <w:t>, November 2015, pp. 197</w:t>
      </w:r>
      <w:r w:rsidRPr="00D1603D">
        <w:t>–</w:t>
      </w:r>
      <w:r>
        <w:t xml:space="preserve">201. Also see AER, </w:t>
      </w:r>
      <w:r w:rsidRPr="00D1603D">
        <w:rPr>
          <w:rStyle w:val="AERtextitalic"/>
        </w:rPr>
        <w:t>Explanatory statement to the rate of return guideline</w:t>
      </w:r>
      <w:r>
        <w:t>, December 2013, pp. 166</w:t>
      </w:r>
      <w:r>
        <w:rPr>
          <w:rFonts w:cs="Arial"/>
        </w:rPr>
        <w:t>–</w:t>
      </w:r>
      <w:r>
        <w:t>7.</w:t>
      </w:r>
    </w:p>
  </w:footnote>
  <w:footnote w:id="425">
    <w:p w:rsidR="000230CB" w:rsidRDefault="000230CB" w:rsidP="00114691">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26">
    <w:p w:rsidR="000230CB" w:rsidRDefault="000230CB" w:rsidP="00114691">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27">
    <w:p w:rsidR="000230CB" w:rsidRDefault="000230CB" w:rsidP="00E943F9">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28">
    <w:p w:rsidR="000230CB" w:rsidRDefault="000230CB" w:rsidP="00E943F9">
      <w:pPr>
        <w:pStyle w:val="FootnoteText"/>
      </w:pPr>
      <w:r>
        <w:rPr>
          <w:rStyle w:val="FootnoteReference"/>
        </w:rPr>
        <w:footnoteRef/>
      </w:r>
      <w:r>
        <w:t xml:space="preserve"> </w:t>
      </w:r>
      <w:r>
        <w:tab/>
        <w:t xml:space="preserve">AER, </w:t>
      </w:r>
      <w:r w:rsidRPr="001E272C">
        <w:rPr>
          <w:rStyle w:val="AERtextitalic"/>
        </w:rPr>
        <w:t>Draft decision: AGN access arrangement 2016 to 2021, Attachment 3―Rate of return</w:t>
      </w:r>
      <w:r>
        <w:t>, November 2015, pp. 211</w:t>
      </w:r>
      <w:r>
        <w:rPr>
          <w:rFonts w:cs="Arial"/>
        </w:rPr>
        <w:t>–</w:t>
      </w:r>
      <w:r>
        <w:t>215.</w:t>
      </w:r>
    </w:p>
  </w:footnote>
  <w:footnote w:id="429">
    <w:p w:rsidR="000230CB" w:rsidRDefault="000230CB" w:rsidP="00E943F9">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0">
    <w:p w:rsidR="000230CB" w:rsidRDefault="000230CB" w:rsidP="00E943F9">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Citipower,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1">
    <w:p w:rsidR="000230CB" w:rsidRDefault="000230CB" w:rsidP="00E943F9">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2">
    <w:p w:rsidR="000230CB" w:rsidRPr="006F4CF4" w:rsidRDefault="000230CB" w:rsidP="00E943F9">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3">
    <w:p w:rsidR="000230CB" w:rsidRDefault="000230CB" w:rsidP="00E943F9">
      <w:pPr>
        <w:pStyle w:val="FootnoteText"/>
      </w:pPr>
      <w:r>
        <w:rPr>
          <w:rStyle w:val="FootnoteReference"/>
        </w:rPr>
        <w:footnoteRef/>
      </w:r>
      <w:r>
        <w:t xml:space="preserve"> </w:t>
      </w:r>
      <w:r>
        <w:tab/>
        <w:t xml:space="preserve">CCP3, Submission to the AER: An Overview </w:t>
      </w:r>
      <w:r>
        <w:rPr>
          <w:rFonts w:cs="Arial"/>
        </w:rPr>
        <w:t>―</w:t>
      </w:r>
      <w:r>
        <w:t xml:space="preserve"> Response to AER Preliminary Decisions and revised proposals from Victorian electricity DNSPs for a revenue reset for the 2016</w:t>
      </w:r>
      <w:r>
        <w:rPr>
          <w:rFonts w:ascii="Cambria Math" w:hAnsi="Cambria Math" w:cs="Cambria Math"/>
        </w:rPr>
        <w:t>‐</w:t>
      </w:r>
      <w:r>
        <w:t>2020 regulatory period, 22 February 2016, p. 29</w:t>
      </w:r>
    </w:p>
  </w:footnote>
  <w:footnote w:id="434">
    <w:p w:rsidR="000230CB" w:rsidRDefault="000230CB" w:rsidP="00E943F9">
      <w:pPr>
        <w:pStyle w:val="FootnoteText"/>
      </w:pPr>
      <w:r>
        <w:rPr>
          <w:rStyle w:val="FootnoteReference"/>
        </w:rPr>
        <w:footnoteRef/>
      </w:r>
      <w:r>
        <w:t xml:space="preserve"> </w:t>
      </w:r>
      <w:r>
        <w:tab/>
        <w:t xml:space="preserve">We have recognised this in AER, </w:t>
      </w:r>
      <w:r w:rsidRPr="001E272C">
        <w:rPr>
          <w:rStyle w:val="AERtextitalic"/>
        </w:rPr>
        <w:t>Draft decision: AGN access arrangement 2016 to 2021, Attachment 3―Rate of return</w:t>
      </w:r>
      <w:r>
        <w:t>, November 2015, p. 212.</w:t>
      </w:r>
    </w:p>
  </w:footnote>
  <w:footnote w:id="435">
    <w:p w:rsidR="000230CB" w:rsidRDefault="000230CB" w:rsidP="00E943F9">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36">
    <w:p w:rsidR="000230CB" w:rsidRDefault="000230CB" w:rsidP="00E943F9">
      <w:pPr>
        <w:pStyle w:val="FootnoteText"/>
      </w:pPr>
      <w:r>
        <w:rPr>
          <w:rStyle w:val="FootnoteReference"/>
        </w:rPr>
        <w:footnoteRef/>
      </w:r>
      <w:r>
        <w:t xml:space="preserve"> </w:t>
      </w:r>
      <w:r>
        <w:tab/>
        <w:t xml:space="preserve">See for example, AER, </w:t>
      </w:r>
      <w:r w:rsidRPr="001E272C">
        <w:rPr>
          <w:rStyle w:val="AERtextitalic"/>
        </w:rPr>
        <w:t>Draft decision: AGN access arrangement 2016 to 2021, Attachment 3―Rate of return</w:t>
      </w:r>
      <w:r>
        <w:t>, November 2015, pp. 211</w:t>
      </w:r>
      <w:r w:rsidRPr="00D51564">
        <w:t>–</w:t>
      </w:r>
      <w:r>
        <w:t>215.</w:t>
      </w:r>
    </w:p>
  </w:footnote>
  <w:footnote w:id="437">
    <w:p w:rsidR="000230CB" w:rsidRDefault="000230CB" w:rsidP="00E943F9">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Revised Regulatory Proposal 2016—2020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38">
    <w:p w:rsidR="000230CB" w:rsidRDefault="000230CB" w:rsidP="00E943F9">
      <w:pPr>
        <w:pStyle w:val="FootnoteText"/>
      </w:pPr>
      <w:r>
        <w:rPr>
          <w:rStyle w:val="FootnoteReference"/>
        </w:rPr>
        <w:footnoteRef/>
      </w:r>
      <w:r>
        <w:t xml:space="preserve"> </w:t>
      </w:r>
      <w:r>
        <w:tab/>
        <w:t>NER, cl. 6.5.2(b); NGR, r. 87(2).</w:t>
      </w:r>
    </w:p>
  </w:footnote>
  <w:footnote w:id="439">
    <w:p w:rsidR="000230CB" w:rsidRDefault="000230CB" w:rsidP="00E943F9">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0">
    <w:p w:rsidR="000230CB" w:rsidRDefault="000230CB" w:rsidP="00E943F9">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1">
    <w:p w:rsidR="000230CB" w:rsidRDefault="000230CB" w:rsidP="00E943F9">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p.21; AER, </w:t>
      </w:r>
      <w:r w:rsidRPr="00A5241A">
        <w:rPr>
          <w:rStyle w:val="AERtextitalic"/>
        </w:rPr>
        <w:t>Better regulation—Explanatory statement to the rate of return guideline</w:t>
      </w:r>
      <w:r>
        <w:t xml:space="preserve">, December 2013, pp.152–157; AER, </w:t>
      </w:r>
      <w:r>
        <w:rPr>
          <w:rStyle w:val="AERtextitalic"/>
        </w:rPr>
        <w:t>Draft</w:t>
      </w:r>
      <w:r w:rsidRPr="00B96D23">
        <w:rPr>
          <w:rStyle w:val="AERtextitalic"/>
        </w:rPr>
        <w:t xml:space="preserve"> decision </w:t>
      </w:r>
      <w:r>
        <w:rPr>
          <w:rStyle w:val="AERtextitalic"/>
        </w:rPr>
        <w:t xml:space="preserve">Australian Gas Networks access arrangement </w:t>
      </w:r>
      <w:r w:rsidRPr="00B96D23">
        <w:rPr>
          <w:rStyle w:val="AERtextitalic"/>
        </w:rPr>
        <w:t>- Attachment 3 - Rate of return</w:t>
      </w:r>
      <w:r>
        <w:t>, November 2015, p. 216.</w:t>
      </w:r>
    </w:p>
  </w:footnote>
  <w:footnote w:id="442">
    <w:p w:rsidR="000230CB" w:rsidRDefault="000230CB" w:rsidP="00E943F9">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3">
    <w:p w:rsidR="000230CB" w:rsidRDefault="000230CB" w:rsidP="00E943F9">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January 2016, p. 24.</w:t>
      </w:r>
    </w:p>
  </w:footnote>
  <w:footnote w:id="444">
    <w:p w:rsidR="000230CB" w:rsidRDefault="000230CB" w:rsidP="00E943F9">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45">
    <w:p w:rsidR="000230CB" w:rsidRDefault="000230CB" w:rsidP="00E943F9">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46">
    <w:p w:rsidR="000230CB" w:rsidRDefault="000230CB" w:rsidP="00E943F9">
      <w:pPr>
        <w:pStyle w:val="FootnoteText"/>
      </w:pPr>
      <w:r>
        <w:rPr>
          <w:rStyle w:val="FootnoteReference"/>
        </w:rPr>
        <w:footnoteRef/>
      </w:r>
      <w:r>
        <w:t xml:space="preserve"> </w:t>
      </w:r>
      <w:r>
        <w:tab/>
        <w:t xml:space="preserve">APTNT, </w:t>
      </w:r>
      <w:r w:rsidRPr="00820ABF">
        <w:rPr>
          <w:rStyle w:val="AERtextitalic"/>
        </w:rPr>
        <w:t>Access Arrangement Revised Proposal Response to Draft Decision</w:t>
      </w:r>
      <w:r>
        <w:t>, January 2016, p. 88.</w:t>
      </w:r>
    </w:p>
  </w:footnote>
  <w:footnote w:id="447">
    <w:p w:rsidR="000230CB" w:rsidRDefault="000230CB" w:rsidP="00E943F9">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48">
    <w:p w:rsidR="000230CB" w:rsidRDefault="000230CB" w:rsidP="00E943F9">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49">
    <w:p w:rsidR="000230CB" w:rsidRDefault="000230CB" w:rsidP="00E943F9">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0">
    <w:p w:rsidR="000230CB" w:rsidRDefault="000230CB" w:rsidP="00E943F9">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1">
    <w:p w:rsidR="000230CB" w:rsidRDefault="000230CB" w:rsidP="00E943F9">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2">
    <w:p w:rsidR="000230CB" w:rsidRDefault="000230CB" w:rsidP="00E943F9">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53">
    <w:p w:rsidR="000230CB" w:rsidRDefault="000230CB" w:rsidP="00E943F9">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4">
    <w:p w:rsidR="000230CB" w:rsidRDefault="000230CB" w:rsidP="00E943F9">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55">
    <w:p w:rsidR="000230CB" w:rsidRDefault="000230CB" w:rsidP="00E943F9">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56">
    <w:p w:rsidR="000230CB" w:rsidRDefault="000230CB" w:rsidP="00E943F9">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57">
    <w:p w:rsidR="000230CB" w:rsidRDefault="000230CB" w:rsidP="00E943F9">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58">
    <w:p w:rsidR="000230CB" w:rsidRDefault="000230CB" w:rsidP="00E943F9">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w:t>
      </w:r>
      <w:r>
        <w:rPr>
          <w:rStyle w:val="AERtextitalic"/>
        </w:rPr>
        <w:t>te of return guideline (appendic</w:t>
      </w:r>
      <w:r w:rsidRPr="00630FC2">
        <w:rPr>
          <w:rStyle w:val="AERtextitalic"/>
        </w:rPr>
        <w:t>es)</w:t>
      </w:r>
      <w:r>
        <w:t>, December 2013, pp. 126</w:t>
      </w:r>
      <w:r>
        <w:rPr>
          <w:rFonts w:cs="Arial"/>
        </w:rPr>
        <w:t>–</w:t>
      </w:r>
      <w:r>
        <w:t>130.</w:t>
      </w:r>
    </w:p>
  </w:footnote>
  <w:footnote w:id="459">
    <w:p w:rsidR="000230CB" w:rsidRDefault="000230CB" w:rsidP="00E943F9">
      <w:pPr>
        <w:pStyle w:val="FootnoteText"/>
      </w:pPr>
      <w:r>
        <w:rPr>
          <w:rStyle w:val="FootnoteReference"/>
        </w:rPr>
        <w:footnoteRef/>
      </w:r>
      <w:r>
        <w:t xml:space="preserve"> </w:t>
      </w:r>
      <w:r>
        <w:tab/>
        <w:t>AER,</w:t>
      </w:r>
      <w:r w:rsidRPr="00A011EF">
        <w:rPr>
          <w:rStyle w:val="AERtextitalic"/>
        </w:rPr>
        <w:t xml:space="preserve"> Draft decision Australian Gas Networks access arrangement</w:t>
      </w:r>
      <w:r>
        <w:rPr>
          <w:rStyle w:val="AERtextitalic"/>
        </w:rPr>
        <w:t xml:space="preserve"> </w:t>
      </w:r>
      <w:r w:rsidRPr="00A81241">
        <w:rPr>
          <w:rStyle w:val="AERtextitalic"/>
        </w:rPr>
        <w:t>- Attachment 3 - Rate of return</w:t>
      </w:r>
      <w:r>
        <w:t>, November 2015, pp. 219-220.</w:t>
      </w:r>
    </w:p>
  </w:footnote>
  <w:footnote w:id="460">
    <w:p w:rsidR="000230CB" w:rsidRDefault="000230CB" w:rsidP="00E943F9">
      <w:pPr>
        <w:pStyle w:val="FootnoteText"/>
      </w:pPr>
      <w:r>
        <w:rPr>
          <w:rStyle w:val="FootnoteReference"/>
        </w:rPr>
        <w:footnoteRef/>
      </w:r>
      <w:r>
        <w:t xml:space="preserve"> </w:t>
      </w:r>
      <w:r>
        <w:tab/>
        <w:t xml:space="preserve">AER, </w:t>
      </w:r>
      <w:r w:rsidRPr="00A011EF">
        <w:rPr>
          <w:rStyle w:val="AERtextitalic"/>
        </w:rPr>
        <w:t>Draft decision Australian Gas Networks access arrangement</w:t>
      </w:r>
      <w:r>
        <w:rPr>
          <w:rStyle w:val="AERtextitalic"/>
        </w:rPr>
        <w:t xml:space="preserve"> </w:t>
      </w:r>
      <w:r w:rsidRPr="00A81241">
        <w:rPr>
          <w:rStyle w:val="AERtextitalic"/>
        </w:rPr>
        <w:t>- Attachment 3 - Rate of return</w:t>
      </w:r>
      <w:r>
        <w:t>, November 2015, pp. 597</w:t>
      </w:r>
      <w:r>
        <w:rPr>
          <w:rFonts w:cs="Arial"/>
        </w:rPr>
        <w:t>–</w:t>
      </w:r>
      <w:r>
        <w:t>598.</w:t>
      </w:r>
    </w:p>
  </w:footnote>
  <w:footnote w:id="461">
    <w:p w:rsidR="000230CB" w:rsidRDefault="000230CB" w:rsidP="00E943F9">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2">
    <w:p w:rsidR="000230CB" w:rsidRDefault="000230CB" w:rsidP="00E943F9">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 24; Jemena, </w:t>
      </w:r>
      <w:r w:rsidRPr="0005122F">
        <w:rPr>
          <w:rStyle w:val="AERtextitalic"/>
        </w:rPr>
        <w:t>Attachment 06-01 Rate of return and gamma [PUBLIC]</w:t>
      </w:r>
      <w:r>
        <w:t>, January 2016, pp . 28</w:t>
      </w:r>
      <w:r>
        <w:rPr>
          <w:rFonts w:cs="Arial"/>
        </w:rPr>
        <w:t>–</w:t>
      </w:r>
      <w:r>
        <w:t xml:space="preserve">29. ;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 79; APTNT, </w:t>
      </w:r>
      <w:r w:rsidRPr="0005122F">
        <w:rPr>
          <w:rStyle w:val="AERtextitalic"/>
        </w:rPr>
        <w:t>Access Arrangement Revised Proposal Response to Draft Decision</w:t>
      </w:r>
      <w:r>
        <w:t>, January 2016, p. 88.</w:t>
      </w:r>
    </w:p>
  </w:footnote>
  <w:footnote w:id="463">
    <w:p w:rsidR="000230CB" w:rsidRDefault="000230CB" w:rsidP="00E943F9">
      <w:pPr>
        <w:pStyle w:val="FootnoteText"/>
      </w:pPr>
      <w:r>
        <w:rPr>
          <w:rStyle w:val="FootnoteReference"/>
        </w:rPr>
        <w:footnoteRef/>
      </w:r>
      <w:r>
        <w:t xml:space="preserve"> </w:t>
      </w:r>
      <w:r>
        <w:tab/>
        <w:t>That is, Ergon Energy Corp Ltd.</w:t>
      </w:r>
    </w:p>
  </w:footnote>
  <w:footnote w:id="464">
    <w:p w:rsidR="000230CB" w:rsidRDefault="000230CB" w:rsidP="00E943F9">
      <w:pPr>
        <w:pStyle w:val="FootnoteText"/>
      </w:pPr>
      <w:r>
        <w:rPr>
          <w:rStyle w:val="FootnoteReference"/>
        </w:rPr>
        <w:footnoteRef/>
      </w:r>
      <w:r>
        <w:t xml:space="preserve"> </w:t>
      </w:r>
      <w:r>
        <w:tab/>
        <w:t xml:space="preserve">AER, </w:t>
      </w:r>
      <w:r w:rsidRPr="00A011EF">
        <w:rPr>
          <w:rStyle w:val="AERtextitalic"/>
        </w:rPr>
        <w:t>Draft decision Australian Gas Networks access arrangement</w:t>
      </w:r>
      <w:r>
        <w:rPr>
          <w:rStyle w:val="AERtextitalic"/>
        </w:rPr>
        <w:t xml:space="preserve"> </w:t>
      </w:r>
      <w:r w:rsidRPr="00A81241">
        <w:rPr>
          <w:rStyle w:val="AERtextitalic"/>
        </w:rPr>
        <w:t>- Attachment 3 - Rate of return</w:t>
      </w:r>
      <w:r>
        <w:t>, November 2015, pp. 599-601.</w:t>
      </w:r>
    </w:p>
  </w:footnote>
  <w:footnote w:id="465">
    <w:p w:rsidR="000230CB" w:rsidRDefault="000230CB" w:rsidP="00E943F9">
      <w:pPr>
        <w:pStyle w:val="FootnoteText"/>
      </w:pPr>
      <w:r>
        <w:rPr>
          <w:rStyle w:val="FootnoteReference"/>
        </w:rPr>
        <w:footnoteRef/>
      </w:r>
      <w:r>
        <w:t xml:space="preserve"> </w:t>
      </w:r>
      <w:r>
        <w:tab/>
        <w:t xml:space="preserve">AER, </w:t>
      </w:r>
      <w:r w:rsidRPr="00A011EF">
        <w:rPr>
          <w:rStyle w:val="AERtextitalic"/>
        </w:rPr>
        <w:t>Draft decision Australian Gas Networks access arrangement</w:t>
      </w:r>
      <w:r>
        <w:rPr>
          <w:rStyle w:val="AERtextitalic"/>
        </w:rPr>
        <w:t xml:space="preserve"> </w:t>
      </w:r>
      <w:r w:rsidRPr="00A81241">
        <w:rPr>
          <w:rStyle w:val="AERtextitalic"/>
        </w:rPr>
        <w:t>- Attachment 3 - Rate of return</w:t>
      </w:r>
      <w:r>
        <w:t>, November 2015, pp. 216-220, 594</w:t>
      </w:r>
      <w:r>
        <w:rPr>
          <w:rFonts w:cs="Arial"/>
        </w:rPr>
        <w:t>–</w:t>
      </w:r>
      <w:r>
        <w:t>601.</w:t>
      </w:r>
    </w:p>
  </w:footnote>
  <w:footnote w:id="466">
    <w:p w:rsidR="000230CB" w:rsidRDefault="000230CB" w:rsidP="00E943F9">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p.156; AER, </w:t>
      </w:r>
      <w:r w:rsidRPr="00A011EF">
        <w:rPr>
          <w:rStyle w:val="AERtextitalic"/>
        </w:rPr>
        <w:t>Draft decision Australian Gas Networks access arrangement</w:t>
      </w:r>
      <w:r w:rsidRPr="00A81241">
        <w:rPr>
          <w:rStyle w:val="AERtextitalic"/>
        </w:rPr>
        <w:t xml:space="preserve"> </w:t>
      </w:r>
      <w:r w:rsidRPr="00B96D23">
        <w:rPr>
          <w:rStyle w:val="AERtextitalic"/>
        </w:rPr>
        <w:t>- Attachment 3 - Rate of return</w:t>
      </w:r>
      <w:r>
        <w:t>, November 2015, p. 216.</w:t>
      </w:r>
    </w:p>
  </w:footnote>
  <w:footnote w:id="467">
    <w:p w:rsidR="000230CB" w:rsidRDefault="000230CB" w:rsidP="00E943F9">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68">
    <w:p w:rsidR="000230CB" w:rsidRDefault="000230CB" w:rsidP="00E943F9">
      <w:pPr>
        <w:pStyle w:val="FootnoteText"/>
      </w:pPr>
      <w:r>
        <w:rPr>
          <w:rStyle w:val="FootnoteReference"/>
        </w:rPr>
        <w:footnoteRef/>
      </w:r>
      <w:r>
        <w:t xml:space="preserve"> </w:t>
      </w:r>
      <w:r>
        <w:tab/>
      </w:r>
      <w:r w:rsidRPr="00C50D37">
        <w:t>AER</w:t>
      </w:r>
      <w:r>
        <w:t xml:space="preserve">, </w:t>
      </w:r>
      <w:r w:rsidRPr="00A011EF">
        <w:rPr>
          <w:rStyle w:val="AERtextitalic"/>
        </w:rPr>
        <w:t>Draft decision Australian Gas Networks access arrangemen</w:t>
      </w:r>
      <w:r>
        <w:rPr>
          <w:rStyle w:val="AERtextitalic"/>
        </w:rPr>
        <w:t xml:space="preserve">t </w:t>
      </w:r>
      <w:r w:rsidRPr="00FA2361">
        <w:rPr>
          <w:rStyle w:val="AERtextitalic"/>
        </w:rPr>
        <w:t>- Attachment 3 - Rate of return</w:t>
      </w:r>
      <w:r>
        <w:t xml:space="preserve">, November 2015, p. 219;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69">
    <w:p w:rsidR="000230CB" w:rsidRDefault="000230CB" w:rsidP="00E943F9">
      <w:pPr>
        <w:pStyle w:val="FootnoteText"/>
      </w:pPr>
      <w:r>
        <w:rPr>
          <w:rStyle w:val="FootnoteReference"/>
        </w:rPr>
        <w:footnoteRef/>
      </w:r>
      <w:r>
        <w:t xml:space="preserve"> </w:t>
      </w:r>
      <w:r>
        <w:tab/>
        <w:t xml:space="preserve">AER, </w:t>
      </w:r>
      <w:r w:rsidRPr="00A011EF">
        <w:rPr>
          <w:rStyle w:val="AERtextitalic"/>
        </w:rPr>
        <w:t>Draft decision Australian Gas Networks access arrangement</w:t>
      </w:r>
      <w:r>
        <w:rPr>
          <w:rStyle w:val="AERtextitalic"/>
        </w:rPr>
        <w:t xml:space="preserve"> </w:t>
      </w:r>
      <w:r w:rsidRPr="00FA2361">
        <w:rPr>
          <w:rStyle w:val="AERtextitalic"/>
        </w:rPr>
        <w:t>- Attachment 3 - Rate of return</w:t>
      </w:r>
      <w:r>
        <w:t>, November 2015, p. 595.</w:t>
      </w:r>
    </w:p>
  </w:footnote>
  <w:footnote w:id="470">
    <w:p w:rsidR="000230CB" w:rsidRDefault="000230CB" w:rsidP="00E943F9">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1">
    <w:p w:rsidR="000230CB" w:rsidRDefault="000230CB" w:rsidP="00230C56">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2">
    <w:p w:rsidR="000230CB" w:rsidRDefault="000230CB" w:rsidP="00230C56">
      <w:pPr>
        <w:pStyle w:val="FootnoteText"/>
      </w:pPr>
      <w:r>
        <w:rPr>
          <w:rStyle w:val="FootnoteReference"/>
        </w:rPr>
        <w:footnoteRef/>
      </w:r>
      <w:r>
        <w:t xml:space="preserve"> </w:t>
      </w:r>
      <w:r>
        <w:tab/>
        <w:t>We explain this in the 'Response to key issues raised by stakeholders' section below.</w:t>
      </w:r>
    </w:p>
  </w:footnote>
  <w:footnote w:id="473">
    <w:p w:rsidR="000230CB" w:rsidRDefault="000230CB" w:rsidP="00230C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4">
    <w:p w:rsidR="000230CB" w:rsidRDefault="000230CB" w:rsidP="00230C56">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5">
    <w:p w:rsidR="000230CB" w:rsidRDefault="000230CB" w:rsidP="00230C56">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6">
    <w:p w:rsidR="000230CB" w:rsidRDefault="000230CB" w:rsidP="00230C56">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7">
    <w:p w:rsidR="000230CB" w:rsidRDefault="000230CB" w:rsidP="00230C56">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8">
    <w:p w:rsidR="000230CB" w:rsidRDefault="000230CB" w:rsidP="00230C56">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79">
    <w:p w:rsidR="000230CB" w:rsidRDefault="000230CB" w:rsidP="00230C56">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0">
    <w:p w:rsidR="000230CB" w:rsidRDefault="000230CB" w:rsidP="00230C56">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1">
    <w:p w:rsidR="000230CB" w:rsidRDefault="000230CB" w:rsidP="00230C56">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2">
    <w:p w:rsidR="000230CB" w:rsidRDefault="000230CB" w:rsidP="00230C56">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3">
    <w:p w:rsidR="000230CB" w:rsidRDefault="000230CB" w:rsidP="00230C56">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4">
    <w:p w:rsidR="000230CB" w:rsidRDefault="000230CB" w:rsidP="00230C56">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pp.38–44.</w:t>
      </w:r>
    </w:p>
  </w:footnote>
  <w:footnote w:id="485">
    <w:p w:rsidR="000230CB" w:rsidRDefault="000230CB" w:rsidP="00230C56">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86">
    <w:p w:rsidR="000230CB" w:rsidRPr="00B85376" w:rsidRDefault="000230CB" w:rsidP="00230C56">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pp.3-201 to 3-216.</w:t>
      </w:r>
    </w:p>
  </w:footnote>
  <w:footnote w:id="487">
    <w:p w:rsidR="000230CB" w:rsidRDefault="000230CB" w:rsidP="00230C56">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88">
    <w:p w:rsidR="000230CB" w:rsidRDefault="000230CB" w:rsidP="00230C56">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p.3; Lally, </w:t>
      </w:r>
      <w:r w:rsidRPr="009C3F2D">
        <w:rPr>
          <w:rStyle w:val="AERtextitalic"/>
        </w:rPr>
        <w:t>Review of submissions on implementation issues for the cost of debt</w:t>
      </w:r>
      <w:r>
        <w:t>, 18 October 2015, 5.</w:t>
      </w:r>
    </w:p>
  </w:footnote>
  <w:footnote w:id="489">
    <w:p w:rsidR="000230CB" w:rsidRDefault="000230CB" w:rsidP="00230C56">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0">
    <w:p w:rsidR="000230CB" w:rsidRDefault="000230CB" w:rsidP="00230C56">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1">
    <w:p w:rsidR="000230CB" w:rsidRDefault="000230CB" w:rsidP="00230C56">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2">
    <w:p w:rsidR="000230CB" w:rsidRPr="00465D99" w:rsidRDefault="000230CB" w:rsidP="00230C56">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3">
    <w:p w:rsidR="000230CB" w:rsidRPr="00465D99" w:rsidRDefault="000230CB" w:rsidP="00230C56">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4">
    <w:p w:rsidR="000230CB" w:rsidRDefault="000230CB" w:rsidP="00230C56">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495">
    <w:p w:rsidR="000230CB" w:rsidRDefault="000230CB" w:rsidP="00230C56">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496">
    <w:p w:rsidR="000230CB" w:rsidRDefault="000230CB" w:rsidP="00230C56">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497">
    <w:p w:rsidR="000230CB" w:rsidRDefault="000230CB" w:rsidP="00230C56">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pp.</w:t>
      </w:r>
      <w:r>
        <w:t>3-134 to 3-158, 3-301 to 3-308</w:t>
      </w:r>
      <w:r w:rsidRPr="00CE11C9">
        <w:t>.</w:t>
      </w:r>
    </w:p>
  </w:footnote>
  <w:footnote w:id="498">
    <w:p w:rsidR="000230CB" w:rsidRDefault="000230CB" w:rsidP="00230C56">
      <w:pPr>
        <w:pStyle w:val="FootnoteText"/>
      </w:pPr>
      <w:r>
        <w:rPr>
          <w:rStyle w:val="FootnoteReference"/>
        </w:rPr>
        <w:footnoteRef/>
      </w:r>
      <w:r>
        <w:t xml:space="preserve"> </w:t>
      </w:r>
      <w:r>
        <w:tab/>
        <w:t>[2016] ACompT 1 at 263</w:t>
      </w:r>
    </w:p>
  </w:footnote>
  <w:footnote w:id="499">
    <w:p w:rsidR="000230CB" w:rsidRDefault="000230CB" w:rsidP="00230C56">
      <w:pPr>
        <w:pStyle w:val="FootnoteText"/>
      </w:pPr>
      <w:r>
        <w:rPr>
          <w:rStyle w:val="FootnoteReference"/>
        </w:rPr>
        <w:footnoteRef/>
      </w:r>
      <w:r>
        <w:t xml:space="preserve"> </w:t>
      </w:r>
      <w:r>
        <w:tab/>
        <w:t>[2016] ACompT 1 at 265</w:t>
      </w:r>
    </w:p>
  </w:footnote>
  <w:footnote w:id="500">
    <w:p w:rsidR="000230CB" w:rsidRDefault="000230CB" w:rsidP="00230C56">
      <w:pPr>
        <w:pStyle w:val="FootnoteText"/>
      </w:pPr>
      <w:r>
        <w:rPr>
          <w:rStyle w:val="FootnoteReference"/>
        </w:rPr>
        <w:footnoteRef/>
      </w:r>
      <w:r>
        <w:t xml:space="preserve"> </w:t>
      </w:r>
      <w:r>
        <w:tab/>
        <w:t>[2016] ACompT 1 at 265-6</w:t>
      </w:r>
    </w:p>
  </w:footnote>
  <w:footnote w:id="501">
    <w:p w:rsidR="000230CB" w:rsidRDefault="000230CB" w:rsidP="00230C56">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2">
    <w:p w:rsidR="000230CB" w:rsidRDefault="000230CB" w:rsidP="00230C56">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3">
    <w:p w:rsidR="000230CB" w:rsidRDefault="000230CB" w:rsidP="00230C56">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4">
    <w:p w:rsidR="000230CB" w:rsidRDefault="000230CB" w:rsidP="00230C56">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05">
    <w:p w:rsidR="000230CB" w:rsidRDefault="000230CB" w:rsidP="00230C56">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06">
    <w:p w:rsidR="000230CB" w:rsidRDefault="000230CB" w:rsidP="00230C56">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07">
    <w:p w:rsidR="000230CB" w:rsidRDefault="000230CB" w:rsidP="00230C56">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8">
    <w:p w:rsidR="000230CB" w:rsidRDefault="000230CB" w:rsidP="00230C56">
      <w:pPr>
        <w:pStyle w:val="FootnoteText"/>
      </w:pPr>
      <w:r>
        <w:rPr>
          <w:rStyle w:val="FootnoteReference"/>
        </w:rPr>
        <w:footnoteRef/>
      </w:r>
      <w:r>
        <w:t xml:space="preserve"> </w:t>
      </w:r>
      <w:r>
        <w:tab/>
        <w:t>NER, cll. 6.5.2(l) and 6A.6.2(l), NGR, r. 87(12).</w:t>
      </w:r>
    </w:p>
  </w:footnote>
  <w:footnote w:id="509">
    <w:p w:rsidR="000230CB" w:rsidRDefault="000230CB" w:rsidP="00230C56">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0">
    <w:p w:rsidR="000230CB" w:rsidRDefault="000230CB" w:rsidP="00230C56">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1">
    <w:p w:rsidR="000230CB" w:rsidRDefault="000230CB" w:rsidP="00230C56">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[78].</w:t>
      </w:r>
    </w:p>
  </w:footnote>
  <w:footnote w:id="512">
    <w:p w:rsidR="000230CB" w:rsidRDefault="000230CB" w:rsidP="00230C56">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[67–68].</w:t>
      </w:r>
    </w:p>
  </w:footnote>
  <w:footnote w:id="513">
    <w:p w:rsidR="000230CB" w:rsidRDefault="000230CB" w:rsidP="00230C56">
      <w:pPr>
        <w:pStyle w:val="FootnoteText"/>
      </w:pPr>
      <w:r>
        <w:rPr>
          <w:rStyle w:val="FootnoteReference"/>
        </w:rPr>
        <w:footnoteRef/>
      </w:r>
      <w:r>
        <w:t xml:space="preserve"> </w:t>
      </w:r>
      <w:r>
        <w:tab/>
        <w:t>NER, cll. 6.5.2(l) and 6A.6.2(l), NGR, r. 87(12).</w:t>
      </w:r>
    </w:p>
  </w:footnote>
  <w:footnote w:id="514">
    <w:p w:rsidR="000230CB" w:rsidRDefault="000230CB" w:rsidP="00230C56">
      <w:pPr>
        <w:pStyle w:val="FootnoteText"/>
      </w:pPr>
      <w:r>
        <w:rPr>
          <w:rStyle w:val="FootnoteReference"/>
        </w:rPr>
        <w:footnoteRef/>
      </w:r>
      <w:r>
        <w:t xml:space="preserve"> </w:t>
      </w:r>
      <w:r>
        <w:tab/>
        <w:t>NER, cll. 6.5.2(l) and 6A.6.2(l), NGR, r. 87(12).</w:t>
      </w:r>
    </w:p>
  </w:footnote>
  <w:footnote w:id="515">
    <w:p w:rsidR="000230CB" w:rsidRPr="00B85376" w:rsidRDefault="000230CB" w:rsidP="00230C56">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16">
    <w:p w:rsidR="000230CB" w:rsidRDefault="000230CB" w:rsidP="00230C56">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17">
    <w:p w:rsidR="000230CB" w:rsidRDefault="000230CB" w:rsidP="00230C56">
      <w:pPr>
        <w:pStyle w:val="FootnoteText"/>
      </w:pPr>
      <w:r>
        <w:rPr>
          <w:rStyle w:val="FootnoteReference"/>
        </w:rPr>
        <w:footnoteRef/>
      </w:r>
      <w:r>
        <w:t xml:space="preserve"> </w:t>
      </w:r>
      <w:r>
        <w:tab/>
        <w:t>For example: AER, Preliminary determination: Citipower—Attachment 3: Rate of return, October 2015, pp. 230–236. These reasons are common across all October/November 2015 determinations.</w:t>
      </w:r>
    </w:p>
  </w:footnote>
  <w:footnote w:id="518">
    <w:p w:rsidR="000230CB" w:rsidRDefault="000230CB" w:rsidP="00230C56">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19">
    <w:p w:rsidR="000230CB" w:rsidRDefault="000230CB" w:rsidP="00230C56">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0">
    <w:p w:rsidR="000230CB" w:rsidRDefault="000230CB" w:rsidP="00230C56">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1">
    <w:p w:rsidR="000230CB" w:rsidRDefault="000230CB" w:rsidP="00230C56">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2">
    <w:p w:rsidR="000230CB" w:rsidRDefault="000230CB" w:rsidP="00230C56">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3">
    <w:p w:rsidR="000230CB" w:rsidRDefault="000230CB" w:rsidP="00230C56">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4">
    <w:p w:rsidR="000230CB" w:rsidRDefault="000230CB" w:rsidP="00230C56">
      <w:pPr>
        <w:pStyle w:val="FootnoteText"/>
      </w:pPr>
      <w:r>
        <w:rPr>
          <w:rStyle w:val="FootnoteReference"/>
        </w:rPr>
        <w:footnoteRef/>
      </w:r>
      <w:r>
        <w:t xml:space="preserve"> </w:t>
      </w:r>
      <w:r>
        <w:tab/>
        <w:t>Specifically, from 15 September 2014 to 3 November 2014.</w:t>
      </w:r>
    </w:p>
  </w:footnote>
  <w:footnote w:id="525">
    <w:p w:rsidR="000230CB" w:rsidRDefault="000230CB" w:rsidP="00230C56">
      <w:pPr>
        <w:pStyle w:val="FootnoteText"/>
      </w:pPr>
      <w:r>
        <w:rPr>
          <w:rStyle w:val="FootnoteReference"/>
        </w:rPr>
        <w:footnoteRef/>
      </w:r>
      <w:r>
        <w:t xml:space="preserve"> </w:t>
      </w:r>
      <w:r>
        <w:tab/>
        <w:t>Specifically, 14 April 2015.</w:t>
      </w:r>
    </w:p>
  </w:footnote>
  <w:footnote w:id="526">
    <w:p w:rsidR="000230CB" w:rsidRDefault="000230CB" w:rsidP="00230C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27">
    <w:p w:rsidR="000230CB" w:rsidRDefault="000230CB" w:rsidP="00230C56">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28">
    <w:p w:rsidR="000230CB" w:rsidRDefault="000230CB" w:rsidP="00230C56">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xml:space="preserve">, April 2015, pp.234–235; Powercor, </w:t>
      </w:r>
      <w:r w:rsidRPr="002C6820">
        <w:rPr>
          <w:rStyle w:val="AERtextitalic"/>
        </w:rPr>
        <w:t>Regulatory proposal</w:t>
      </w:r>
      <w:r w:rsidRPr="002C6820">
        <w:t>, April 2015, pp.242–243</w:t>
      </w:r>
      <w:r>
        <w:t>.</w:t>
      </w:r>
    </w:p>
  </w:footnote>
  <w:footnote w:id="529">
    <w:p w:rsidR="000230CB" w:rsidRDefault="000230CB" w:rsidP="00230C56">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pp.343–345.</w:t>
      </w:r>
    </w:p>
  </w:footnote>
  <w:footnote w:id="530">
    <w:p w:rsidR="000230CB" w:rsidRDefault="000230CB" w:rsidP="00230C56">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1">
    <w:p w:rsidR="000230CB" w:rsidRDefault="000230CB" w:rsidP="00230C56">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p.21.</w:t>
      </w:r>
    </w:p>
  </w:footnote>
  <w:footnote w:id="532">
    <w:p w:rsidR="000230CB" w:rsidRDefault="000230CB" w:rsidP="00230C56">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3">
    <w:p w:rsidR="000230CB" w:rsidRDefault="000230CB" w:rsidP="00230C56">
      <w:pPr>
        <w:pStyle w:val="FootnoteText"/>
      </w:pPr>
      <w:r>
        <w:rPr>
          <w:rStyle w:val="FootnoteReference"/>
        </w:rPr>
        <w:footnoteRef/>
      </w:r>
      <w:r>
        <w:t xml:space="preserve"> </w:t>
      </w:r>
      <w:r>
        <w:tab/>
        <w:t>Being pure expectations theory, market segmentation theory or preferred habitat theory.</w:t>
      </w:r>
    </w:p>
  </w:footnote>
  <w:footnote w:id="534">
    <w:p w:rsidR="000230CB" w:rsidRDefault="000230CB" w:rsidP="00230C56">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pp.389–391.</w:t>
      </w:r>
    </w:p>
  </w:footnote>
  <w:footnote w:id="535">
    <w:p w:rsidR="000230CB" w:rsidRDefault="000230CB" w:rsidP="00230C56">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pp.13–15.</w:t>
      </w:r>
    </w:p>
  </w:footnote>
  <w:footnote w:id="536">
    <w:p w:rsidR="000230CB" w:rsidRDefault="000230CB" w:rsidP="00230C5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37">
    <w:p w:rsidR="000230CB" w:rsidRDefault="000230CB" w:rsidP="00230C56">
      <w:pPr>
        <w:pStyle w:val="FootnoteText"/>
      </w:pPr>
      <w:r>
        <w:rPr>
          <w:rStyle w:val="FootnoteReference"/>
        </w:rPr>
        <w:footnoteRef/>
      </w:r>
      <w:r>
        <w:t xml:space="preserve"> </w:t>
      </w:r>
      <w:r>
        <w:tab/>
        <w:t>NER, cl. 6.5.2(l) and cl. 6A.6.2(l), NGR, r. 87(12).</w:t>
      </w:r>
    </w:p>
  </w:footnote>
  <w:footnote w:id="538">
    <w:p w:rsidR="000230CB" w:rsidRDefault="000230CB" w:rsidP="00230C5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39">
    <w:p w:rsidR="000230CB" w:rsidRDefault="000230CB" w:rsidP="00230C5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0">
    <w:p w:rsidR="000230CB" w:rsidRDefault="000230CB" w:rsidP="00230C56">
      <w:pPr>
        <w:pStyle w:val="FootnoteText"/>
      </w:pPr>
      <w:r>
        <w:rPr>
          <w:rStyle w:val="FootnoteReference"/>
        </w:rPr>
        <w:footnoteRef/>
      </w:r>
      <w:r>
        <w:t xml:space="preserve"> </w:t>
      </w:r>
      <w:r>
        <w:tab/>
        <w:t>Specifically, the spread to CGS.</w:t>
      </w:r>
    </w:p>
  </w:footnote>
  <w:footnote w:id="541">
    <w:p w:rsidR="000230CB" w:rsidRDefault="000230CB" w:rsidP="00230C5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2">
    <w:p w:rsidR="000230CB" w:rsidRDefault="000230CB" w:rsidP="008638C7">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543">
    <w:p w:rsidR="000230CB" w:rsidRDefault="000230CB" w:rsidP="008638C7">
      <w:pPr>
        <w:pStyle w:val="FootnoteText"/>
      </w:pPr>
      <w:r>
        <w:rPr>
          <w:rStyle w:val="FootnoteReference"/>
        </w:rPr>
        <w:footnoteRef/>
      </w:r>
      <w:r>
        <w:t xml:space="preserve"> </w:t>
      </w:r>
      <w:r>
        <w:tab/>
      </w:r>
      <w:r w:rsidRPr="00DC7F5E">
        <w:t>NER, rules 6.5.2(c) and 6.5.2(h); NGR, rules 87(3) and 87(10).</w:t>
      </w:r>
    </w:p>
  </w:footnote>
  <w:footnote w:id="544">
    <w:p w:rsidR="000230CB" w:rsidRDefault="000230CB" w:rsidP="008638C7">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545">
    <w:p w:rsidR="000230CB" w:rsidRDefault="000230CB" w:rsidP="008638C7">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546">
    <w:p w:rsidR="000230CB" w:rsidRDefault="000230CB" w:rsidP="008638C7">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Draft Decision - Attachment 10.26: Rate of Return</w:t>
      </w:r>
      <w:r>
        <w:t>, January 2016, p. 8.</w:t>
      </w:r>
    </w:p>
  </w:footnote>
  <w:footnote w:id="547">
    <w:p w:rsidR="000230CB" w:rsidRDefault="000230CB" w:rsidP="008638C7">
      <w:pPr>
        <w:pStyle w:val="FootnoteText"/>
      </w:pPr>
      <w:r>
        <w:rPr>
          <w:rStyle w:val="FootnoteReference"/>
        </w:rPr>
        <w:footnoteRef/>
      </w:r>
      <w:r>
        <w:t xml:space="preserve"> </w:t>
      </w:r>
      <w:r>
        <w:tab/>
        <w:t xml:space="preserve">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5.</w:t>
      </w:r>
    </w:p>
  </w:footnote>
  <w:footnote w:id="548">
    <w:p w:rsidR="000230CB" w:rsidRDefault="000230CB" w:rsidP="008638C7">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xml:space="preserve">, January 2016, p. 51; </w:t>
      </w:r>
      <w:r w:rsidRPr="00DF3557">
        <w:t xml:space="preserve">AusNet Services, </w:t>
      </w:r>
      <w:r w:rsidRPr="00786E5F">
        <w:rPr>
          <w:rStyle w:val="AERtextitalic"/>
        </w:rPr>
        <w:t>Electricity Distribution Price Review 2016-20 Revised Regulatory Proposal</w:t>
      </w:r>
      <w:r w:rsidRPr="00DF3557">
        <w:t>, January 2016, p. 7-37</w:t>
      </w:r>
      <w:r>
        <w:t xml:space="preserve">; </w:t>
      </w:r>
      <w:r w:rsidRPr="00DF3557">
        <w:t xml:space="preserve">CitiPower, </w:t>
      </w:r>
      <w:r w:rsidRPr="00786E5F">
        <w:rPr>
          <w:rStyle w:val="AERtextitalic"/>
        </w:rPr>
        <w:t>Revised Regulatory Proposal 2016-2020</w:t>
      </w:r>
      <w:r w:rsidRPr="00DF3557">
        <w:t>, January 2016, p. 351</w:t>
      </w:r>
      <w:r>
        <w:t>; JEN</w:t>
      </w:r>
      <w:r w:rsidRPr="00DF3557">
        <w:t xml:space="preserve">, </w:t>
      </w:r>
      <w:r w:rsidRPr="00786E5F">
        <w:rPr>
          <w:rStyle w:val="AERtextitalic"/>
        </w:rPr>
        <w:t>2016-20 Electricity Distribution Price Review Regulatory Proposal - Attachment 6.1</w:t>
      </w:r>
      <w:r w:rsidRPr="00DF3557">
        <w:t>, January 2016, p. 41</w:t>
      </w:r>
      <w:r>
        <w:t xml:space="preserve">; </w:t>
      </w:r>
      <w:r w:rsidRPr="00DF3557">
        <w:t xml:space="preserve">Powercor, </w:t>
      </w:r>
      <w:r w:rsidRPr="00786E5F">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pp. 35. AGN and APTNT (Amadeus gas pipeline) did not make this claim, with the latter not raising the issue of the new issue premium at all.</w:t>
      </w:r>
    </w:p>
  </w:footnote>
  <w:footnote w:id="549">
    <w:p w:rsidR="000230CB" w:rsidRDefault="000230CB" w:rsidP="004C3B1E">
      <w:pPr>
        <w:pStyle w:val="FootnoteText"/>
      </w:pPr>
      <w:r>
        <w:rPr>
          <w:rStyle w:val="FootnoteReference"/>
        </w:rPr>
        <w:footnoteRef/>
      </w:r>
      <w:r>
        <w:t xml:space="preserve"> </w:t>
      </w:r>
      <w:r>
        <w:tab/>
        <w:t xml:space="preserve">AGN, </w:t>
      </w:r>
      <w:r>
        <w:rPr>
          <w:rStyle w:val="AERtextitalic"/>
        </w:rPr>
        <w:t>Revised access arrangement information: Attachment 10.2A—Response to Draft Decision: Averaging Periods (Confidential)</w:t>
      </w:r>
      <w:r>
        <w:t xml:space="preserve">, January 2016, sections 4, 5 and 6; AGN, </w:t>
      </w:r>
      <w:r>
        <w:rPr>
          <w:rStyle w:val="AERtextitalic"/>
        </w:rPr>
        <w:t>Access arrangement information: Attachment 10.2—Averaging Periods (Confidential)</w:t>
      </w:r>
      <w:r>
        <w:t xml:space="preserve">, July 2015, sections 4 and 6. In its revised proposal, AGN submitted that if its proposal to use separate averaging periods is rejected by the AER, it proposes (as a second preference) to use the base rate averaging periods to estimate the entire return on debt for each regulatory year (see AGN, </w:t>
      </w:r>
      <w:r>
        <w:rPr>
          <w:rStyle w:val="AERtextitalic"/>
        </w:rPr>
        <w:t>Revised access arrangement information: Attachment 10.2A—Response to Draft Decision: Averaging Periods (Confidential)</w:t>
      </w:r>
      <w:r>
        <w:t xml:space="preserve">, January 2016, p. 1). In its revised proposal, AGN also submitted different averaging periods for different transition approaches to the trailing average methodology. It submitted that its primary position is no transition (first preference), but if this is rejected, a hybrid transition with partial hedging of the base rate should be adopted (second preference), and if both above approaches are rejected, a hybrid transition with 100% hedging of the base rate should be adopted (third preference) (see AGN, </w:t>
      </w:r>
      <w:r>
        <w:rPr>
          <w:rStyle w:val="AERtextitalic"/>
        </w:rPr>
        <w:t>Revised access arrangement information: Attachment 10.2A—Response to Draft Decision: Averaging Periods (Confidential)</w:t>
      </w:r>
      <w:r>
        <w:t xml:space="preserve">, January 2016; AGN, </w:t>
      </w:r>
      <w:r>
        <w:rPr>
          <w:rStyle w:val="AERtextitalic"/>
        </w:rPr>
        <w:t>Revised access arrangement information: Attachment 10.26—Response to Draft Decision: Rate of return</w:t>
      </w:r>
      <w:r>
        <w:t xml:space="preserve">, January 2016, pp. 6–10). This creates six tiers to AGN's revised proposal on debt averaging periods. </w:t>
      </w:r>
    </w:p>
  </w:footnote>
  <w:footnote w:id="550">
    <w:p w:rsidR="000230CB" w:rsidRDefault="000230CB" w:rsidP="004C3B1E">
      <w:pPr>
        <w:pStyle w:val="FootnoteText"/>
      </w:pPr>
      <w:r>
        <w:rPr>
          <w:rStyle w:val="FootnoteReference"/>
        </w:rPr>
        <w:footnoteRef/>
      </w:r>
      <w:r>
        <w:t xml:space="preserve"> </w:t>
      </w:r>
      <w:r>
        <w:tab/>
        <w:t xml:space="preserve">AGN, </w:t>
      </w:r>
      <w:r>
        <w:rPr>
          <w:rStyle w:val="AERtextitalic"/>
        </w:rPr>
        <w:t>Revised access arrangement information: Attachment 10.26—Response to Draft Decision: Rate of return</w:t>
      </w:r>
      <w:r>
        <w:t xml:space="preserve">, January 2016, pp. 41–42; AGN, </w:t>
      </w:r>
      <w:r>
        <w:rPr>
          <w:rStyle w:val="AERtextitalic"/>
        </w:rPr>
        <w:t>Revised access arrangement information: Attachment 10.2A—Response to Draft Decision: Averaging Periods (Confidential)</w:t>
      </w:r>
      <w:r>
        <w:t>, January 2016, p. 1.</w:t>
      </w:r>
    </w:p>
  </w:footnote>
  <w:footnote w:id="551">
    <w:p w:rsidR="000230CB" w:rsidRDefault="000230CB" w:rsidP="004C3B1E">
      <w:pPr>
        <w:pStyle w:val="FootnoteText"/>
      </w:pPr>
      <w:r>
        <w:rPr>
          <w:rStyle w:val="FootnoteReference"/>
        </w:rPr>
        <w:footnoteRef/>
      </w:r>
      <w:r>
        <w:t xml:space="preserve"> </w:t>
      </w:r>
      <w:r>
        <w:tab/>
        <w:t xml:space="preserve">AGN, </w:t>
      </w:r>
      <w:r>
        <w:rPr>
          <w:rStyle w:val="AERtextitalic"/>
        </w:rPr>
        <w:t>Revised access arrangement information: Attachment 10.26—Response to Draft Decision: Rate of return</w:t>
      </w:r>
      <w:r>
        <w:t xml:space="preserve">, January 2016, pp. 41–42; AGN, </w:t>
      </w:r>
      <w:r>
        <w:rPr>
          <w:rStyle w:val="AERtextitalic"/>
        </w:rPr>
        <w:t>Revised access arrangement information: Attachment 10.2A—Response to Draft Decision: Averaging Periods (Confidential)</w:t>
      </w:r>
      <w:r>
        <w:t>, January 2016, sections 4, 5 and 6.</w:t>
      </w:r>
    </w:p>
  </w:footnote>
  <w:footnote w:id="552">
    <w:p w:rsidR="000230CB" w:rsidRDefault="000230CB" w:rsidP="00551321">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53">
    <w:p w:rsidR="000230CB" w:rsidRDefault="000230CB" w:rsidP="00551321">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54">
    <w:p w:rsidR="000230CB" w:rsidRDefault="000230CB">
      <w:pPr>
        <w:pStyle w:val="FootnoteText"/>
      </w:pPr>
      <w:r>
        <w:rPr>
          <w:rStyle w:val="FootnoteReference"/>
        </w:rPr>
        <w:footnoteRef/>
      </w:r>
      <w:r>
        <w:t xml:space="preserve"> </w:t>
      </w:r>
      <w:r>
        <w:tab/>
        <w:t xml:space="preserve">AGN, </w:t>
      </w:r>
      <w:r>
        <w:rPr>
          <w:rStyle w:val="AERtextitalic"/>
        </w:rPr>
        <w:t>Revised access arrangement information: Attachment 10.2A—Response to Draft Decision: Averaging Periods (Confidential)</w:t>
      </w:r>
      <w:r>
        <w:t>, January 2016.</w:t>
      </w:r>
    </w:p>
  </w:footnote>
  <w:footnote w:id="555">
    <w:p w:rsidR="000230CB" w:rsidRDefault="000230CB" w:rsidP="00551321">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56">
    <w:p w:rsidR="000230CB" w:rsidRDefault="000230CB" w:rsidP="00551321">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57">
    <w:p w:rsidR="000230CB" w:rsidRDefault="000230CB" w:rsidP="00551321">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58">
    <w:p w:rsidR="000230CB" w:rsidRDefault="000230CB" w:rsidP="00A379F8">
      <w:pPr>
        <w:pStyle w:val="FootnoteText"/>
      </w:pPr>
      <w:r>
        <w:rPr>
          <w:rStyle w:val="FootnoteReference"/>
        </w:rPr>
        <w:footnoteRef/>
      </w:r>
      <w:r>
        <w:t xml:space="preserve"> </w:t>
      </w:r>
      <w:r>
        <w:tab/>
        <w:t xml:space="preserve">AGN, </w:t>
      </w:r>
      <w:r>
        <w:rPr>
          <w:rStyle w:val="AERtextitalic"/>
        </w:rPr>
        <w:t>Revised access arrangement information: Attachment 10.2A—Response to Draft Decision: Averaging Periods (Confidential)</w:t>
      </w:r>
      <w:r>
        <w:t>, January 2016.</w:t>
      </w:r>
    </w:p>
  </w:footnote>
  <w:footnote w:id="559">
    <w:p w:rsidR="000230CB" w:rsidRDefault="000230CB" w:rsidP="00A379F8">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60">
    <w:p w:rsidR="000230CB" w:rsidRDefault="000230CB" w:rsidP="00A403A8">
      <w:pPr>
        <w:pStyle w:val="FootnoteText"/>
      </w:pPr>
      <w:r>
        <w:rPr>
          <w:rStyle w:val="FootnoteReference"/>
        </w:rPr>
        <w:footnoteRef/>
      </w:r>
      <w:r>
        <w:t xml:space="preserve"> </w:t>
      </w:r>
      <w:r>
        <w:tab/>
        <w:t xml:space="preserve">Australian Competition Tribunal, </w:t>
      </w:r>
      <w:r>
        <w:rPr>
          <w:rStyle w:val="AERtextitalic"/>
        </w:rPr>
        <w:t>Application by Jemena Gas Networks (NSW) Ltd [2016] ACompT5</w:t>
      </w:r>
      <w:r>
        <w:t>, 3 March 2016, para 87.</w:t>
      </w:r>
    </w:p>
  </w:footnote>
  <w:footnote w:id="561">
    <w:p w:rsidR="000230CB" w:rsidRDefault="000230CB" w:rsidP="00A379F8">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562">
    <w:p w:rsidR="000230CB" w:rsidRDefault="000230CB" w:rsidP="00A379F8">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a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 103</w:t>
      </w:r>
      <w:r>
        <w:t>.</w:t>
      </w:r>
    </w:p>
  </w:footnote>
  <w:footnote w:id="563">
    <w:p w:rsidR="000230CB" w:rsidRDefault="000230CB" w:rsidP="00A379F8">
      <w:pPr>
        <w:pStyle w:val="FootnoteText"/>
      </w:pPr>
      <w:r>
        <w:rPr>
          <w:rStyle w:val="FootnoteReference"/>
        </w:rPr>
        <w:footnoteRef/>
      </w:r>
      <w:r>
        <w:t xml:space="preserve"> </w:t>
      </w:r>
      <w:r>
        <w:tab/>
        <w:t>A further possible constraint on the start date is</w:t>
      </w:r>
      <w:r w:rsidRPr="00D76D56">
        <w:t>, as set out in the previous s</w:t>
      </w:r>
      <w:r>
        <w:t>ection, one of our Guideline conditions that</w:t>
      </w:r>
      <w:r w:rsidRPr="00D76D56">
        <w:t xml:space="preserve"> at the time it is nominated all dates in the averaging period must take place in the future.</w:t>
      </w:r>
    </w:p>
  </w:footnote>
  <w:footnote w:id="564">
    <w:p w:rsidR="000230CB" w:rsidRDefault="000230CB" w:rsidP="00A379F8">
      <w:pPr>
        <w:pStyle w:val="FootnoteText"/>
      </w:pPr>
      <w:r>
        <w:rPr>
          <w:rStyle w:val="FootnoteReference"/>
        </w:rPr>
        <w:footnoteRef/>
      </w:r>
      <w:r>
        <w:t xml:space="preserve"> </w:t>
      </w:r>
      <w:r>
        <w:tab/>
        <w:t>See section 11.1.1 of attachment 11</w:t>
      </w:r>
      <w:r w:rsidRPr="00805399">
        <w:t xml:space="preserve"> </w:t>
      </w:r>
      <w:r>
        <w:t>of this decision—Reference tariff variation mechanism.</w:t>
      </w:r>
    </w:p>
  </w:footnote>
  <w:footnote w:id="565">
    <w:p w:rsidR="000230CB" w:rsidRDefault="000230CB" w:rsidP="00A379F8">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66">
    <w:p w:rsidR="000230CB" w:rsidRDefault="000230CB" w:rsidP="00A379F8">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67">
    <w:p w:rsidR="000230CB" w:rsidRDefault="000230CB" w:rsidP="00A379F8">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68">
    <w:p w:rsidR="000230CB" w:rsidRDefault="000230CB" w:rsidP="00A379F8">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69">
    <w:p w:rsidR="000230CB" w:rsidRDefault="000230CB" w:rsidP="00A379F8">
      <w:pPr>
        <w:pStyle w:val="FootnoteText"/>
      </w:pPr>
      <w:r>
        <w:rPr>
          <w:rStyle w:val="FootnoteReference"/>
        </w:rPr>
        <w:footnoteRef/>
      </w:r>
      <w:r>
        <w:t xml:space="preserve"> </w:t>
      </w:r>
      <w:r>
        <w:tab/>
        <w:t>NER, cl. 6.5.2(k</w:t>
      </w:r>
      <w:r w:rsidRPr="005F1830">
        <w:t>)</w:t>
      </w:r>
      <w:r>
        <w:t>(1) and 6A.6.2(k)(1); NGR, r. 87(11)(1)</w:t>
      </w:r>
      <w:r w:rsidRPr="005F1830">
        <w:t>.</w:t>
      </w:r>
    </w:p>
  </w:footnote>
  <w:footnote w:id="570">
    <w:p w:rsidR="000230CB" w:rsidRDefault="000230CB" w:rsidP="00304AD0">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71">
    <w:p w:rsidR="000230CB" w:rsidRDefault="000230CB" w:rsidP="00304AD0">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72">
    <w:p w:rsidR="000230CB" w:rsidRDefault="000230CB" w:rsidP="00304AD0">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73">
    <w:p w:rsidR="000230CB" w:rsidRDefault="000230CB" w:rsidP="00304AD0">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74">
    <w:p w:rsidR="000230CB" w:rsidRDefault="000230CB" w:rsidP="00304AD0">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75">
    <w:p w:rsidR="000230CB" w:rsidRDefault="000230CB" w:rsidP="004128C5">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76">
    <w:p w:rsidR="000230CB" w:rsidRDefault="000230CB" w:rsidP="00B56838">
      <w:pPr>
        <w:pStyle w:val="FootnoteText"/>
      </w:pPr>
      <w:r>
        <w:rPr>
          <w:rStyle w:val="FootnoteReference"/>
        </w:rPr>
        <w:footnoteRef/>
      </w:r>
      <w:r>
        <w:t xml:space="preserve"> </w:t>
      </w:r>
      <w:r>
        <w:tab/>
      </w:r>
      <w:r w:rsidRPr="001413ED">
        <w:t xml:space="preserve">AER, </w:t>
      </w:r>
      <w:r>
        <w:rPr>
          <w:rStyle w:val="AERtextitalic"/>
        </w:rPr>
        <w:t xml:space="preserve">Draft </w:t>
      </w:r>
      <w:r w:rsidRPr="00B26B3C">
        <w:rPr>
          <w:rStyle w:val="AERtextitalic"/>
        </w:rPr>
        <w:t xml:space="preserve">decision </w:t>
      </w:r>
      <w:r>
        <w:rPr>
          <w:rStyle w:val="AERtextitalic"/>
        </w:rPr>
        <w:t xml:space="preserve">AGN </w:t>
      </w:r>
      <w:r w:rsidRPr="00B26B3C">
        <w:rPr>
          <w:rStyle w:val="AERtextitalic"/>
        </w:rPr>
        <w:t>determination, Attachment 3 Rate of return</w:t>
      </w:r>
      <w:r w:rsidRPr="001413ED">
        <w:t xml:space="preserve">, </w:t>
      </w:r>
      <w:r>
        <w:t xml:space="preserve">November </w:t>
      </w:r>
      <w:r w:rsidRPr="001413ED">
        <w:t>2015, p</w:t>
      </w:r>
      <w:r>
        <w:t>p</w:t>
      </w:r>
      <w:r w:rsidRPr="001413ED">
        <w:t xml:space="preserve">. </w:t>
      </w:r>
      <w:r>
        <w:t>262</w:t>
      </w:r>
      <w:r>
        <w:rPr>
          <w:rFonts w:cs="Arial"/>
        </w:rPr>
        <w:t>–</w:t>
      </w:r>
      <w:r>
        <w:t>3; AGN</w:t>
      </w:r>
      <w:r w:rsidRPr="00E04B8A">
        <w:t xml:space="preserve">, </w:t>
      </w:r>
      <w:r>
        <w:rPr>
          <w:rStyle w:val="AERtextitalic"/>
        </w:rPr>
        <w:t>SA access arrangement information</w:t>
      </w:r>
      <w:r w:rsidRPr="00E04B8A">
        <w:t xml:space="preserve">, </w:t>
      </w:r>
      <w:r>
        <w:t xml:space="preserve">July 2015, </w:t>
      </w:r>
      <w:r w:rsidRPr="00E04B8A">
        <w:t xml:space="preserve">p. </w:t>
      </w:r>
      <w:r>
        <w:t>16</w:t>
      </w:r>
      <w:r w:rsidRPr="00E04B8A">
        <w:t>6.</w:t>
      </w:r>
    </w:p>
  </w:footnote>
  <w:footnote w:id="577">
    <w:p w:rsidR="000230CB" w:rsidRDefault="000230CB" w:rsidP="00B56838">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78">
    <w:p w:rsidR="000230CB" w:rsidRDefault="000230CB" w:rsidP="00B56838">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79">
    <w:p w:rsidR="000230CB" w:rsidRDefault="000230CB" w:rsidP="00B56838">
      <w:pPr>
        <w:pStyle w:val="FootnoteText"/>
      </w:pPr>
      <w:r>
        <w:rPr>
          <w:rStyle w:val="FootnoteReference"/>
        </w:rPr>
        <w:footnoteRef/>
      </w:r>
      <w:r>
        <w:t xml:space="preserve"> </w:t>
      </w:r>
      <w:r>
        <w:tab/>
      </w:r>
      <w:r w:rsidRPr="001413ED">
        <w:t xml:space="preserve">AER, </w:t>
      </w:r>
      <w:r>
        <w:rPr>
          <w:rStyle w:val="AERtextitalic"/>
        </w:rPr>
        <w:t>Draft</w:t>
      </w:r>
      <w:r w:rsidRPr="00B26B3C">
        <w:rPr>
          <w:rStyle w:val="AERtextitalic"/>
        </w:rPr>
        <w:t xml:space="preserve"> decision </w:t>
      </w:r>
      <w:r>
        <w:rPr>
          <w:rStyle w:val="AERtextitalic"/>
        </w:rPr>
        <w:t>AGN</w:t>
      </w:r>
      <w:r w:rsidRPr="00B26B3C">
        <w:rPr>
          <w:rStyle w:val="AERtextitalic"/>
        </w:rPr>
        <w:t xml:space="preserve"> determination, Attachment 3 Rate of return</w:t>
      </w:r>
      <w:r w:rsidRPr="001413ED">
        <w:t xml:space="preserve">, </w:t>
      </w:r>
      <w:r>
        <w:t>November2015, p. 262</w:t>
      </w:r>
      <w:r w:rsidRPr="001413ED">
        <w:t>.</w:t>
      </w:r>
    </w:p>
  </w:footnote>
  <w:footnote w:id="580">
    <w:p w:rsidR="000230CB" w:rsidRDefault="000230CB" w:rsidP="00B56838">
      <w:pPr>
        <w:pStyle w:val="FootnoteText"/>
      </w:pPr>
      <w:r>
        <w:rPr>
          <w:rStyle w:val="FootnoteReference"/>
        </w:rPr>
        <w:footnoteRef/>
      </w:r>
      <w:r>
        <w:t xml:space="preserve"> </w:t>
      </w:r>
      <w:r>
        <w:tab/>
        <w:t>AGN</w:t>
      </w:r>
      <w:r w:rsidRPr="00E04B8A">
        <w:t xml:space="preserve">, </w:t>
      </w:r>
      <w:r>
        <w:rPr>
          <w:rStyle w:val="AERtextitalic"/>
        </w:rPr>
        <w:t>SA access arrangement information</w:t>
      </w:r>
      <w:r w:rsidRPr="00E04B8A">
        <w:t xml:space="preserve">, </w:t>
      </w:r>
      <w:r>
        <w:t xml:space="preserve">July 2015, </w:t>
      </w:r>
      <w:r w:rsidRPr="00E04B8A">
        <w:t xml:space="preserve">p. </w:t>
      </w:r>
      <w:r>
        <w:t>16</w:t>
      </w:r>
      <w:r w:rsidRPr="00E04B8A">
        <w:t>6.</w:t>
      </w:r>
    </w:p>
  </w:footnote>
  <w:footnote w:id="581">
    <w:p w:rsidR="000230CB" w:rsidRDefault="000230CB" w:rsidP="00B56838">
      <w:pPr>
        <w:pStyle w:val="FootnoteText"/>
      </w:pPr>
      <w:r>
        <w:rPr>
          <w:rStyle w:val="FootnoteReference"/>
        </w:rPr>
        <w:footnoteRef/>
      </w:r>
      <w:r>
        <w:t xml:space="preserve"> </w:t>
      </w:r>
      <w:r>
        <w:tab/>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p>
  </w:footnote>
  <w:footnote w:id="582">
    <w:p w:rsidR="000230CB" w:rsidRDefault="000230CB" w:rsidP="00B56838">
      <w:pPr>
        <w:pStyle w:val="FootnoteText"/>
      </w:pPr>
      <w:r>
        <w:rPr>
          <w:rStyle w:val="FootnoteReference"/>
        </w:rPr>
        <w:footnoteRef/>
      </w:r>
      <w:r>
        <w:t xml:space="preserve"> </w:t>
      </w:r>
      <w:r>
        <w:tab/>
        <w:t xml:space="preserve">AGN referenced, </w:t>
      </w:r>
      <w:r w:rsidRPr="00623CE5">
        <w:t xml:space="preserve">CEG, </w:t>
      </w:r>
      <w:r w:rsidRPr="000119CA">
        <w:rPr>
          <w:rStyle w:val="AERtextitalic"/>
        </w:rPr>
        <w:t>Measuring expected inflation for the PTRM</w:t>
      </w:r>
      <w:r>
        <w:t>, June 2015.</w:t>
      </w:r>
    </w:p>
  </w:footnote>
  <w:footnote w:id="583">
    <w:p w:rsidR="000230CB" w:rsidRDefault="000230CB" w:rsidP="00B56838">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rPr>
          <w:rStyle w:val="AERtextitalic"/>
        </w:rPr>
        <w:t>: A report for AGN</w:t>
      </w:r>
      <w:r>
        <w:t>, January 2016</w:t>
      </w:r>
      <w:r w:rsidRPr="00623CE5">
        <w:t>.</w:t>
      </w:r>
    </w:p>
  </w:footnote>
  <w:footnote w:id="584">
    <w:p w:rsidR="000230CB" w:rsidRDefault="000230CB" w:rsidP="00B56838">
      <w:pPr>
        <w:pStyle w:val="FootnoteText"/>
      </w:pPr>
      <w:r>
        <w:rPr>
          <w:rStyle w:val="FootnoteReference"/>
        </w:rPr>
        <w:footnoteRef/>
      </w:r>
      <w:r>
        <w:t xml:space="preserve"> </w:t>
      </w:r>
      <w:r>
        <w:tab/>
        <w:t xml:space="preserve">AGN, </w:t>
      </w:r>
      <w:r>
        <w:rPr>
          <w:rStyle w:val="AERtextitalic"/>
        </w:rPr>
        <w:t>Attachment 9.3 Response to draft decision: Inflation</w:t>
      </w:r>
      <w:r>
        <w:t>, January 2016, p. 6.</w:t>
      </w:r>
    </w:p>
  </w:footnote>
  <w:footnote w:id="585">
    <w:p w:rsidR="000230CB" w:rsidRDefault="000230CB" w:rsidP="00B56838">
      <w:pPr>
        <w:pStyle w:val="FootnoteText"/>
      </w:pPr>
      <w:r>
        <w:rPr>
          <w:rStyle w:val="FootnoteReference"/>
        </w:rPr>
        <w:footnoteRef/>
      </w:r>
      <w:r>
        <w:t xml:space="preserve"> </w:t>
      </w:r>
      <w:r>
        <w:tab/>
        <w:t>AGN submitted this report over three months after the consultation period had closed on 4 February 2016, leaving us limited time to consult on and respond to this submission.  Moreover, other stakeholders were unable to consider and respond to this new material.</w:t>
      </w:r>
    </w:p>
  </w:footnote>
  <w:footnote w:id="586">
    <w:p w:rsidR="000230CB" w:rsidRDefault="000230CB" w:rsidP="00B56838">
      <w:pPr>
        <w:pStyle w:val="FootnoteText"/>
      </w:pPr>
      <w:r>
        <w:rPr>
          <w:rStyle w:val="FootnoteReference"/>
        </w:rPr>
        <w:footnoteRef/>
      </w:r>
      <w:r>
        <w:t xml:space="preserve"> </w:t>
      </w:r>
      <w:r>
        <w:tab/>
        <w:t xml:space="preserve">CEG provided a current estimate of inflation expectations of 1.48% (using 5/10 year weighting). It provided a 10 year estimate of 1.64%. It is worth noting that its 10 year estimate of inflation expectations (that is, to 2025) is lower than the RBA's central forecast for only a year away. See figure 1-3 from CEG, </w:t>
      </w:r>
      <w:r w:rsidRPr="00173FD8">
        <w:rPr>
          <w:rStyle w:val="AERtextitalic"/>
        </w:rPr>
        <w:t>Update to AER WACC parameters and expected inflation</w:t>
      </w:r>
      <w:r>
        <w:t>, May 2016, p. 7. In contrast to CEG's interpretation of the RBA's recent Statement of Monetary Policy, we consider this indicates that that CEG's approach</w:t>
      </w:r>
      <w:r w:rsidRPr="00C468E6">
        <w:t xml:space="preserve"> </w:t>
      </w:r>
      <w:r>
        <w:t xml:space="preserve">has likely shortcomings. </w:t>
      </w:r>
    </w:p>
  </w:footnote>
  <w:footnote w:id="587">
    <w:p w:rsidR="000230CB" w:rsidRDefault="000230CB" w:rsidP="00B56838">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45-46.</w:t>
      </w:r>
    </w:p>
  </w:footnote>
  <w:footnote w:id="588">
    <w:p w:rsidR="000230CB" w:rsidRDefault="000230CB" w:rsidP="00B56838">
      <w:pPr>
        <w:pStyle w:val="FootnoteText"/>
      </w:pPr>
      <w:r>
        <w:rPr>
          <w:rStyle w:val="FootnoteReference"/>
        </w:rPr>
        <w:footnoteRef/>
      </w:r>
      <w:r>
        <w:t xml:space="preserve"> </w:t>
      </w:r>
      <w:r>
        <w:tab/>
        <w:t xml:space="preserve">AGN, </w:t>
      </w:r>
      <w:r>
        <w:rPr>
          <w:rStyle w:val="AERtextitalic"/>
        </w:rPr>
        <w:t>Attachment 9.3 Response to draft decision: Inflation</w:t>
      </w:r>
      <w:r>
        <w:t>, January 2016.</w:t>
      </w:r>
    </w:p>
  </w:footnote>
  <w:footnote w:id="589">
    <w:p w:rsidR="000230CB" w:rsidRDefault="000230CB" w:rsidP="00B56838">
      <w:pPr>
        <w:pStyle w:val="FootnoteText"/>
      </w:pPr>
      <w:r>
        <w:rPr>
          <w:rStyle w:val="FootnoteReference"/>
        </w:rPr>
        <w:footnoteRef/>
      </w:r>
      <w:r>
        <w:t xml:space="preserve"> </w:t>
      </w:r>
      <w:r>
        <w:tab/>
        <w:t xml:space="preserve">CEG, </w:t>
      </w:r>
      <w:r w:rsidRPr="00C57E79">
        <w:rPr>
          <w:rStyle w:val="AERtextitalic"/>
        </w:rPr>
        <w:t>Measuring expected inflation for the PTRM</w:t>
      </w:r>
      <w:r>
        <w:rPr>
          <w:rStyle w:val="AERtextitalic"/>
        </w:rPr>
        <w:t>: A report for AGN</w:t>
      </w:r>
      <w:r>
        <w:t>, January 2016.</w:t>
      </w:r>
    </w:p>
  </w:footnote>
  <w:footnote w:id="590">
    <w:p w:rsidR="000230CB" w:rsidRDefault="000230CB" w:rsidP="00B56838">
      <w:pPr>
        <w:pStyle w:val="FootnoteText"/>
      </w:pPr>
      <w:r>
        <w:rPr>
          <w:rStyle w:val="FootnoteReference"/>
        </w:rPr>
        <w:footnoteRef/>
      </w:r>
      <w:r>
        <w:t xml:space="preserve"> </w:t>
      </w:r>
      <w:r>
        <w:tab/>
        <w:t xml:space="preserve">CEG, </w:t>
      </w:r>
      <w:r w:rsidRPr="000119CA">
        <w:rPr>
          <w:rStyle w:val="AERtextitalic"/>
        </w:rPr>
        <w:t>Measuring expected inflation for the PTRM</w:t>
      </w:r>
      <w:r>
        <w:rPr>
          <w:rStyle w:val="AERtextitalic"/>
        </w:rPr>
        <w:t>: A report for AGN</w:t>
      </w:r>
      <w:r>
        <w:t>, January 2016, p. 3.</w:t>
      </w:r>
    </w:p>
  </w:footnote>
  <w:footnote w:id="591">
    <w:p w:rsidR="000230CB" w:rsidRDefault="000230CB" w:rsidP="00B56838">
      <w:pPr>
        <w:pStyle w:val="FootnoteText"/>
      </w:pPr>
      <w:r>
        <w:rPr>
          <w:rStyle w:val="FootnoteReference"/>
        </w:rPr>
        <w:footnoteRef/>
      </w:r>
      <w:r>
        <w:t xml:space="preserve"> </w:t>
      </w:r>
      <w:r>
        <w:tab/>
        <w:t xml:space="preserve">AGN proposes the AER adopt a 10 year term in </w:t>
      </w:r>
      <w:r w:rsidRPr="006B14AF">
        <w:rPr>
          <w:rStyle w:val="AERtextitalic"/>
        </w:rPr>
        <w:t>Re</w:t>
      </w:r>
      <w:r>
        <w:rPr>
          <w:rStyle w:val="AERtextitalic"/>
        </w:rPr>
        <w:t>vised SA access arrangement information</w:t>
      </w:r>
      <w:r>
        <w:t>, January 2016, p. 2.</w:t>
      </w:r>
    </w:p>
  </w:footnote>
  <w:footnote w:id="592">
    <w:p w:rsidR="000230CB" w:rsidRDefault="000230CB" w:rsidP="00B56838">
      <w:pPr>
        <w:pStyle w:val="FootnoteText"/>
      </w:pPr>
      <w:r>
        <w:rPr>
          <w:rStyle w:val="FootnoteReference"/>
        </w:rPr>
        <w:footnoteRef/>
      </w:r>
      <w:r>
        <w:t xml:space="preserve"> </w:t>
      </w:r>
      <w:r>
        <w:tab/>
        <w:t xml:space="preserve">CEG, </w:t>
      </w:r>
      <w:r w:rsidRPr="00E61DFD">
        <w:rPr>
          <w:rStyle w:val="AERtextitalic"/>
        </w:rPr>
        <w:t>A methodology for estimating expected inflation: A report for ElectraNet</w:t>
      </w:r>
      <w:r w:rsidRPr="00822045">
        <w:t>, 17 January 2008</w:t>
      </w:r>
      <w:r>
        <w:t>, p. 3.</w:t>
      </w:r>
    </w:p>
  </w:footnote>
  <w:footnote w:id="593">
    <w:p w:rsidR="000230CB" w:rsidRDefault="000230CB" w:rsidP="00B56838">
      <w:pPr>
        <w:pStyle w:val="FootnoteText"/>
      </w:pPr>
      <w:r>
        <w:rPr>
          <w:rStyle w:val="FootnoteReference"/>
        </w:rPr>
        <w:footnoteRef/>
      </w:r>
      <w:r>
        <w:t xml:space="preserve"> </w:t>
      </w:r>
      <w:r>
        <w:tab/>
        <w:t xml:space="preserve">NERA, </w:t>
      </w:r>
      <w:r w:rsidRPr="00E61DFD">
        <w:rPr>
          <w:rStyle w:val="AERtextitalic"/>
        </w:rPr>
        <w:t>AER SP AusNet draft determination: Inflation expectations - TransGrid</w:t>
      </w:r>
      <w:r w:rsidRPr="00822045">
        <w:t>, November 2007</w:t>
      </w:r>
      <w:r>
        <w:t>,</w:t>
      </w:r>
      <w:r w:rsidRPr="00822045">
        <w:t xml:space="preserve"> pp. 4–5.</w:t>
      </w:r>
    </w:p>
  </w:footnote>
  <w:footnote w:id="594">
    <w:p w:rsidR="000230CB" w:rsidRDefault="000230CB" w:rsidP="00B56838">
      <w:pPr>
        <w:pStyle w:val="FootnoteText"/>
      </w:pPr>
      <w:r>
        <w:rPr>
          <w:rStyle w:val="FootnoteReference"/>
        </w:rPr>
        <w:footnoteRef/>
      </w:r>
      <w:r>
        <w:t xml:space="preserve"> </w:t>
      </w:r>
      <w:r>
        <w:tab/>
        <w:t xml:space="preserve">CEG, </w:t>
      </w:r>
      <w:r w:rsidRPr="005E1601">
        <w:rPr>
          <w:rStyle w:val="AERtextitalic"/>
        </w:rPr>
        <w:t>Measuring expected inflation for the PTRM</w:t>
      </w:r>
      <w:r>
        <w:t>, June 2015, p. 7.</w:t>
      </w:r>
    </w:p>
  </w:footnote>
  <w:footnote w:id="595">
    <w:p w:rsidR="000230CB" w:rsidRDefault="000230CB" w:rsidP="00B56838">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596">
    <w:p w:rsidR="000230CB" w:rsidRDefault="000230CB" w:rsidP="00B56838">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597">
    <w:p w:rsidR="000230CB" w:rsidRDefault="000230CB" w:rsidP="00B56838">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598">
    <w:p w:rsidR="000230CB" w:rsidRDefault="000230CB" w:rsidP="00B56838">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99">
    <w:p w:rsidR="000230CB" w:rsidRDefault="000230CB" w:rsidP="00B56838">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600">
    <w:p w:rsidR="000230CB" w:rsidRDefault="000230CB" w:rsidP="00B56838">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601">
    <w:p w:rsidR="000230CB" w:rsidRDefault="000230CB" w:rsidP="00B56838">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2002-2003 and the illiquidity of indexed bonds. Grishchenko</w:t>
      </w:r>
      <w:r>
        <w:t xml:space="preserve">, O., Huang,  J.Z. </w:t>
      </w:r>
      <w:r w:rsidRPr="00C048AF">
        <w:t>(2012), ‘Inflation Risk Premium: Evidence from the TIPS market’, Finance and Economics Discussion Series Divisions of Research and Statistics and Monetary Affairs, Federal Reserve Board, Washington, D.C. 2012-06, pp. 1-46.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602">
    <w:p w:rsidR="000230CB" w:rsidRDefault="000230CB" w:rsidP="00B56838">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603">
    <w:p w:rsidR="000230CB" w:rsidRDefault="000230CB" w:rsidP="00B56838">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2011-01, March</w:t>
      </w:r>
      <w:r>
        <w:t xml:space="preserve"> 2011</w:t>
      </w:r>
      <w:r w:rsidRPr="00973235">
        <w:t>, p</w:t>
      </w:r>
      <w:r>
        <w:t>p</w:t>
      </w:r>
      <w:r w:rsidRPr="00973235">
        <w:t>.</w:t>
      </w:r>
      <w:r>
        <w:t xml:space="preserve"> 17</w:t>
      </w:r>
      <w:r>
        <w:rPr>
          <w:rFonts w:cs="Arial"/>
        </w:rPr>
        <w:t>–</w:t>
      </w:r>
      <w:r>
        <w:t>18,</w:t>
      </w:r>
      <w:r w:rsidRPr="00973235">
        <w:t xml:space="preserve"> 20.</w:t>
      </w:r>
    </w:p>
  </w:footnote>
  <w:footnote w:id="604">
    <w:p w:rsidR="000230CB" w:rsidRDefault="000230CB" w:rsidP="00B56838">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605">
    <w:p w:rsidR="000230CB" w:rsidRDefault="000230CB" w:rsidP="00B56838">
      <w:pPr>
        <w:pStyle w:val="FootnoteText"/>
      </w:pPr>
      <w:r>
        <w:rPr>
          <w:rStyle w:val="FootnoteReference"/>
        </w:rPr>
        <w:footnoteRef/>
      </w:r>
      <w:r>
        <w:t xml:space="preserve"> </w:t>
      </w:r>
      <w:r>
        <w:tab/>
        <w:t xml:space="preserve">These limitations were not raised in AGN, </w:t>
      </w:r>
      <w:r w:rsidRPr="0051210C">
        <w:rPr>
          <w:rStyle w:val="AERtextitalic"/>
        </w:rPr>
        <w:t>Attachment 9.3 Response to draft decision: Inflation</w:t>
      </w:r>
      <w:r>
        <w:t xml:space="preserve">, January 2016; CEG, </w:t>
      </w:r>
      <w:r w:rsidRPr="00C57E79">
        <w:rPr>
          <w:rStyle w:val="AERtextitalic"/>
        </w:rPr>
        <w:t>Measuring expected inflation for the PTRM</w:t>
      </w:r>
      <w:r>
        <w:rPr>
          <w:rStyle w:val="AERtextitalic"/>
        </w:rPr>
        <w:t>: A report for AGN</w:t>
      </w:r>
      <w:r>
        <w:t>,  January 2016.</w:t>
      </w:r>
    </w:p>
  </w:footnote>
  <w:footnote w:id="606">
    <w:p w:rsidR="000230CB" w:rsidRDefault="000230CB" w:rsidP="00B56838">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607">
    <w:p w:rsidR="000230CB" w:rsidRDefault="000230CB" w:rsidP="00B56838">
      <w:pPr>
        <w:pStyle w:val="FootnoteText"/>
      </w:pPr>
      <w:r>
        <w:rPr>
          <w:rStyle w:val="FootnoteReference"/>
        </w:rPr>
        <w:footnoteRef/>
      </w:r>
      <w:r>
        <w:t xml:space="preserve"> </w:t>
      </w:r>
      <w:r>
        <w:tab/>
        <w:t xml:space="preserve">CEG, </w:t>
      </w:r>
      <w:r w:rsidRPr="000119CA">
        <w:rPr>
          <w:rStyle w:val="AERtextitalic"/>
        </w:rPr>
        <w:t>Measuring expected inflation for the PTRM</w:t>
      </w:r>
      <w:r>
        <w:t>, June 2015, pp. 6</w:t>
      </w:r>
      <w:r>
        <w:rPr>
          <w:rFonts w:cs="Arial"/>
        </w:rPr>
        <w:t>–</w:t>
      </w:r>
      <w:r>
        <w:t>7.</w:t>
      </w:r>
    </w:p>
  </w:footnote>
  <w:footnote w:id="608">
    <w:p w:rsidR="000230CB" w:rsidRDefault="000230CB" w:rsidP="00B56838">
      <w:pPr>
        <w:pStyle w:val="FootnoteText"/>
      </w:pPr>
      <w:r>
        <w:rPr>
          <w:rStyle w:val="FootnoteReference"/>
        </w:rPr>
        <w:footnoteRef/>
      </w:r>
      <w:r>
        <w:t xml:space="preserve"> </w:t>
      </w:r>
      <w:r>
        <w:tab/>
        <w:t>Australian Office of Financial Management, 'Treasury Indexed Bonds', 19 February 2016, accessed 25 February 2016, &lt;</w:t>
      </w:r>
      <w:r w:rsidRPr="008E62C4">
        <w:t>http://aofm.gov.au/ags/treasury-indexed-bonds/#Treasury_Indexed_Bonds_on_issue</w:t>
      </w:r>
      <w:r>
        <w:t>&gt;.</w:t>
      </w:r>
    </w:p>
  </w:footnote>
  <w:footnote w:id="609">
    <w:p w:rsidR="000230CB" w:rsidRDefault="000230CB" w:rsidP="00B56838">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610">
    <w:p w:rsidR="000230CB" w:rsidRDefault="000230CB" w:rsidP="00B56838">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611">
    <w:p w:rsidR="000230CB" w:rsidRDefault="000230CB" w:rsidP="00B56838">
      <w:pPr>
        <w:pStyle w:val="FootnoteText"/>
      </w:pPr>
      <w:r>
        <w:rPr>
          <w:rStyle w:val="FootnoteReference"/>
        </w:rPr>
        <w:footnoteRef/>
      </w:r>
      <w:r>
        <w:t xml:space="preserve"> </w:t>
      </w:r>
      <w:r>
        <w:tab/>
        <w:t>The a</w:t>
      </w:r>
      <w:r w:rsidRPr="006D254B">
        <w:t>nnual trading volume of indexed CGS as a share of total CGS more than doubled in 2007</w:t>
      </w:r>
      <w:r>
        <w:t xml:space="preserve">-08, but </w:t>
      </w:r>
      <w:r w:rsidRPr="006D254B">
        <w:t>returned to its 2007-08 share in 2011-12 as new tranches of nominal CGS were issued. Currently, the share is only modestly above 2007-08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612">
    <w:p w:rsidR="000230CB" w:rsidRDefault="000230CB" w:rsidP="00B56838">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613">
    <w:p w:rsidR="000230CB" w:rsidRDefault="000230CB" w:rsidP="00B56838">
      <w:pPr>
        <w:pStyle w:val="FootnoteText"/>
      </w:pPr>
      <w:r>
        <w:rPr>
          <w:rStyle w:val="FootnoteReference"/>
        </w:rPr>
        <w:footnoteRef/>
      </w:r>
      <w:r>
        <w:t xml:space="preserve"> </w:t>
      </w:r>
      <w:r>
        <w:tab/>
        <w:t xml:space="preserve">CEG, </w:t>
      </w:r>
      <w:r w:rsidRPr="00C57E79">
        <w:rPr>
          <w:rStyle w:val="AERtextitalic"/>
        </w:rPr>
        <w:t>Measuring expected inflation for the PTRM</w:t>
      </w:r>
      <w:r>
        <w:rPr>
          <w:rStyle w:val="AERtextitalic"/>
        </w:rPr>
        <w:t>: A report for AGN</w:t>
      </w:r>
      <w:r>
        <w:t xml:space="preserve">, January 2016, p. 12;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614">
    <w:p w:rsidR="000230CB" w:rsidRDefault="000230CB" w:rsidP="00B56838">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11; RBA</w:t>
      </w:r>
      <w:r w:rsidRPr="00717335">
        <w:t xml:space="preserve">,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2165-2167.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615">
    <w:p w:rsidR="000230CB" w:rsidRDefault="000230CB" w:rsidP="00B56838">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16">
    <w:p w:rsidR="000230CB" w:rsidRDefault="000230CB" w:rsidP="00B56838">
      <w:pPr>
        <w:pStyle w:val="FootnoteText"/>
      </w:pPr>
      <w:r>
        <w:rPr>
          <w:rStyle w:val="FootnoteReference"/>
        </w:rPr>
        <w:footnoteRef/>
      </w:r>
      <w:r>
        <w:t xml:space="preserve"> </w:t>
      </w:r>
      <w:r>
        <w:tab/>
        <w:t xml:space="preserve">Cll. 6.4.2(b)(1) and </w:t>
      </w:r>
      <w:r w:rsidRPr="00E733D9">
        <w:t>6A.5.3(b)(1)</w:t>
      </w:r>
      <w:r>
        <w:t xml:space="preserve"> of the NER.</w:t>
      </w:r>
    </w:p>
  </w:footnote>
  <w:footnote w:id="617">
    <w:p w:rsidR="000230CB" w:rsidRDefault="000230CB" w:rsidP="00B56838">
      <w:pPr>
        <w:pStyle w:val="FootnoteText"/>
      </w:pPr>
      <w:r>
        <w:rPr>
          <w:rStyle w:val="FootnoteReference"/>
        </w:rPr>
        <w:footnoteRef/>
      </w:r>
      <w:r>
        <w:t xml:space="preserve"> </w:t>
      </w:r>
      <w:r>
        <w:tab/>
        <w:t>NER, cl 6.4.1(b) and NER. cl 6A.5.1(b).</w:t>
      </w:r>
    </w:p>
  </w:footnote>
  <w:footnote w:id="618">
    <w:p w:rsidR="000230CB" w:rsidRDefault="000230CB" w:rsidP="00B56838">
      <w:pPr>
        <w:pStyle w:val="FootnoteText"/>
      </w:pPr>
      <w:r>
        <w:rPr>
          <w:rStyle w:val="FootnoteReference"/>
        </w:rPr>
        <w:footnoteRef/>
      </w:r>
      <w:r>
        <w:t xml:space="preserve"> </w:t>
      </w:r>
      <w:r>
        <w:tab/>
        <w:t xml:space="preserve">AER, </w:t>
      </w:r>
      <w:r w:rsidRPr="006C2136">
        <w:rPr>
          <w:rStyle w:val="AERtextitalic"/>
        </w:rPr>
        <w:t>Draft Rate of Return Guideline, Explanatory Statement</w:t>
      </w:r>
      <w:r>
        <w:t>, August 2013, p.152.</w:t>
      </w:r>
    </w:p>
  </w:footnote>
  <w:footnote w:id="619">
    <w:p w:rsidR="000230CB" w:rsidRDefault="000230CB" w:rsidP="00B56838">
      <w:pPr>
        <w:pStyle w:val="FootnoteText"/>
      </w:pPr>
      <w:r>
        <w:rPr>
          <w:rStyle w:val="FootnoteReference"/>
        </w:rPr>
        <w:footnoteRef/>
      </w:r>
      <w:r>
        <w:t xml:space="preserve"> </w:t>
      </w:r>
      <w:r>
        <w:tab/>
        <w:t xml:space="preserve">AGN, </w:t>
      </w:r>
      <w:r w:rsidRPr="0071672B">
        <w:rPr>
          <w:rStyle w:val="AERtextitalic"/>
        </w:rPr>
        <w:t>Attachment 9.3 Response to draft decision: Inflation</w:t>
      </w:r>
      <w:r>
        <w:t>, January 2016, p. 4.</w:t>
      </w:r>
    </w:p>
  </w:footnote>
  <w:footnote w:id="620">
    <w:p w:rsidR="000230CB" w:rsidRDefault="000230CB" w:rsidP="00B56838">
      <w:pPr>
        <w:pStyle w:val="FootnoteText"/>
      </w:pPr>
      <w:r>
        <w:rPr>
          <w:rStyle w:val="FootnoteReference"/>
        </w:rPr>
        <w:footnoteRef/>
      </w:r>
      <w:r>
        <w:t xml:space="preserve"> </w:t>
      </w:r>
      <w:r>
        <w:tab/>
        <w:t xml:space="preserve">CEG, </w:t>
      </w:r>
      <w:r w:rsidRPr="000119CA">
        <w:rPr>
          <w:rStyle w:val="AERtextitalic"/>
        </w:rPr>
        <w:t>Measuring expected inflation for the PTRM</w:t>
      </w:r>
      <w:r>
        <w:t xml:space="preserve">, June 2015, pp. 3, 6; CEG, </w:t>
      </w:r>
      <w:r w:rsidRPr="000119CA">
        <w:rPr>
          <w:rStyle w:val="AERtextitalic"/>
        </w:rPr>
        <w:t>Measuring expected inflation for the PTRM</w:t>
      </w:r>
      <w:r>
        <w:rPr>
          <w:rStyle w:val="AERtextitalic"/>
        </w:rPr>
        <w:t>: A report for AGN</w:t>
      </w:r>
      <w:r>
        <w:t>, January 2016, p. 8.</w:t>
      </w:r>
    </w:p>
  </w:footnote>
  <w:footnote w:id="621">
    <w:p w:rsidR="000230CB" w:rsidRDefault="000230CB" w:rsidP="00B56838"/>
  </w:footnote>
  <w:footnote w:id="622">
    <w:p w:rsidR="000230CB" w:rsidRDefault="000230CB" w:rsidP="00B66414">
      <w:pPr>
        <w:pStyle w:val="FootnoteText"/>
      </w:pPr>
      <w:r>
        <w:rPr>
          <w:rStyle w:val="FootnoteReference"/>
        </w:rPr>
        <w:footnoteRef/>
      </w:r>
      <w:r>
        <w:t xml:space="preserve"> </w:t>
      </w:r>
      <w:r>
        <w:tab/>
      </w:r>
      <w:r w:rsidRPr="00C8215D">
        <w:t xml:space="preserve">Citipower, Revised Regulatory Proposal 2016–2020, January 2016, pp. 296–297; Powercor, Revised Regulatory Proposal 2016–2020, January 2016, pp. 291–292, JEN, Revised regulatory proposal - attachment 6.1, January 2016, pp.45, 49–50 ; NERA, </w:t>
      </w:r>
      <w:r w:rsidRPr="00C8215D">
        <w:rPr>
          <w:rStyle w:val="AERtextitalic"/>
        </w:rPr>
        <w:t>The cost of equity: response to the AER's final decisions for the NSW and ACT Electricity Distributors, and for Jemena Gas Networks</w:t>
      </w:r>
      <w:r w:rsidRPr="00C8215D">
        <w:t xml:space="preserve">, June 2015; Frontier Economics, </w:t>
      </w:r>
      <w:r w:rsidRPr="00C8215D">
        <w:rPr>
          <w:rStyle w:val="AERtextitalic"/>
        </w:rPr>
        <w:t>Key issues in estimating the return on equity for the benchmark efficient entity</w:t>
      </w:r>
      <w:r w:rsidRPr="00C8215D">
        <w:t>, June 2015, p. 7 &amp; 25</w:t>
      </w:r>
      <w:r>
        <w:t>.</w:t>
      </w:r>
    </w:p>
  </w:footnote>
  <w:footnote w:id="623">
    <w:p w:rsidR="000230CB" w:rsidRDefault="000230CB" w:rsidP="00B66414">
      <w:pPr>
        <w:pStyle w:val="FootnoteText"/>
      </w:pPr>
      <w:r>
        <w:rPr>
          <w:rStyle w:val="FootnoteReference"/>
        </w:rPr>
        <w:footnoteRef/>
      </w:r>
      <w:r>
        <w:t xml:space="preserve"> </w:t>
      </w:r>
      <w:r>
        <w:tab/>
        <w:t>AER, Rate of Return Guideline: Explanatory Statement, December 2013, p. 62.</w:t>
      </w:r>
    </w:p>
  </w:footnote>
  <w:footnote w:id="624">
    <w:p w:rsidR="000230CB" w:rsidRDefault="000230CB" w:rsidP="00B66414">
      <w:pPr>
        <w:pStyle w:val="FootnoteText"/>
      </w:pPr>
      <w:r>
        <w:rPr>
          <w:rStyle w:val="FootnoteReference"/>
        </w:rPr>
        <w:footnoteRef/>
      </w:r>
      <w:r>
        <w:t xml:space="preserve"> </w:t>
      </w:r>
      <w:r>
        <w:tab/>
        <w:t>[2016] ACT 1 at 180-222</w:t>
      </w:r>
    </w:p>
  </w:footnote>
  <w:footnote w:id="625">
    <w:p w:rsidR="000230CB" w:rsidRDefault="000230CB" w:rsidP="00B66414">
      <w:pPr>
        <w:pStyle w:val="FootnoteText"/>
      </w:pPr>
      <w:r>
        <w:rPr>
          <w:rStyle w:val="FootnoteReference"/>
        </w:rPr>
        <w:footnoteRef/>
      </w:r>
      <w:r>
        <w:t xml:space="preserve"> </w:t>
      </w:r>
      <w:r>
        <w:tab/>
        <w:t>[2016] ACT 1 at pp.200-201</w:t>
      </w:r>
    </w:p>
  </w:footnote>
  <w:footnote w:id="626">
    <w:p w:rsidR="000230CB" w:rsidRDefault="000230CB" w:rsidP="00B66414">
      <w:pPr>
        <w:pStyle w:val="FootnoteText"/>
      </w:pPr>
      <w:r>
        <w:rPr>
          <w:rStyle w:val="FootnoteReference"/>
        </w:rPr>
        <w:footnoteRef/>
      </w:r>
      <w:r>
        <w:t xml:space="preserve"> </w:t>
      </w:r>
      <w:r>
        <w:tab/>
        <w:t>[2016] ACT 1 at 219-221</w:t>
      </w:r>
    </w:p>
  </w:footnote>
  <w:footnote w:id="627">
    <w:p w:rsidR="000230CB" w:rsidRDefault="000230CB" w:rsidP="0071133C">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628">
    <w:p w:rsidR="000230CB" w:rsidRDefault="000230CB" w:rsidP="0071133C">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29">
    <w:p w:rsidR="000230CB" w:rsidRDefault="000230CB" w:rsidP="0071133C">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630">
    <w:p w:rsidR="000230CB" w:rsidRDefault="000230CB" w:rsidP="0071133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31">
    <w:p w:rsidR="000230CB" w:rsidRDefault="000230CB" w:rsidP="0071133C">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32">
    <w:p w:rsidR="000230CB" w:rsidRDefault="000230CB" w:rsidP="0071133C">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33">
    <w:p w:rsidR="000230CB" w:rsidRDefault="000230CB" w:rsidP="0071133C">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34">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35">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36">
    <w:p w:rsidR="000230CB" w:rsidRDefault="000230CB" w:rsidP="0071133C">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37">
    <w:p w:rsidR="000230CB" w:rsidRDefault="000230CB" w:rsidP="0071133C">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38">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39">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40">
    <w:p w:rsidR="000230CB" w:rsidRDefault="000230CB" w:rsidP="0071133C">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641">
    <w:p w:rsidR="000230CB" w:rsidRDefault="000230CB" w:rsidP="0071133C">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0230CB" w:rsidRDefault="000230CB" w:rsidP="0071133C">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642">
    <w:p w:rsidR="000230CB" w:rsidRPr="007520DA" w:rsidRDefault="000230CB" w:rsidP="0071133C">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0230CB" w:rsidRDefault="000230CB" w:rsidP="0071133C">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643">
    <w:p w:rsidR="000230CB" w:rsidRDefault="000230CB" w:rsidP="0071133C">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644">
    <w:p w:rsidR="000230CB" w:rsidRDefault="000230CB" w:rsidP="0071133C">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645">
    <w:p w:rsidR="000230CB" w:rsidRDefault="000230CB" w:rsidP="0071133C">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646">
    <w:p w:rsidR="000230CB" w:rsidRDefault="000230CB" w:rsidP="0071133C">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647">
    <w:p w:rsidR="000230CB" w:rsidRDefault="000230CB" w:rsidP="0071133C">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648">
    <w:p w:rsidR="000230CB" w:rsidRDefault="000230CB" w:rsidP="0071133C">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649">
    <w:p w:rsidR="000230CB" w:rsidRDefault="000230CB" w:rsidP="0071133C">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50">
    <w:p w:rsidR="000230CB" w:rsidRDefault="000230CB" w:rsidP="0071133C">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51">
    <w:p w:rsidR="000230CB" w:rsidRDefault="000230CB" w:rsidP="0071133C">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52">
    <w:p w:rsidR="000230CB" w:rsidRDefault="000230CB" w:rsidP="0071133C">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53">
    <w:p w:rsidR="000230CB" w:rsidRDefault="000230CB" w:rsidP="0071133C">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54">
    <w:p w:rsidR="000230CB" w:rsidRDefault="000230CB" w:rsidP="0071133C">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55">
    <w:p w:rsidR="000230CB" w:rsidRDefault="000230CB" w:rsidP="0071133C">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656">
    <w:p w:rsidR="000230CB" w:rsidRDefault="000230CB" w:rsidP="0071133C">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657">
    <w:p w:rsidR="000230CB" w:rsidRDefault="000230CB" w:rsidP="0071133C">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658">
    <w:p w:rsidR="000230CB" w:rsidRDefault="000230CB" w:rsidP="0071133C">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659">
    <w:p w:rsidR="000230CB" w:rsidRDefault="000230CB" w:rsidP="0071133C">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660">
    <w:p w:rsidR="000230CB" w:rsidRDefault="000230CB" w:rsidP="0071133C">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661">
    <w:p w:rsidR="000230CB" w:rsidRDefault="000230CB" w:rsidP="0071133C">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62">
    <w:p w:rsidR="000230CB" w:rsidRDefault="000230CB" w:rsidP="0071133C">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663">
    <w:p w:rsidR="000230CB" w:rsidRDefault="000230CB" w:rsidP="0071133C">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664">
    <w:p w:rsidR="000230CB" w:rsidRDefault="000230CB" w:rsidP="0071133C">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65">
    <w:p w:rsidR="000230CB" w:rsidRDefault="000230CB" w:rsidP="0071133C">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666">
    <w:p w:rsidR="000230CB" w:rsidRDefault="000230CB" w:rsidP="0071133C">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667">
    <w:p w:rsidR="000230CB" w:rsidRDefault="000230CB" w:rsidP="0071133C">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668">
    <w:p w:rsidR="000230CB" w:rsidRDefault="000230CB" w:rsidP="0071133C">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669">
    <w:p w:rsidR="000230CB" w:rsidRDefault="000230CB" w:rsidP="0071133C">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670">
    <w:p w:rsidR="000230CB" w:rsidRDefault="000230CB" w:rsidP="0071133C">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71">
    <w:p w:rsidR="000230CB" w:rsidRDefault="000230CB" w:rsidP="0071133C">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672">
    <w:p w:rsidR="000230CB" w:rsidRDefault="000230CB" w:rsidP="0071133C">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673">
    <w:p w:rsidR="000230CB" w:rsidRDefault="000230CB" w:rsidP="0071133C">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74">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75">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76">
    <w:p w:rsidR="000230CB" w:rsidRPr="00892F96" w:rsidRDefault="000230CB" w:rsidP="0071133C">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77">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78">
    <w:p w:rsidR="000230CB" w:rsidRPr="00892F96" w:rsidRDefault="000230CB" w:rsidP="0071133C">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79">
    <w:p w:rsidR="000230CB" w:rsidRDefault="000230CB" w:rsidP="0071133C">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680">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681">
    <w:p w:rsidR="000230CB" w:rsidRDefault="000230CB" w:rsidP="0071133C">
      <w:pPr>
        <w:pStyle w:val="FootnoteText"/>
      </w:pPr>
      <w:r>
        <w:rPr>
          <w:rStyle w:val="FootnoteReference"/>
        </w:rPr>
        <w:footnoteRef/>
      </w:r>
      <w:r>
        <w:t xml:space="preserve"> </w:t>
      </w:r>
      <w:r>
        <w:tab/>
        <w:t>Generalised least squares,</w:t>
      </w:r>
    </w:p>
  </w:footnote>
  <w:footnote w:id="682">
    <w:p w:rsidR="000230CB" w:rsidRDefault="000230CB" w:rsidP="0071133C">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83">
    <w:p w:rsidR="000230CB" w:rsidRDefault="000230CB" w:rsidP="0071133C">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84">
    <w:p w:rsidR="000230CB" w:rsidRDefault="000230CB" w:rsidP="0071133C">
      <w:pPr>
        <w:pStyle w:val="FootnoteText"/>
      </w:pPr>
      <w:r>
        <w:rPr>
          <w:rStyle w:val="FootnoteReference"/>
        </w:rPr>
        <w:footnoteRef/>
      </w:r>
      <w:r>
        <w:t xml:space="preserve"> </w:t>
      </w:r>
      <w:r>
        <w:tab/>
        <w:t>Partington and Satchell, draft report, April 2015, pp. 46–47.</w:t>
      </w:r>
    </w:p>
  </w:footnote>
  <w:footnote w:id="685">
    <w:p w:rsidR="000230CB" w:rsidRDefault="000230CB" w:rsidP="0071133C">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86">
    <w:p w:rsidR="000230CB" w:rsidRDefault="000230CB" w:rsidP="0071133C">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87">
    <w:p w:rsidR="000230CB" w:rsidRDefault="000230CB" w:rsidP="0071133C">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88">
    <w:p w:rsidR="000230CB" w:rsidRDefault="000230CB" w:rsidP="0071133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89">
    <w:p w:rsidR="000230CB" w:rsidRDefault="000230CB" w:rsidP="0071133C">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90">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691">
    <w:p w:rsidR="000230CB" w:rsidRDefault="000230CB" w:rsidP="0071133C">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692">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693">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694">
    <w:p w:rsidR="000230CB" w:rsidRDefault="000230CB" w:rsidP="0071133C">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695">
    <w:p w:rsidR="000230CB" w:rsidRDefault="000230CB" w:rsidP="0071133C">
      <w:pPr>
        <w:pStyle w:val="FootnoteText"/>
      </w:pPr>
      <w:r>
        <w:rPr>
          <w:rStyle w:val="FootnoteReference"/>
        </w:rPr>
        <w:footnoteRef/>
      </w:r>
      <w:r>
        <w:t xml:space="preserve"> </w:t>
      </w:r>
      <w:r>
        <w:tab/>
        <w:t>Partington and Satchell, draft report, April 2015, p. 50.</w:t>
      </w:r>
    </w:p>
  </w:footnote>
  <w:footnote w:id="696">
    <w:p w:rsidR="000230CB" w:rsidRDefault="000230CB" w:rsidP="0071133C">
      <w:pPr>
        <w:pStyle w:val="FootnoteText"/>
      </w:pPr>
      <w:r>
        <w:rPr>
          <w:rStyle w:val="FootnoteReference"/>
        </w:rPr>
        <w:footnoteRef/>
      </w:r>
      <w:r>
        <w:t xml:space="preserve"> </w:t>
      </w:r>
      <w:r>
        <w:tab/>
        <w:t>Partington and Satchell, draft report, April 2015, p. 50.</w:t>
      </w:r>
    </w:p>
  </w:footnote>
  <w:footnote w:id="697">
    <w:p w:rsidR="000230CB" w:rsidRDefault="000230CB" w:rsidP="0071133C">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698">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699">
    <w:p w:rsidR="000230CB" w:rsidRDefault="000230CB" w:rsidP="0071133C">
      <w:pPr>
        <w:pStyle w:val="FootnoteText"/>
      </w:pPr>
      <w:r>
        <w:rPr>
          <w:rStyle w:val="FootnoteReference"/>
        </w:rPr>
        <w:footnoteRef/>
      </w:r>
      <w:r>
        <w:t xml:space="preserve"> </w:t>
      </w:r>
      <w:r>
        <w:tab/>
        <w:t>Partington and Satchell, draft report, April 2015, p. 45.</w:t>
      </w:r>
    </w:p>
  </w:footnote>
  <w:footnote w:id="700">
    <w:p w:rsidR="000230CB" w:rsidRDefault="000230CB" w:rsidP="0071133C">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01">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02">
    <w:p w:rsidR="000230CB" w:rsidRDefault="000230CB" w:rsidP="0071133C">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03">
    <w:p w:rsidR="000230CB" w:rsidRDefault="000230CB" w:rsidP="0071133C">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04">
    <w:p w:rsidR="000230CB" w:rsidRDefault="000230CB" w:rsidP="0071133C">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05">
    <w:p w:rsidR="000230CB" w:rsidRDefault="000230CB" w:rsidP="0071133C">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06">
    <w:p w:rsidR="000230CB" w:rsidRDefault="000230CB" w:rsidP="0071133C">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707">
    <w:p w:rsidR="000230CB" w:rsidRDefault="000230CB" w:rsidP="0071133C">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08">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09">
    <w:p w:rsidR="000230CB" w:rsidRDefault="000230CB" w:rsidP="0071133C">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10">
    <w:p w:rsidR="000230CB" w:rsidRDefault="000230CB" w:rsidP="0071133C">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11">
    <w:p w:rsidR="000230CB" w:rsidRDefault="000230CB" w:rsidP="0071133C">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712">
    <w:p w:rsidR="000230CB" w:rsidRDefault="000230CB" w:rsidP="0071133C">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713">
    <w:p w:rsidR="000230CB" w:rsidRDefault="000230CB" w:rsidP="0071133C">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14">
    <w:p w:rsidR="000230CB" w:rsidRDefault="000230CB" w:rsidP="0071133C">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715">
    <w:p w:rsidR="000230CB" w:rsidRDefault="000230CB" w:rsidP="0071133C">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716">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17">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718">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719">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720">
    <w:p w:rsidR="000230CB" w:rsidRDefault="000230CB" w:rsidP="0071133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21">
    <w:p w:rsidR="000230CB" w:rsidRDefault="000230CB" w:rsidP="0071133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22">
    <w:p w:rsidR="000230CB" w:rsidRDefault="000230CB" w:rsidP="0071133C">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723">
    <w:p w:rsidR="000230CB" w:rsidRDefault="000230CB" w:rsidP="0071133C">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724">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725">
    <w:p w:rsidR="000230CB" w:rsidRDefault="000230CB" w:rsidP="0071133C">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726">
    <w:p w:rsidR="000230CB" w:rsidRDefault="000230CB" w:rsidP="0071133C">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727">
    <w:p w:rsidR="000230CB" w:rsidRDefault="000230CB" w:rsidP="0071133C">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28">
    <w:p w:rsidR="000230CB" w:rsidRDefault="000230CB" w:rsidP="0071133C">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29">
    <w:p w:rsidR="000230CB" w:rsidRDefault="000230CB" w:rsidP="0071133C">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730">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731">
    <w:p w:rsidR="000230CB" w:rsidRDefault="000230CB" w:rsidP="0071133C">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732">
    <w:p w:rsidR="000230CB" w:rsidRDefault="000230CB" w:rsidP="0071133C">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33">
    <w:p w:rsidR="000230CB" w:rsidRDefault="000230CB" w:rsidP="0071133C">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734">
    <w:p w:rsidR="000230CB" w:rsidRDefault="000230CB" w:rsidP="0071133C">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735">
    <w:p w:rsidR="000230CB" w:rsidRDefault="000230CB" w:rsidP="0071133C">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736">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37">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738">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739">
    <w:p w:rsidR="000230CB" w:rsidRDefault="000230CB" w:rsidP="0071133C">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740">
    <w:p w:rsidR="000230CB" w:rsidRDefault="000230CB" w:rsidP="0071133C">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741">
    <w:p w:rsidR="000230CB" w:rsidRDefault="000230CB" w:rsidP="0071133C">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742">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743">
    <w:p w:rsidR="000230CB" w:rsidRDefault="000230CB" w:rsidP="0071133C">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744">
    <w:p w:rsidR="000230CB" w:rsidRDefault="000230CB" w:rsidP="0071133C">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745">
    <w:p w:rsidR="000230CB" w:rsidRDefault="000230CB" w:rsidP="0071133C">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746">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747">
    <w:p w:rsidR="000230CB" w:rsidRDefault="000230CB" w:rsidP="0071133C">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748">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749">
    <w:p w:rsidR="000230CB" w:rsidRDefault="000230CB" w:rsidP="0071133C">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50">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51">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52">
    <w:p w:rsidR="000230CB" w:rsidRDefault="000230CB" w:rsidP="0071133C">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53">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54">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55">
    <w:p w:rsidR="000230CB" w:rsidRDefault="000230CB" w:rsidP="0071133C">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56">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57">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58">
    <w:p w:rsidR="000230CB" w:rsidRDefault="000230CB" w:rsidP="0071133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59">
    <w:p w:rsidR="000230CB" w:rsidRDefault="000230CB" w:rsidP="0071133C">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760">
    <w:p w:rsidR="000230CB" w:rsidRDefault="000230CB" w:rsidP="0071133C">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61">
    <w:p w:rsidR="000230CB" w:rsidRDefault="000230CB" w:rsidP="0071133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62">
    <w:p w:rsidR="000230CB" w:rsidRDefault="000230CB" w:rsidP="0071133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63">
    <w:p w:rsidR="000230CB" w:rsidRDefault="000230CB" w:rsidP="0071133C">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64">
    <w:p w:rsidR="000230CB" w:rsidRDefault="000230CB" w:rsidP="0071133C">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65">
    <w:p w:rsidR="000230CB" w:rsidRDefault="000230CB" w:rsidP="0071133C">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66">
    <w:p w:rsidR="000230CB" w:rsidRDefault="000230CB" w:rsidP="0071133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67">
    <w:p w:rsidR="000230CB" w:rsidRDefault="000230CB" w:rsidP="0071133C">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68">
    <w:p w:rsidR="000230CB" w:rsidRDefault="000230CB" w:rsidP="0071133C">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69">
    <w:p w:rsidR="000230CB" w:rsidRDefault="000230CB" w:rsidP="0071133C">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70">
    <w:p w:rsidR="000230CB" w:rsidRDefault="000230CB" w:rsidP="0071133C">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71">
    <w:p w:rsidR="000230CB" w:rsidRDefault="000230CB" w:rsidP="0071133C">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72">
    <w:p w:rsidR="000230CB" w:rsidRDefault="000230CB" w:rsidP="0071133C">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73">
    <w:p w:rsidR="000230CB" w:rsidRDefault="000230CB" w:rsidP="0071133C">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74">
    <w:p w:rsidR="000230CB" w:rsidRDefault="000230CB" w:rsidP="0071133C">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75">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76">
    <w:p w:rsidR="000230CB" w:rsidRDefault="000230CB" w:rsidP="0071133C">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77">
    <w:p w:rsidR="000230CB" w:rsidRDefault="000230CB" w:rsidP="0071133C">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78">
    <w:p w:rsidR="000230CB" w:rsidRDefault="000230CB" w:rsidP="0071133C">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779">
    <w:p w:rsidR="000230CB" w:rsidRDefault="000230CB" w:rsidP="0071133C">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780">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81">
    <w:p w:rsidR="000230CB" w:rsidRDefault="000230CB" w:rsidP="0071133C">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82">
    <w:p w:rsidR="000230CB" w:rsidRDefault="000230CB" w:rsidP="0071133C">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83">
    <w:p w:rsidR="000230CB" w:rsidRDefault="000230CB" w:rsidP="0071133C">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84">
    <w:p w:rsidR="000230CB" w:rsidRDefault="000230CB" w:rsidP="0071133C">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85">
    <w:p w:rsidR="000230CB" w:rsidRDefault="000230CB" w:rsidP="0071133C">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786">
    <w:p w:rsidR="000230CB" w:rsidRDefault="000230CB" w:rsidP="0071133C">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87">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788">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89">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90">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91">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92">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93">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94">
    <w:p w:rsidR="000230CB" w:rsidRDefault="000230CB" w:rsidP="0071133C">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795">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796">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97">
    <w:p w:rsidR="000230CB" w:rsidRDefault="000230CB" w:rsidP="0071133C">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798">
    <w:p w:rsidR="000230CB" w:rsidRDefault="000230CB" w:rsidP="0071133C">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799">
    <w:p w:rsidR="000230CB" w:rsidRDefault="000230CB" w:rsidP="0071133C">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00">
    <w:p w:rsidR="000230CB" w:rsidRDefault="000230CB" w:rsidP="0071133C">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01">
    <w:p w:rsidR="000230CB" w:rsidRDefault="000230CB" w:rsidP="0071133C">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02">
    <w:p w:rsidR="000230CB" w:rsidRDefault="000230CB" w:rsidP="0071133C">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03">
    <w:p w:rsidR="000230CB" w:rsidRDefault="000230CB" w:rsidP="0071133C">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04">
    <w:p w:rsidR="000230CB" w:rsidRDefault="000230CB" w:rsidP="0071133C">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05">
    <w:p w:rsidR="000230CB" w:rsidRDefault="000230CB" w:rsidP="0071133C">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06">
    <w:p w:rsidR="000230CB" w:rsidRDefault="000230CB" w:rsidP="0071133C">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07">
    <w:p w:rsidR="000230CB" w:rsidRDefault="000230CB" w:rsidP="0071133C">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08">
    <w:p w:rsidR="000230CB" w:rsidRDefault="000230CB" w:rsidP="0071133C">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09">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10">
    <w:p w:rsidR="000230CB" w:rsidRDefault="000230CB" w:rsidP="0071133C">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11">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12">
    <w:p w:rsidR="000230CB" w:rsidRDefault="000230CB" w:rsidP="0071133C">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13">
    <w:p w:rsidR="000230CB" w:rsidRDefault="000230CB" w:rsidP="0071133C">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14">
    <w:p w:rsidR="000230CB" w:rsidRDefault="000230CB" w:rsidP="0071133C">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15">
    <w:p w:rsidR="000230CB" w:rsidRDefault="000230CB" w:rsidP="0071133C">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816">
    <w:p w:rsidR="000230CB" w:rsidRDefault="000230CB" w:rsidP="0071133C">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817">
    <w:p w:rsidR="000230CB" w:rsidRDefault="000230CB" w:rsidP="0071133C">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818">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819">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820">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821">
    <w:p w:rsidR="000230CB" w:rsidRDefault="000230CB" w:rsidP="0071133C">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822">
    <w:p w:rsidR="000230CB" w:rsidRDefault="000230CB" w:rsidP="0071133C">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823">
    <w:p w:rsidR="000230CB" w:rsidRDefault="000230CB" w:rsidP="0071133C">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824">
    <w:p w:rsidR="000230CB" w:rsidRDefault="000230CB" w:rsidP="0071133C">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825">
    <w:p w:rsidR="000230CB" w:rsidRDefault="000230CB" w:rsidP="0071133C">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826">
    <w:p w:rsidR="000230CB" w:rsidRDefault="000230CB" w:rsidP="0071133C">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827">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28">
    <w:p w:rsidR="000230CB" w:rsidRDefault="000230CB" w:rsidP="0071133C">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29">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30">
    <w:p w:rsidR="000230CB" w:rsidRDefault="000230CB" w:rsidP="0071133C">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31">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32">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833">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834">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835">
    <w:p w:rsidR="000230CB" w:rsidRDefault="000230CB" w:rsidP="0071133C">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836">
    <w:p w:rsidR="000230CB" w:rsidRDefault="000230CB" w:rsidP="0071133C">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837">
    <w:p w:rsidR="000230CB" w:rsidRDefault="000230CB" w:rsidP="0071133C">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838">
    <w:p w:rsidR="000230CB" w:rsidRDefault="000230CB" w:rsidP="0071133C">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39">
    <w:p w:rsidR="000230CB" w:rsidRDefault="000230CB" w:rsidP="0071133C">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40">
    <w:p w:rsidR="000230CB" w:rsidRDefault="000230CB" w:rsidP="0071133C">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841">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842">
    <w:p w:rsidR="000230CB" w:rsidRDefault="000230CB" w:rsidP="0071133C">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43">
    <w:p w:rsidR="000230CB" w:rsidRDefault="000230CB" w:rsidP="0071133C">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844">
    <w:p w:rsidR="000230CB" w:rsidRDefault="000230CB" w:rsidP="0071133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845">
    <w:p w:rsidR="000230CB" w:rsidRDefault="000230CB" w:rsidP="0071133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846">
    <w:p w:rsidR="000230CB" w:rsidRDefault="000230CB" w:rsidP="0071133C">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847">
    <w:p w:rsidR="000230CB" w:rsidRDefault="000230CB" w:rsidP="0071133C">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848">
    <w:p w:rsidR="000230CB" w:rsidRDefault="000230CB" w:rsidP="0071133C">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849">
    <w:p w:rsidR="000230CB" w:rsidRDefault="000230CB" w:rsidP="0071133C">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50">
    <w:p w:rsidR="000230CB" w:rsidRDefault="000230CB" w:rsidP="0071133C">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51">
    <w:p w:rsidR="000230CB" w:rsidRDefault="000230CB" w:rsidP="0071133C">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52">
    <w:p w:rsidR="000230CB" w:rsidRDefault="000230CB" w:rsidP="0071133C">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53">
    <w:p w:rsidR="000230CB" w:rsidRDefault="000230CB" w:rsidP="0071133C">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54">
    <w:p w:rsidR="000230CB" w:rsidRDefault="000230CB" w:rsidP="0071133C">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55">
    <w:p w:rsidR="000230CB" w:rsidRDefault="000230CB" w:rsidP="0071133C">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56">
    <w:p w:rsidR="000230CB" w:rsidRDefault="000230CB" w:rsidP="0071133C">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57">
    <w:p w:rsidR="000230CB" w:rsidRDefault="000230CB" w:rsidP="0071133C">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58">
    <w:p w:rsidR="000230CB" w:rsidRDefault="000230CB" w:rsidP="0071133C">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859">
    <w:p w:rsidR="000230CB" w:rsidRDefault="000230CB" w:rsidP="0071133C">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60">
    <w:p w:rsidR="000230CB" w:rsidRDefault="000230CB" w:rsidP="0071133C">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61">
    <w:p w:rsidR="000230CB" w:rsidRDefault="000230CB" w:rsidP="0071133C">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62">
    <w:p w:rsidR="000230CB" w:rsidRDefault="000230CB" w:rsidP="0071133C">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63">
    <w:p w:rsidR="000230CB" w:rsidRDefault="000230CB" w:rsidP="0071133C">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64">
    <w:p w:rsidR="000230CB" w:rsidRDefault="000230CB" w:rsidP="0071133C">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65">
    <w:p w:rsidR="000230CB" w:rsidRDefault="000230CB" w:rsidP="0071133C">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66">
    <w:p w:rsidR="000230CB" w:rsidRDefault="000230CB" w:rsidP="00B37069">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67">
    <w:p w:rsidR="000230CB" w:rsidRDefault="000230CB" w:rsidP="00B37069">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68">
    <w:p w:rsidR="000230CB" w:rsidRDefault="000230CB" w:rsidP="00B37069">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69">
    <w:p w:rsidR="000230CB" w:rsidRDefault="000230CB" w:rsidP="00B37069">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70">
    <w:p w:rsidR="000230CB" w:rsidRDefault="000230CB" w:rsidP="00B37069">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71">
    <w:p w:rsidR="000230CB" w:rsidRDefault="000230CB" w:rsidP="00B37069">
      <w:pPr>
        <w:pStyle w:val="FootnoteText"/>
      </w:pPr>
      <w:r>
        <w:rPr>
          <w:rStyle w:val="FootnoteReference"/>
        </w:rPr>
        <w:footnoteRef/>
      </w:r>
      <w:r>
        <w:t xml:space="preserve"> </w:t>
      </w:r>
      <w:r>
        <w:tab/>
        <w:t>Our risk free rate estimate is 2.94 per cent.</w:t>
      </w:r>
    </w:p>
  </w:footnote>
  <w:footnote w:id="872">
    <w:p w:rsidR="000230CB" w:rsidRDefault="000230CB" w:rsidP="00B37069">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873">
    <w:p w:rsidR="000230CB" w:rsidRDefault="000230CB" w:rsidP="00B37069">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74">
    <w:p w:rsidR="000230CB" w:rsidRDefault="000230CB" w:rsidP="00B37069">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75">
    <w:p w:rsidR="000230CB" w:rsidRDefault="000230CB" w:rsidP="00B3706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76">
    <w:p w:rsidR="000230CB" w:rsidRDefault="000230CB" w:rsidP="00B37069">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77">
    <w:p w:rsidR="000230CB" w:rsidRDefault="000230CB" w:rsidP="00B37069">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78">
    <w:p w:rsidR="000230CB" w:rsidRDefault="000230CB" w:rsidP="00B37069">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79">
    <w:p w:rsidR="000230CB" w:rsidRDefault="000230CB" w:rsidP="00B37069">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80">
    <w:p w:rsidR="000230CB" w:rsidRDefault="000230CB" w:rsidP="00B37069">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81">
    <w:p w:rsidR="000230CB" w:rsidRDefault="000230CB" w:rsidP="00B37069">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82">
    <w:p w:rsidR="000230CB" w:rsidRDefault="000230CB" w:rsidP="00B3706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83">
    <w:p w:rsidR="000230CB" w:rsidRDefault="000230CB" w:rsidP="00B3706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84">
    <w:p w:rsidR="000230CB" w:rsidRDefault="000230CB" w:rsidP="00B3706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85">
    <w:p w:rsidR="000230CB" w:rsidRDefault="000230CB" w:rsidP="00B37069">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86">
    <w:p w:rsidR="000230CB" w:rsidRDefault="000230CB" w:rsidP="00B3706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87">
    <w:p w:rsidR="000230CB" w:rsidRDefault="000230CB" w:rsidP="00B3706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88">
    <w:p w:rsidR="000230CB" w:rsidRDefault="000230CB" w:rsidP="00B3706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89">
    <w:p w:rsidR="000230CB" w:rsidRDefault="000230CB" w:rsidP="00B3706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90">
    <w:p w:rsidR="000230CB" w:rsidRDefault="000230CB" w:rsidP="00B3706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91">
    <w:p w:rsidR="000230CB" w:rsidRDefault="000230CB" w:rsidP="00B3706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892">
    <w:p w:rsidR="000230CB" w:rsidRDefault="000230CB" w:rsidP="00B37069">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893">
    <w:p w:rsidR="000230CB" w:rsidRDefault="000230CB" w:rsidP="00B37069">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894">
    <w:p w:rsidR="000230CB" w:rsidRDefault="000230CB" w:rsidP="00B37069">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95">
    <w:p w:rsidR="000230CB" w:rsidRDefault="000230CB" w:rsidP="00B37069">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896">
    <w:p w:rsidR="000230CB" w:rsidRDefault="000230CB" w:rsidP="00B37069">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897">
    <w:p w:rsidR="000230CB" w:rsidRDefault="000230CB" w:rsidP="00B37069">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898">
    <w:p w:rsidR="000230CB" w:rsidRDefault="000230CB" w:rsidP="00B37069">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899">
    <w:p w:rsidR="000230CB" w:rsidRDefault="000230CB" w:rsidP="00B37069">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900">
    <w:p w:rsidR="000230CB" w:rsidRDefault="000230CB" w:rsidP="00B37069">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901">
    <w:p w:rsidR="000230CB" w:rsidRDefault="000230CB" w:rsidP="00B37069">
      <w:pPr>
        <w:pStyle w:val="FootnoteText"/>
      </w:pPr>
      <w:r>
        <w:rPr>
          <w:rStyle w:val="FootnoteReference"/>
        </w:rPr>
        <w:footnoteRef/>
      </w:r>
      <w:r>
        <w:t xml:space="preserve"> </w:t>
      </w:r>
      <w:r>
        <w:tab/>
        <w:t xml:space="preserve">AER, </w:t>
      </w:r>
      <w:r>
        <w:rPr>
          <w:rStyle w:val="Emphasis"/>
        </w:rPr>
        <w:t>Draft decision Australian Gas Networks</w:t>
      </w:r>
      <w:r w:rsidRPr="002147A6">
        <w:rPr>
          <w:rStyle w:val="Emphasis"/>
        </w:rPr>
        <w:t xml:space="preserve"> </w:t>
      </w:r>
      <w:r>
        <w:rPr>
          <w:rStyle w:val="Emphasis"/>
        </w:rPr>
        <w:t>access arrangement</w:t>
      </w:r>
      <w:r w:rsidRPr="002147A6">
        <w:rPr>
          <w:rStyle w:val="Emphasis"/>
        </w:rPr>
        <w:t xml:space="preserve"> 2016 to 2020</w:t>
      </w:r>
      <w:r>
        <w:rPr>
          <w:rStyle w:val="Emphasis"/>
        </w:rPr>
        <w:t xml:space="preserve">: </w:t>
      </w:r>
      <w:r w:rsidRPr="00AD44F5">
        <w:rPr>
          <w:rStyle w:val="Emphasis"/>
        </w:rPr>
        <w:t>Attachment 3 - Rate of return</w:t>
      </w:r>
      <w:r>
        <w:t>, November 2015, pp. 382-387.</w:t>
      </w:r>
    </w:p>
  </w:footnote>
  <w:footnote w:id="902">
    <w:p w:rsidR="000230CB" w:rsidRDefault="000230CB" w:rsidP="00B3706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903">
    <w:p w:rsidR="000230CB" w:rsidRDefault="000230CB" w:rsidP="00B37069">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904">
    <w:p w:rsidR="000230CB" w:rsidRDefault="000230CB" w:rsidP="00B3706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905">
    <w:p w:rsidR="000230CB" w:rsidRDefault="000230CB" w:rsidP="00B37069">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906">
    <w:p w:rsidR="000230CB" w:rsidRDefault="000230CB" w:rsidP="00B37069">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907">
    <w:p w:rsidR="000230CB" w:rsidRDefault="000230CB" w:rsidP="00B37069">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908">
    <w:p w:rsidR="000230CB" w:rsidRDefault="000230CB" w:rsidP="00B37069">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909">
    <w:p w:rsidR="000230CB" w:rsidRDefault="000230CB" w:rsidP="00B3706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910">
    <w:p w:rsidR="000230CB" w:rsidRDefault="000230CB" w:rsidP="00B3706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911">
    <w:p w:rsidR="000230CB" w:rsidRDefault="000230CB" w:rsidP="00B3706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912">
    <w:p w:rsidR="000230CB" w:rsidRDefault="000230CB" w:rsidP="00903BDA">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13">
    <w:p w:rsidR="000230CB" w:rsidRDefault="000230CB" w:rsidP="00903BDA">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14">
    <w:p w:rsidR="000230CB" w:rsidRDefault="000230CB" w:rsidP="00903BDA">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15">
    <w:p w:rsidR="000230CB" w:rsidRDefault="000230CB" w:rsidP="00903BDA">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16">
    <w:p w:rsidR="000230CB" w:rsidRDefault="000230CB" w:rsidP="00903BDA">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17">
    <w:p w:rsidR="000230CB" w:rsidRDefault="000230CB" w:rsidP="00903BDA">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18">
    <w:p w:rsidR="000230CB" w:rsidRDefault="000230CB" w:rsidP="00903BDA">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19">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20">
    <w:p w:rsidR="000230CB" w:rsidRDefault="000230CB" w:rsidP="00903BDA">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21">
    <w:p w:rsidR="000230CB" w:rsidRDefault="000230CB" w:rsidP="00903BDA">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22">
    <w:p w:rsidR="000230CB" w:rsidRDefault="000230CB" w:rsidP="00903BDA">
      <w:pPr>
        <w:pStyle w:val="FootnoteText"/>
      </w:pPr>
      <w:r>
        <w:rPr>
          <w:rStyle w:val="FootnoteReference"/>
        </w:rPr>
        <w:footnoteRef/>
      </w:r>
      <w:r>
        <w:t xml:space="preserve"> </w:t>
      </w:r>
      <w:r>
        <w:tab/>
        <w:t>Rather than target prices.</w:t>
      </w:r>
    </w:p>
  </w:footnote>
  <w:footnote w:id="923">
    <w:p w:rsidR="000230CB" w:rsidRDefault="000230CB" w:rsidP="00903BDA">
      <w:pPr>
        <w:pStyle w:val="FootnoteText"/>
      </w:pPr>
      <w:r>
        <w:rPr>
          <w:rStyle w:val="FootnoteReference"/>
        </w:rPr>
        <w:footnoteRef/>
      </w:r>
      <w:r>
        <w:t xml:space="preserve"> </w:t>
      </w:r>
      <w:r>
        <w:tab/>
        <w:t>Assumed to be 2.5 per cent, which is the mid-point of the RBA's target inflation band.</w:t>
      </w:r>
    </w:p>
  </w:footnote>
  <w:footnote w:id="924">
    <w:p w:rsidR="000230CB" w:rsidRDefault="000230CB" w:rsidP="00903BDA">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25">
    <w:p w:rsidR="000230CB" w:rsidRDefault="000230CB" w:rsidP="00903BDA">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26">
    <w:p w:rsidR="000230CB" w:rsidRDefault="000230CB" w:rsidP="00903BDA">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27">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28">
    <w:p w:rsidR="000230CB" w:rsidRDefault="000230CB" w:rsidP="00903BDA">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29">
    <w:p w:rsidR="000230CB" w:rsidRDefault="000230CB" w:rsidP="00903BDA">
      <w:pPr>
        <w:pStyle w:val="FootnoteText"/>
      </w:pPr>
      <w:r>
        <w:rPr>
          <w:rStyle w:val="FootnoteReference"/>
        </w:rPr>
        <w:footnoteRef/>
      </w:r>
      <w:r>
        <w:t xml:space="preserve"> </w:t>
      </w:r>
      <w:r>
        <w:tab/>
        <w:t>Although they use a different value for the assumed utilisation rate of imputation credits.</w:t>
      </w:r>
    </w:p>
  </w:footnote>
  <w:footnote w:id="930">
    <w:p w:rsidR="000230CB" w:rsidRDefault="000230CB" w:rsidP="00903BDA">
      <w:pPr>
        <w:pStyle w:val="FootnoteText"/>
      </w:pPr>
      <w:r>
        <w:rPr>
          <w:rStyle w:val="FootnoteReference"/>
        </w:rPr>
        <w:footnoteRef/>
      </w:r>
      <w:r>
        <w:t xml:space="preserve"> </w:t>
      </w:r>
      <w:r>
        <w:tab/>
        <w:t xml:space="preserve">AGN adopts the market risk premium estimates of Frontier Economics, see: Frontier Economics, </w:t>
      </w:r>
      <w:r w:rsidRPr="00F85858">
        <w:rPr>
          <w:rStyle w:val="AERtextitalic"/>
        </w:rPr>
        <w:t>The required return on equity under a foundation model approach</w:t>
      </w:r>
      <w:r>
        <w:t>, January 2016, p. 37.</w:t>
      </w:r>
    </w:p>
  </w:footnote>
  <w:footnote w:id="931">
    <w:p w:rsidR="000230CB" w:rsidRDefault="000230CB" w:rsidP="00903BDA">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932">
    <w:p w:rsidR="000230CB" w:rsidRDefault="000230CB" w:rsidP="00903BDA">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3">
    <w:p w:rsidR="000230CB" w:rsidRDefault="000230CB" w:rsidP="00903BDA">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34">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35">
    <w:p w:rsidR="000230CB" w:rsidRDefault="000230CB" w:rsidP="00903BDA">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936">
    <w:p w:rsidR="000230CB" w:rsidRDefault="000230CB" w:rsidP="00903BDA">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937">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8">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939">
    <w:p w:rsidR="000230CB" w:rsidRDefault="000230CB" w:rsidP="00903BDA">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940">
    <w:p w:rsidR="000230CB" w:rsidRDefault="000230CB" w:rsidP="00903BDA">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941">
    <w:p w:rsidR="000230CB" w:rsidRDefault="000230CB" w:rsidP="00903BDA">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942">
    <w:p w:rsidR="000230CB" w:rsidRDefault="000230CB" w:rsidP="00903BD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43">
    <w:p w:rsidR="000230CB" w:rsidRDefault="000230CB" w:rsidP="00903BDA">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44">
    <w:p w:rsidR="000230CB" w:rsidRDefault="000230CB" w:rsidP="00903BDA">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945">
    <w:p w:rsidR="000230CB" w:rsidRDefault="000230CB" w:rsidP="0051596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946">
    <w:p w:rsidR="000230CB" w:rsidRDefault="000230CB" w:rsidP="0051596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947">
    <w:p w:rsidR="000230CB" w:rsidRDefault="000230CB" w:rsidP="0051596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948">
    <w:p w:rsidR="000230CB" w:rsidRDefault="000230CB" w:rsidP="0051596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949">
    <w:p w:rsidR="000230CB" w:rsidRDefault="000230CB" w:rsidP="0051596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950">
    <w:p w:rsidR="000230CB" w:rsidRDefault="000230CB" w:rsidP="00515964">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951">
    <w:p w:rsidR="000230CB" w:rsidRDefault="000230CB" w:rsidP="00515964">
      <w:pPr>
        <w:pStyle w:val="FootnoteText"/>
      </w:pPr>
      <w:r>
        <w:rPr>
          <w:rStyle w:val="FootnoteReference"/>
        </w:rPr>
        <w:footnoteRef/>
      </w:r>
      <w:r>
        <w:t xml:space="preserve"> </w:t>
      </w:r>
      <w:r>
        <w:tab/>
        <w:t xml:space="preserve">This averaging period is from 26 February 2016 to 24 March 2016. </w:t>
      </w:r>
    </w:p>
  </w:footnote>
  <w:footnote w:id="952">
    <w:p w:rsidR="000230CB" w:rsidRDefault="000230CB" w:rsidP="0051596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53">
    <w:p w:rsidR="000230CB" w:rsidRDefault="000230CB" w:rsidP="0051596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54">
    <w:p w:rsidR="000230CB" w:rsidRDefault="000230CB" w:rsidP="008F4F7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55">
    <w:p w:rsidR="000230CB" w:rsidRDefault="000230CB" w:rsidP="008F4F73">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56">
    <w:p w:rsidR="000230CB" w:rsidRDefault="000230CB" w:rsidP="008F4F73">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57">
    <w:p w:rsidR="000230CB" w:rsidRDefault="000230CB" w:rsidP="008F4F73">
      <w:pPr>
        <w:pStyle w:val="FootnoteText"/>
      </w:pPr>
      <w:r>
        <w:rPr>
          <w:rStyle w:val="FootnoteReference"/>
        </w:rPr>
        <w:footnoteRef/>
      </w:r>
      <w:r>
        <w:t xml:space="preserve"> </w:t>
      </w:r>
      <w:r>
        <w:tab/>
        <w:t xml:space="preserve">Based on a proposed return on equity of 9.76 per cent (from a multi-model approach) and a proposed risk free rate of 2.68 per cent (see: </w:t>
      </w:r>
      <w:r w:rsidRPr="00273F0E">
        <w:t xml:space="preserve">AGN, </w:t>
      </w:r>
      <w:r w:rsidRPr="00273F0E">
        <w:rPr>
          <w:rStyle w:val="Emphasis"/>
        </w:rPr>
        <w:t>2016–17 to 2020/21 Access Arrangement information response to draft decision: Attachment 10.26 Response to draft decision: rate of return</w:t>
      </w:r>
      <w:r w:rsidRPr="00273F0E">
        <w:t>, January 2016, pp. 44, 88</w:t>
      </w:r>
      <w:r>
        <w:t>).</w:t>
      </w:r>
      <w:r w:rsidRPr="00273F0E">
        <w:t xml:space="preserve"> </w:t>
      </w:r>
    </w:p>
  </w:footnote>
  <w:footnote w:id="958">
    <w:p w:rsidR="000230CB" w:rsidRDefault="000230CB" w:rsidP="008F4F73">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59">
    <w:p w:rsidR="000230CB" w:rsidRDefault="000230CB" w:rsidP="008F4F73">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60">
    <w:p w:rsidR="000230CB" w:rsidRDefault="000230CB" w:rsidP="008F4F73">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61">
    <w:p w:rsidR="000230CB" w:rsidRDefault="000230CB" w:rsidP="008F4F73">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62">
    <w:p w:rsidR="000230CB" w:rsidRDefault="000230CB" w:rsidP="008F4F73">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63">
    <w:p w:rsidR="000230CB" w:rsidRDefault="000230CB" w:rsidP="008F4F73">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64">
    <w:p w:rsidR="000230CB" w:rsidRDefault="000230CB" w:rsidP="008F4F73">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965">
    <w:p w:rsidR="000230CB" w:rsidRDefault="000230CB" w:rsidP="008F4F73">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66">
    <w:p w:rsidR="000230CB" w:rsidRDefault="000230CB" w:rsidP="00734DBF">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67">
    <w:p w:rsidR="000230CB" w:rsidRDefault="000230CB" w:rsidP="00734DBF">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68">
    <w:p w:rsidR="000230CB" w:rsidRDefault="000230CB" w:rsidP="00734DBF">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69">
    <w:p w:rsidR="000230CB" w:rsidRDefault="000230CB" w:rsidP="00734DBF">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70">
    <w:p w:rsidR="000230CB" w:rsidRDefault="000230CB" w:rsidP="00734DBF">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71">
    <w:p w:rsidR="000230CB" w:rsidRDefault="000230CB" w:rsidP="00734DBF">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72">
    <w:p w:rsidR="000230CB" w:rsidRDefault="000230CB" w:rsidP="00734DBF">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73">
    <w:p w:rsidR="000230CB" w:rsidRDefault="000230CB" w:rsidP="00734DBF">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74">
    <w:p w:rsidR="000230CB" w:rsidRDefault="000230CB" w:rsidP="008F4F73">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8F4F73">
        <w:t xml:space="preserve">Table </w:t>
      </w:r>
      <w:r>
        <w:rPr>
          <w:noProof/>
        </w:rPr>
        <w:t>3</w:t>
      </w:r>
      <w:r w:rsidRPr="008F4F73">
        <w:noBreakHyphen/>
      </w:r>
      <w:r>
        <w:rPr>
          <w:noProof/>
        </w:rPr>
        <w:t>34</w:t>
      </w:r>
      <w:r>
        <w:fldChar w:fldCharType="end"/>
      </w:r>
      <w:r>
        <w:t xml:space="preserve"> capture the most recent report from each broker on each of the stated companies in this time period.</w:t>
      </w:r>
    </w:p>
  </w:footnote>
  <w:footnote w:id="975">
    <w:p w:rsidR="000230CB" w:rsidRDefault="000230CB" w:rsidP="008F4F73">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76">
    <w:p w:rsidR="000230CB" w:rsidRDefault="000230CB" w:rsidP="008F4F73">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77">
    <w:p w:rsidR="000230CB" w:rsidRDefault="000230CB" w:rsidP="008F4F73">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78">
    <w:p w:rsidR="000230CB" w:rsidRDefault="000230CB" w:rsidP="008F4F73">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79">
    <w:p w:rsidR="000230CB" w:rsidRDefault="000230CB" w:rsidP="008F4F73">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80">
    <w:p w:rsidR="000230CB" w:rsidRDefault="000230CB" w:rsidP="008F4F73">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81">
    <w:p w:rsidR="000230CB" w:rsidRDefault="000230CB" w:rsidP="008F4F73">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w:t>
      </w:r>
      <w:r w:rsidRPr="00904748">
        <w:t>n, February 2016</w:t>
      </w:r>
      <w:r>
        <w:t xml:space="preserve">; </w:t>
      </w:r>
      <w:r w:rsidRPr="008B7569">
        <w:t xml:space="preserve">Essential Services Commission of Victoria, </w:t>
      </w:r>
      <w:r w:rsidRPr="00DA4F44">
        <w:rPr>
          <w:rStyle w:val="Emphasis"/>
        </w:rPr>
        <w:t>Melbourne Water Price Review 2016: Draft Decision</w:t>
      </w:r>
      <w:r w:rsidRPr="008B7569">
        <w:t>, March 2016</w:t>
      </w:r>
      <w:r>
        <w:t xml:space="preserve">; </w:t>
      </w:r>
      <w:r w:rsidRPr="008B7569">
        <w:t xml:space="preserve">Independent Pricing and Regulatory Tribunal, </w:t>
      </w:r>
      <w:r w:rsidRPr="00DA4F44">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WaterNSW from 1 July 2016 to 30 June 2020 - Draft report</w:t>
      </w:r>
      <w:r w:rsidRPr="008B7569">
        <w:t>, March 2016</w:t>
      </w:r>
      <w:r>
        <w:t>.</w:t>
      </w:r>
    </w:p>
  </w:footnote>
  <w:footnote w:id="982">
    <w:p w:rsidR="000230CB" w:rsidRDefault="000230CB" w:rsidP="008F4F73">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83">
    <w:p w:rsidR="000230CB" w:rsidRDefault="000230CB" w:rsidP="008F4F73">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84">
    <w:p w:rsidR="000230CB" w:rsidRDefault="000230CB" w:rsidP="008F4F73">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decision</w:t>
      </w:r>
      <w:r w:rsidRPr="00904748">
        <w:t>, February 2016</w:t>
      </w:r>
      <w:r>
        <w:t xml:space="preserve">; </w:t>
      </w:r>
      <w:r w:rsidRPr="008B7569">
        <w:t xml:space="preserve">Essential Services Commission of Victoria, </w:t>
      </w:r>
      <w:r w:rsidRPr="008B7569">
        <w:rPr>
          <w:rStyle w:val="Emphasis"/>
        </w:rPr>
        <w:t>Melbourne Water Price Review 2016: Draft Decision</w:t>
      </w:r>
      <w:r w:rsidRPr="008B7569">
        <w:t xml:space="preserve">, March 2016; Independent Pricing and Regulatory Tribunal, </w:t>
      </w:r>
      <w:r w:rsidRPr="008B7569">
        <w:rPr>
          <w:rStyle w:val="Emphasis"/>
        </w:rPr>
        <w:t>Review of prices for Sydney Water Corporation from 1 July 2016 to 30 June 2020 - Draft report</w:t>
      </w:r>
      <w:r w:rsidRPr="008B7569">
        <w:t xml:space="preserve">, March 2016; Independent Pricing and Regulatory Tribunal, </w:t>
      </w:r>
      <w:r w:rsidRPr="008B7569">
        <w:rPr>
          <w:rStyle w:val="Emphasis"/>
        </w:rPr>
        <w:t>Review of prices for Hunter Water Corporation from 1 July 2016 to 30 June 2020 - Draft report</w:t>
      </w:r>
      <w:r w:rsidRPr="008B7569">
        <w:t xml:space="preserve">, March 2016; Independent Pricing and Regulatory Tribunal, </w:t>
      </w:r>
      <w:r w:rsidRPr="008B7569">
        <w:rPr>
          <w:rStyle w:val="Emphasis"/>
        </w:rPr>
        <w:t>Review of prices for WaterNSW from 1 July 2016 to 30 June 2020 - Draft report</w:t>
      </w:r>
      <w:r w:rsidRPr="008B7569">
        <w:t>, March 2016</w:t>
      </w:r>
      <w:r>
        <w:t>.</w:t>
      </w:r>
    </w:p>
  </w:footnote>
  <w:footnote w:id="985">
    <w:p w:rsidR="000230CB" w:rsidRDefault="000230CB" w:rsidP="008F4F73">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86">
    <w:p w:rsidR="000230CB" w:rsidRDefault="000230CB" w:rsidP="008F4F73">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87">
    <w:p w:rsidR="000230CB" w:rsidRPr="00D23304" w:rsidRDefault="000230CB" w:rsidP="008F4F73">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88">
    <w:p w:rsidR="000230CB" w:rsidRDefault="000230CB" w:rsidP="008F4F73">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89">
    <w:p w:rsidR="000230CB" w:rsidRDefault="000230CB" w:rsidP="008F4F73">
      <w:pPr>
        <w:pStyle w:val="FootnoteText"/>
      </w:pPr>
      <w:r>
        <w:rPr>
          <w:rStyle w:val="FootnoteReference"/>
        </w:rPr>
        <w:footnoteRef/>
      </w:r>
      <w:r>
        <w:t xml:space="preserve"> </w:t>
      </w:r>
      <w:r>
        <w:tab/>
      </w:r>
      <w:r w:rsidRPr="00D33284">
        <w:t xml:space="preserve">AER, </w:t>
      </w:r>
      <w:r w:rsidRPr="00D33284">
        <w:rPr>
          <w:rStyle w:val="Emphasis"/>
        </w:rPr>
        <w:t>Draft decision Australian Gas Networks Access Arrangement 2016 to 2021: Attachment 3 – Rate of return</w:t>
      </w:r>
      <w:r w:rsidRPr="00D33284">
        <w:t>, November 2015, pp. 521–526</w:t>
      </w:r>
      <w:r>
        <w:t>..</w:t>
      </w:r>
    </w:p>
    <w:p w:rsidR="000230CB" w:rsidRDefault="000230CB" w:rsidP="008F4F73">
      <w:pPr>
        <w:pStyle w:val="FootnoteText"/>
      </w:pPr>
    </w:p>
  </w:footnote>
  <w:footnote w:id="990">
    <w:p w:rsidR="000230CB" w:rsidRDefault="000230CB" w:rsidP="008F4F73">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991">
    <w:p w:rsidR="000230CB" w:rsidRDefault="000230CB" w:rsidP="008F4F73">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992">
    <w:p w:rsidR="000230CB" w:rsidRDefault="000230CB" w:rsidP="008F4F73">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993">
    <w:p w:rsidR="000230CB" w:rsidRDefault="000230CB" w:rsidP="008F4F73">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4">
    <w:p w:rsidR="000230CB" w:rsidRDefault="000230CB" w:rsidP="008F4F73">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5">
    <w:p w:rsidR="000230CB" w:rsidRDefault="000230CB" w:rsidP="008F4F73">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996">
    <w:p w:rsidR="000230CB" w:rsidRDefault="000230CB" w:rsidP="008F4F73">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97">
    <w:p w:rsidR="000230CB" w:rsidRDefault="000230CB" w:rsidP="008F4F73">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998">
    <w:p w:rsidR="000230CB" w:rsidRDefault="000230CB" w:rsidP="008F4F73">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999">
    <w:p w:rsidR="000230CB" w:rsidRDefault="000230CB" w:rsidP="008F4F73">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00">
    <w:p w:rsidR="000230CB" w:rsidRDefault="000230CB" w:rsidP="008F4F73">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1001">
    <w:p w:rsidR="000230CB" w:rsidRDefault="000230CB" w:rsidP="008F4F73">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1002">
    <w:p w:rsidR="000230CB" w:rsidRDefault="000230CB" w:rsidP="008F4F73">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1003">
    <w:p w:rsidR="000230CB" w:rsidRDefault="000230CB" w:rsidP="008F4F73">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1004">
    <w:p w:rsidR="000230CB" w:rsidRDefault="000230CB" w:rsidP="008F4F73">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1005">
    <w:p w:rsidR="000230CB" w:rsidRDefault="000230CB" w:rsidP="008F4F73">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1006">
    <w:p w:rsidR="000230CB" w:rsidRDefault="000230CB" w:rsidP="008F4F73">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1007">
    <w:p w:rsidR="000230CB" w:rsidRDefault="000230CB" w:rsidP="008577ED">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08">
    <w:p w:rsidR="000230CB" w:rsidRDefault="000230CB" w:rsidP="008577ED">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09">
    <w:p w:rsidR="000230CB" w:rsidRDefault="000230CB" w:rsidP="008577ED">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10">
    <w:p w:rsidR="000230CB" w:rsidRDefault="000230CB" w:rsidP="008577ED">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11">
    <w:p w:rsidR="000230CB" w:rsidRDefault="000230CB" w:rsidP="008577ED">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Australian Gas Networks</w:t>
      </w:r>
      <w:r w:rsidRPr="00834892">
        <w:rPr>
          <w:rStyle w:val="AERtextitalic"/>
        </w:rPr>
        <w:t xml:space="preserve"> </w:t>
      </w:r>
      <w:r>
        <w:rPr>
          <w:rStyle w:val="AERtextitalic"/>
        </w:rPr>
        <w:t>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p>
  </w:footnote>
  <w:footnote w:id="1012">
    <w:p w:rsidR="000230CB" w:rsidRDefault="000230CB" w:rsidP="008577ED">
      <w:pPr>
        <w:pStyle w:val="FootnoteText"/>
      </w:pPr>
      <w:r>
        <w:rPr>
          <w:rStyle w:val="FootnoteReference"/>
        </w:rPr>
        <w:footnoteRef/>
      </w:r>
      <w:r>
        <w:t xml:space="preserve"> </w:t>
      </w:r>
      <w:r>
        <w:tab/>
        <w:t>R</w:t>
      </w:r>
      <w:r w:rsidRPr="00D20501">
        <w:t>aw equity beta estimates are those that are observed from the initial regression</w:t>
      </w:r>
    </w:p>
  </w:footnote>
  <w:footnote w:id="1013">
    <w:p w:rsidR="000230CB" w:rsidRDefault="000230CB" w:rsidP="008577ED">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14">
    <w:p w:rsidR="000230CB" w:rsidRDefault="000230CB" w:rsidP="008577ED">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15">
    <w:p w:rsidR="000230CB" w:rsidRDefault="000230CB" w:rsidP="008577ED">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16">
    <w:p w:rsidR="000230CB" w:rsidRDefault="000230CB" w:rsidP="008577ED">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17">
    <w:p w:rsidR="000230CB" w:rsidRDefault="000230CB" w:rsidP="008577ED">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18">
    <w:p w:rsidR="000230CB" w:rsidRDefault="000230CB" w:rsidP="008577ED">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19">
    <w:p w:rsidR="000230CB" w:rsidRDefault="000230CB" w:rsidP="008577ED">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20">
    <w:p w:rsidR="000230CB" w:rsidRDefault="000230CB" w:rsidP="008577ED">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21">
    <w:p w:rsidR="000230CB" w:rsidRDefault="000230CB" w:rsidP="008577ED">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22">
    <w:p w:rsidR="000230CB" w:rsidRDefault="000230CB" w:rsidP="008577ED">
      <w:pPr>
        <w:pStyle w:val="FootnoteText"/>
      </w:pPr>
      <w:r>
        <w:rPr>
          <w:rStyle w:val="FootnoteReference"/>
        </w:rPr>
        <w:footnoteRef/>
      </w:r>
      <w:r>
        <w:t xml:space="preserve"> </w:t>
      </w:r>
      <w:r>
        <w:tab/>
        <w:t>A</w:t>
      </w:r>
      <w:r w:rsidRPr="00354781">
        <w:t xml:space="preserve">s set out in section D.2.2 of Attachment 3 to </w:t>
      </w:r>
      <w:r>
        <w:t>AGN's</w:t>
      </w:r>
      <w:r w:rsidRPr="00354781">
        <w:t xml:space="preserve"> </w:t>
      </w:r>
      <w:r>
        <w:t>draft</w:t>
      </w:r>
      <w:r w:rsidRPr="00354781">
        <w:t xml:space="preserve"> decision</w:t>
      </w:r>
      <w:r>
        <w:t>.</w:t>
      </w:r>
    </w:p>
  </w:footnote>
  <w:footnote w:id="1023">
    <w:p w:rsidR="000230CB" w:rsidRDefault="000230CB" w:rsidP="008577ED">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024">
    <w:p w:rsidR="000230CB" w:rsidRDefault="000230CB" w:rsidP="008577ED">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 xml:space="preserve">Australian Gas Networks Access Arrangement </w:t>
      </w:r>
      <w:r w:rsidRPr="00834892">
        <w:rPr>
          <w:rStyle w:val="AERtextitalic"/>
        </w:rPr>
        <w:t>2016 to 202</w:t>
      </w:r>
      <w:r>
        <w:rPr>
          <w:rStyle w:val="AERtextitalic"/>
        </w:rPr>
        <w:t>1</w:t>
      </w:r>
      <w:r w:rsidRPr="00834892">
        <w:rPr>
          <w:rStyle w:val="AERtextitalic"/>
        </w:rPr>
        <w:t>—Attachment 3: Rate of return</w:t>
      </w:r>
      <w:r>
        <w:t>, November 2015, section D.2.2)</w:t>
      </w:r>
      <w:r w:rsidRPr="00B23FBA">
        <w:t xml:space="preserve">. </w:t>
      </w:r>
      <w:r>
        <w:t>Also, the studies we consider in this section are largely the same as those considered in our recent decisions.</w:t>
      </w:r>
    </w:p>
  </w:footnote>
  <w:footnote w:id="1025">
    <w:p w:rsidR="000230CB" w:rsidRDefault="000230CB" w:rsidP="008577ED">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026">
    <w:p w:rsidR="000230CB" w:rsidRDefault="000230CB" w:rsidP="008577ED">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027">
    <w:p w:rsidR="000230CB" w:rsidRDefault="000230CB" w:rsidP="008577ED">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028">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029">
    <w:p w:rsidR="000230CB" w:rsidRDefault="000230CB" w:rsidP="008577ED">
      <w:pPr>
        <w:pStyle w:val="FootnoteText"/>
      </w:pPr>
      <w:r>
        <w:rPr>
          <w:rStyle w:val="FootnoteReference"/>
        </w:rPr>
        <w:footnoteRef/>
      </w:r>
      <w:r>
        <w:t xml:space="preserve"> </w:t>
      </w:r>
      <w:r>
        <w:tab/>
        <w:t>See, for example, sections D.2.1 and D.2.3 of Attachment 3 to our draft decision for AGNM. In these decisions we also responded to submissions from other stakeholders that suggested the equity beta estimates in Henry's 2014 report cluster around a range of 0.3 to 0.5.</w:t>
      </w:r>
    </w:p>
  </w:footnote>
  <w:footnote w:id="1030">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31">
    <w:p w:rsidR="000230CB" w:rsidRDefault="000230CB" w:rsidP="008577ED">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032">
    <w:p w:rsidR="000230CB" w:rsidRDefault="000230CB" w:rsidP="008577ED">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033">
    <w:p w:rsidR="000230CB" w:rsidRDefault="000230CB" w:rsidP="008577ED">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34">
    <w:p w:rsidR="000230CB" w:rsidRDefault="000230CB" w:rsidP="008577ED">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35">
    <w:p w:rsidR="000230CB" w:rsidRDefault="000230CB" w:rsidP="008577ED">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036">
    <w:p w:rsidR="000230CB" w:rsidRDefault="000230CB" w:rsidP="008577ED">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37">
    <w:p w:rsidR="000230CB" w:rsidRDefault="000230CB" w:rsidP="008577ED">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1038">
    <w:p w:rsidR="000230CB" w:rsidRDefault="000230CB" w:rsidP="008577ED">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039">
    <w:p w:rsidR="000230CB" w:rsidRDefault="000230CB" w:rsidP="008577ED">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1040">
    <w:p w:rsidR="000230CB" w:rsidRDefault="000230CB" w:rsidP="008577ED">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1041">
    <w:p w:rsidR="000230CB" w:rsidRDefault="000230CB" w:rsidP="008577ED">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42">
    <w:p w:rsidR="000230CB" w:rsidRDefault="000230CB" w:rsidP="008577ED">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43">
    <w:p w:rsidR="000230CB" w:rsidRDefault="000230CB" w:rsidP="008577ED">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044">
    <w:p w:rsidR="000230CB" w:rsidRDefault="000230CB" w:rsidP="008577ED">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045">
    <w:p w:rsidR="000230CB" w:rsidRDefault="000230CB" w:rsidP="008577ED">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046">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47">
    <w:p w:rsidR="000230CB" w:rsidRDefault="000230CB" w:rsidP="008577ED">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48">
    <w:p w:rsidR="000230CB" w:rsidRDefault="000230CB" w:rsidP="008577ED">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49">
    <w:p w:rsidR="000230CB" w:rsidRDefault="000230CB" w:rsidP="008577ED">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50">
    <w:p w:rsidR="000230CB" w:rsidRDefault="000230CB" w:rsidP="008577ED">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051">
    <w:p w:rsidR="000230CB" w:rsidRDefault="000230CB" w:rsidP="008577ED">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52">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53">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54">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55">
    <w:p w:rsidR="000230CB" w:rsidRDefault="000230CB" w:rsidP="008577ED">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56">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57">
    <w:p w:rsidR="000230CB" w:rsidRDefault="000230CB" w:rsidP="008577ED">
      <w:pPr>
        <w:pStyle w:val="FootnoteText"/>
      </w:pPr>
      <w:r>
        <w:rPr>
          <w:rStyle w:val="FootnoteReference"/>
        </w:rPr>
        <w:footnoteRef/>
      </w:r>
      <w:r>
        <w:t xml:space="preserve"> </w:t>
      </w:r>
      <w:r>
        <w:tab/>
        <w:t>NER, cll. 6.5.2(f) and 6A.6.2(f); NGR, rule 87(6).</w:t>
      </w:r>
    </w:p>
  </w:footnote>
  <w:footnote w:id="1058">
    <w:p w:rsidR="000230CB" w:rsidRDefault="000230CB" w:rsidP="008577ED">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59">
    <w:p w:rsidR="000230CB" w:rsidRDefault="000230CB" w:rsidP="008577ED">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60">
    <w:p w:rsidR="000230CB" w:rsidRDefault="000230CB" w:rsidP="008577ED">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61">
    <w:p w:rsidR="000230CB" w:rsidRDefault="000230CB" w:rsidP="008577ED">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62">
    <w:p w:rsidR="000230CB" w:rsidRDefault="000230CB" w:rsidP="008577ED">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63">
    <w:p w:rsidR="000230CB" w:rsidRDefault="000230CB" w:rsidP="008577ED">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64">
    <w:p w:rsidR="000230CB" w:rsidRDefault="000230CB" w:rsidP="008577ED">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65">
    <w:p w:rsidR="000230CB" w:rsidRDefault="000230CB" w:rsidP="008577ED">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66">
    <w:p w:rsidR="000230CB" w:rsidRDefault="000230CB" w:rsidP="008577ED">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67">
    <w:p w:rsidR="000230CB" w:rsidRDefault="000230CB" w:rsidP="008577ED">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68">
    <w:p w:rsidR="000230CB" w:rsidRDefault="000230CB" w:rsidP="008577ED">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69">
    <w:p w:rsidR="000230CB" w:rsidRDefault="000230CB" w:rsidP="008577ED">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70">
    <w:p w:rsidR="000230CB" w:rsidRDefault="000230CB" w:rsidP="008577ED">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G.9.2</w:t>
      </w:r>
      <w:r>
        <w:fldChar w:fldCharType="end"/>
      </w:r>
      <w:r>
        <w:t>)</w:t>
      </w:r>
      <w:r w:rsidRPr="00872992">
        <w:t>.</w:t>
      </w:r>
    </w:p>
  </w:footnote>
  <w:footnote w:id="1071">
    <w:p w:rsidR="000230CB" w:rsidRDefault="000230CB" w:rsidP="008577ED">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72">
    <w:p w:rsidR="000230CB" w:rsidRDefault="000230CB" w:rsidP="008577ED">
      <w:pPr>
        <w:pStyle w:val="FootnoteText"/>
      </w:pPr>
      <w:r>
        <w:rPr>
          <w:rStyle w:val="FootnoteReference"/>
        </w:rPr>
        <w:footnoteRef/>
      </w:r>
      <w:r>
        <w:t xml:space="preserve"> </w:t>
      </w:r>
      <w:r>
        <w:tab/>
        <w:t>See, for example, section D.2.1 (under the heading 'International comparators')</w:t>
      </w:r>
      <w:r w:rsidRPr="00DC3465">
        <w:t xml:space="preserve"> </w:t>
      </w:r>
      <w:r>
        <w:t>of attachment 3 to our draft decision for AGN.</w:t>
      </w:r>
    </w:p>
  </w:footnote>
  <w:footnote w:id="1073">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74">
    <w:p w:rsidR="000230CB" w:rsidRDefault="000230CB" w:rsidP="008577ED">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75">
    <w:p w:rsidR="000230CB" w:rsidRDefault="000230CB" w:rsidP="008577ED">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76">
    <w:p w:rsidR="000230CB" w:rsidRDefault="000230CB" w:rsidP="008577ED">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77">
    <w:p w:rsidR="000230CB" w:rsidRDefault="000230CB" w:rsidP="008577ED">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78">
    <w:p w:rsidR="000230CB" w:rsidRDefault="000230CB" w:rsidP="008577ED">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G.9.2</w:t>
      </w:r>
      <w:r>
        <w:fldChar w:fldCharType="end"/>
      </w:r>
      <w:r>
        <w:t>.</w:t>
      </w:r>
    </w:p>
  </w:footnote>
  <w:footnote w:id="1079">
    <w:p w:rsidR="000230CB" w:rsidRDefault="000230CB" w:rsidP="008577ED">
      <w:pPr>
        <w:pStyle w:val="FootnoteText"/>
      </w:pPr>
      <w:r>
        <w:rPr>
          <w:rStyle w:val="FootnoteReference"/>
        </w:rPr>
        <w:footnoteRef/>
      </w:r>
      <w:r>
        <w:t xml:space="preserve"> </w:t>
      </w:r>
      <w:r>
        <w:tab/>
        <w:t>That is, the National Electricity Law and Rules, and the National Gas Law and Rules.</w:t>
      </w:r>
    </w:p>
  </w:footnote>
  <w:footnote w:id="1080">
    <w:p w:rsidR="000230CB" w:rsidRDefault="000230CB" w:rsidP="008577ED">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81">
    <w:p w:rsidR="000230CB" w:rsidRDefault="000230CB" w:rsidP="008577ED">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82">
    <w:p w:rsidR="000230CB" w:rsidRDefault="000230CB" w:rsidP="008577ED">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83">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84">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85">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86">
    <w:p w:rsidR="000230CB" w:rsidRDefault="000230CB" w:rsidP="008577ED">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87">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88">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89">
    <w:p w:rsidR="000230CB" w:rsidRDefault="000230CB" w:rsidP="008577ED">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90">
    <w:p w:rsidR="000230CB" w:rsidRDefault="000230CB" w:rsidP="008577ED">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091">
    <w:p w:rsidR="000230CB" w:rsidRDefault="000230CB" w:rsidP="00A12EBE">
      <w:pPr>
        <w:pStyle w:val="FootnoteText"/>
      </w:pPr>
      <w:r>
        <w:rPr>
          <w:rStyle w:val="FootnoteReference"/>
        </w:rPr>
        <w:footnoteRef/>
      </w:r>
      <w:r>
        <w:t xml:space="preserve"> </w:t>
      </w:r>
      <w:r>
        <w:tab/>
        <w:t>For clarity, that is 100% of the base rate and DRP components of the allowed return on debt.</w:t>
      </w:r>
    </w:p>
  </w:footnote>
  <w:footnote w:id="1092">
    <w:p w:rsidR="000230CB" w:rsidRDefault="000230CB" w:rsidP="00A12EBE">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093">
    <w:p w:rsidR="000230CB" w:rsidRDefault="000230CB" w:rsidP="00A12EBE">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094">
    <w:p w:rsidR="000230CB" w:rsidRDefault="000230CB" w:rsidP="00A12EBE">
      <w:pPr>
        <w:pStyle w:val="FootnoteText"/>
      </w:pPr>
      <w:r>
        <w:rPr>
          <w:rStyle w:val="FootnoteReference"/>
        </w:rPr>
        <w:footnoteRef/>
      </w:r>
      <w:r>
        <w:t xml:space="preserve"> </w:t>
      </w:r>
      <w:r>
        <w:tab/>
        <w:t>NER, cl. 6.5.2(c); NER, cl. 6A.6.2(c); NGR, r. 87(3).</w:t>
      </w:r>
    </w:p>
  </w:footnote>
  <w:footnote w:id="1095">
    <w:p w:rsidR="000230CB" w:rsidRDefault="000230CB" w:rsidP="00A12EBE">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096">
    <w:p w:rsidR="000230CB" w:rsidRDefault="000230CB" w:rsidP="00A12EBE">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097">
    <w:p w:rsidR="000230CB" w:rsidRDefault="000230CB" w:rsidP="00A12EBE">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098">
    <w:p w:rsidR="000230CB" w:rsidRDefault="000230CB" w:rsidP="00A12EBE">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099">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00">
    <w:p w:rsidR="000230CB" w:rsidRDefault="000230CB" w:rsidP="00A12EBE">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101">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102">
    <w:p w:rsidR="000230CB" w:rsidRDefault="000230CB" w:rsidP="00A12EBE">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103">
    <w:p w:rsidR="000230CB" w:rsidRDefault="000230CB" w:rsidP="00A12EBE">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04">
    <w:p w:rsidR="000230CB" w:rsidRDefault="000230CB" w:rsidP="00A12EBE">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05">
    <w:p w:rsidR="000230CB" w:rsidRDefault="000230CB" w:rsidP="00A12EBE">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06">
    <w:p w:rsidR="000230CB" w:rsidRDefault="000230CB" w:rsidP="00A12EBE">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107">
    <w:p w:rsidR="000230CB" w:rsidRDefault="000230CB" w:rsidP="00A12EBE">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08">
    <w:p w:rsidR="000230CB" w:rsidRDefault="000230CB" w:rsidP="00A12EBE">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09">
    <w:p w:rsidR="000230CB" w:rsidRDefault="000230CB" w:rsidP="00A12EBE">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10">
    <w:p w:rsidR="000230CB" w:rsidRDefault="000230CB" w:rsidP="00A12EBE">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11">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12">
    <w:p w:rsidR="000230CB" w:rsidRPr="0070748E" w:rsidRDefault="000230CB" w:rsidP="00A12EBE">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113">
    <w:p w:rsidR="000230CB" w:rsidRDefault="000230CB" w:rsidP="00A12EBE">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0230CB" w:rsidRDefault="000230CB" w:rsidP="00A12EBE">
      <w:pPr>
        <w:pStyle w:val="FootnoteText"/>
      </w:pPr>
    </w:p>
  </w:footnote>
  <w:footnote w:id="1114">
    <w:p w:rsidR="000230CB" w:rsidRDefault="000230CB" w:rsidP="00A12EBE">
      <w:pPr>
        <w:pStyle w:val="FootnoteText"/>
      </w:pPr>
      <w:r>
        <w:rPr>
          <w:rStyle w:val="FootnoteReference"/>
        </w:rPr>
        <w:footnoteRef/>
      </w:r>
      <w:r>
        <w:t xml:space="preserve"> </w:t>
      </w:r>
      <w:r>
        <w:tab/>
        <w:t>NGR, cl. 87(3). Similar wording is found in NER, cl.  6.5.2(c) and NER, cl. 6A.6.2(c).</w:t>
      </w:r>
    </w:p>
  </w:footnote>
  <w:footnote w:id="1115">
    <w:p w:rsidR="000230CB" w:rsidRDefault="000230CB" w:rsidP="00A12EBE">
      <w:pPr>
        <w:pStyle w:val="FootnoteText"/>
      </w:pPr>
      <w:r>
        <w:rPr>
          <w:rStyle w:val="FootnoteReference"/>
        </w:rPr>
        <w:footnoteRef/>
      </w:r>
      <w:r>
        <w:t xml:space="preserve"> </w:t>
      </w:r>
      <w:r>
        <w:tab/>
        <w:t>NER, cl. 6.5.2(c); NER, cl. 6A.6.2(c); NGR, r. 87(3).</w:t>
      </w:r>
    </w:p>
  </w:footnote>
  <w:footnote w:id="1116">
    <w:p w:rsidR="000230CB" w:rsidRDefault="000230CB" w:rsidP="00A12EBE">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117">
    <w:p w:rsidR="000230CB" w:rsidRDefault="000230CB" w:rsidP="00A12EBE">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118">
    <w:p w:rsidR="000230CB" w:rsidRPr="00602829" w:rsidRDefault="000230CB" w:rsidP="00A12EBE">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119">
    <w:p w:rsidR="000230CB" w:rsidRDefault="000230CB" w:rsidP="00A12EBE">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120">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p.14.</w:t>
      </w:r>
    </w:p>
  </w:footnote>
  <w:footnote w:id="1121">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22">
    <w:p w:rsidR="000230CB" w:rsidRDefault="000230CB" w:rsidP="00A12EBE">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23">
    <w:p w:rsidR="000230CB" w:rsidRDefault="000230CB" w:rsidP="00A12EBE">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124">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125">
    <w:p w:rsidR="000230CB" w:rsidRDefault="000230CB" w:rsidP="00A12EBE">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126">
    <w:p w:rsidR="000230CB" w:rsidRDefault="000230CB" w:rsidP="00A12EBE">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127">
    <w:p w:rsidR="000230CB" w:rsidRDefault="000230CB" w:rsidP="00A12EB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128">
    <w:p w:rsidR="000230CB" w:rsidRDefault="000230CB" w:rsidP="00A12EBE">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129">
    <w:p w:rsidR="000230CB" w:rsidRDefault="000230CB" w:rsidP="00A12EBE">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130">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131">
    <w:p w:rsidR="000230CB" w:rsidRDefault="000230CB" w:rsidP="00A12EBE">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132">
    <w:p w:rsidR="000230CB" w:rsidRDefault="000230CB" w:rsidP="00A12EBE">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133">
    <w:p w:rsidR="000230CB" w:rsidRDefault="000230CB" w:rsidP="00A12EBE">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134">
    <w:p w:rsidR="000230CB" w:rsidRDefault="000230CB" w:rsidP="00A12EB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135">
    <w:p w:rsidR="000230CB" w:rsidRDefault="000230CB" w:rsidP="00A12EBE">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136">
    <w:p w:rsidR="000230CB" w:rsidRDefault="000230CB" w:rsidP="00A12EBE">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137">
    <w:p w:rsidR="000230CB" w:rsidRDefault="000230CB" w:rsidP="00A12EBE">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138">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139">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140">
    <w:p w:rsidR="000230CB" w:rsidRDefault="000230CB" w:rsidP="00A12EBE">
      <w:pPr>
        <w:pStyle w:val="FootnoteText"/>
      </w:pPr>
      <w:r>
        <w:rPr>
          <w:rStyle w:val="FootnoteReference"/>
        </w:rPr>
        <w:footnoteRef/>
      </w:r>
      <w:r>
        <w:t xml:space="preserve"> </w:t>
      </w:r>
      <w:r>
        <w:tab/>
        <w:t>NEL, s. 7A(3); NGL, s. (24)(3).</w:t>
      </w:r>
    </w:p>
  </w:footnote>
  <w:footnote w:id="1141">
    <w:p w:rsidR="000230CB" w:rsidRPr="00612B7B" w:rsidRDefault="000230CB" w:rsidP="00A12EBE">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142">
    <w:p w:rsidR="000230CB" w:rsidRDefault="000230CB" w:rsidP="00A12EBE">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143">
    <w:p w:rsidR="000230CB" w:rsidRDefault="000230CB" w:rsidP="00A12EBE">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144">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45">
    <w:p w:rsidR="000230CB" w:rsidRPr="00B57A7C" w:rsidRDefault="000230CB" w:rsidP="00A12EB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146">
    <w:p w:rsidR="000230CB" w:rsidRDefault="000230CB" w:rsidP="00A12EBE">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147">
    <w:p w:rsidR="000230CB" w:rsidRDefault="000230CB" w:rsidP="00A12EB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148">
    <w:p w:rsidR="000230CB" w:rsidRDefault="000230CB" w:rsidP="00A12EBE">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49">
    <w:p w:rsidR="000230CB" w:rsidRDefault="000230CB" w:rsidP="00A12EBE">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150">
    <w:p w:rsidR="000230CB" w:rsidRDefault="000230CB" w:rsidP="00A12EB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51">
    <w:p w:rsidR="000230CB" w:rsidRDefault="000230CB" w:rsidP="00A12EB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52">
    <w:p w:rsidR="000230CB" w:rsidRDefault="000230CB" w:rsidP="00A12EBE">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53">
    <w:p w:rsidR="000230CB" w:rsidRDefault="000230CB" w:rsidP="00A12EBE">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54">
    <w:p w:rsidR="000230CB" w:rsidRDefault="000230CB" w:rsidP="00A12EBE">
      <w:pPr>
        <w:pStyle w:val="FootnoteText"/>
      </w:pPr>
      <w:r>
        <w:rPr>
          <w:rStyle w:val="FootnoteReference"/>
        </w:rPr>
        <w:footnoteRef/>
      </w:r>
      <w:r>
        <w:t xml:space="preserve"> </w:t>
      </w:r>
      <w:r>
        <w:tab/>
        <w:t>NEL, s7A(3)(b); NGL,  s24(3)(b).</w:t>
      </w:r>
    </w:p>
  </w:footnote>
  <w:footnote w:id="1155">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56">
    <w:p w:rsidR="000230CB" w:rsidRDefault="000230CB" w:rsidP="00A12EBE">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57">
    <w:p w:rsidR="000230CB" w:rsidRDefault="000230CB" w:rsidP="00A12EBE">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58">
    <w:p w:rsidR="000230CB" w:rsidRDefault="000230CB" w:rsidP="00A12EBE">
      <w:pPr>
        <w:pStyle w:val="FootnoteText"/>
      </w:pPr>
      <w:r>
        <w:rPr>
          <w:rStyle w:val="FootnoteReference"/>
        </w:rPr>
        <w:footnoteRef/>
      </w:r>
      <w:r>
        <w:t xml:space="preserve"> </w:t>
      </w:r>
      <w:r>
        <w:tab/>
        <w:t>See NER, cl. 6.5.2(j)(1); NER, cl. 6A.6.2(j)(1); NGR, r. 87(10)(a).</w:t>
      </w:r>
    </w:p>
  </w:footnote>
  <w:footnote w:id="1159">
    <w:p w:rsidR="000230CB" w:rsidRDefault="000230CB" w:rsidP="00A12EBE">
      <w:pPr>
        <w:pStyle w:val="FootnoteText"/>
      </w:pPr>
      <w:r>
        <w:rPr>
          <w:rStyle w:val="FootnoteReference"/>
        </w:rPr>
        <w:footnoteRef/>
      </w:r>
      <w:r>
        <w:t xml:space="preserve"> </w:t>
      </w:r>
      <w:r>
        <w:tab/>
        <w:t>NER, cl. 6.5.2(g); NER, cl. 6A.6.2(g); NGR, cl. 87(7).</w:t>
      </w:r>
    </w:p>
  </w:footnote>
  <w:footnote w:id="1160">
    <w:p w:rsidR="000230CB" w:rsidRDefault="000230CB" w:rsidP="00A12EBE">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61">
    <w:p w:rsidR="000230CB" w:rsidRDefault="000230CB" w:rsidP="00A12EB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62">
    <w:p w:rsidR="000230CB" w:rsidRDefault="000230CB" w:rsidP="00A12EBE">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63">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64">
    <w:p w:rsidR="000230CB" w:rsidRDefault="000230CB" w:rsidP="00A12EBE">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65">
    <w:p w:rsidR="000230CB" w:rsidRDefault="000230CB" w:rsidP="00A12EBE">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66">
    <w:p w:rsidR="000230CB" w:rsidRDefault="000230CB" w:rsidP="00A12EBE">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67">
    <w:p w:rsidR="000230CB" w:rsidRDefault="000230CB" w:rsidP="00A12EBE">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68">
    <w:p w:rsidR="000230CB" w:rsidRDefault="000230CB" w:rsidP="00A12EBE">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69">
    <w:p w:rsidR="000230CB" w:rsidRDefault="000230CB" w:rsidP="00A12EBE">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70">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71">
    <w:p w:rsidR="000230CB" w:rsidRDefault="000230CB" w:rsidP="00A12EBE">
      <w:pPr>
        <w:pStyle w:val="FootnoteText"/>
      </w:pPr>
      <w:r>
        <w:rPr>
          <w:rStyle w:val="FootnoteReference"/>
        </w:rPr>
        <w:footnoteRef/>
      </w:r>
      <w:r>
        <w:t xml:space="preserve"> </w:t>
      </w:r>
      <w:r>
        <w:tab/>
        <w:t>See NER, cl. 6.5.2(j)(2); NER, cl. 6A.6.2(j)(2); NGR, r. 87(10)(b).</w:t>
      </w:r>
    </w:p>
  </w:footnote>
  <w:footnote w:id="1172">
    <w:p w:rsidR="000230CB" w:rsidRDefault="000230CB" w:rsidP="00A12EBE">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73">
    <w:p w:rsidR="000230CB" w:rsidRDefault="000230CB" w:rsidP="00A12EBE">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74">
    <w:p w:rsidR="000230CB" w:rsidRDefault="000230CB" w:rsidP="00A12EBE">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75">
    <w:p w:rsidR="000230CB" w:rsidRDefault="000230CB" w:rsidP="00A12EBE">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76">
    <w:p w:rsidR="000230CB" w:rsidRDefault="000230CB" w:rsidP="00A12EBE">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77">
    <w:p w:rsidR="000230CB" w:rsidRDefault="000230CB" w:rsidP="00A12EBE">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78">
    <w:p w:rsidR="000230CB" w:rsidRDefault="000230CB" w:rsidP="00A12EBE">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79">
    <w:p w:rsidR="000230CB" w:rsidRDefault="000230CB" w:rsidP="00A12EBE">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80">
    <w:p w:rsidR="000230CB" w:rsidRDefault="000230CB" w:rsidP="00A12EBE">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81">
    <w:p w:rsidR="000230CB" w:rsidRDefault="000230CB" w:rsidP="00A12EBE">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82">
    <w:p w:rsidR="000230CB" w:rsidRDefault="000230CB" w:rsidP="00A12EBE">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83">
    <w:p w:rsidR="000230CB" w:rsidRDefault="000230CB" w:rsidP="00A12EBE">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84">
    <w:p w:rsidR="000230CB" w:rsidRDefault="000230CB" w:rsidP="00A12EBE">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85">
    <w:p w:rsidR="000230CB" w:rsidRDefault="000230CB" w:rsidP="00A12EBE">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86">
    <w:p w:rsidR="000230CB" w:rsidRDefault="000230CB" w:rsidP="00A12EBE">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87">
    <w:p w:rsidR="000230CB" w:rsidRDefault="000230CB" w:rsidP="00A12EBE">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88">
    <w:p w:rsidR="000230CB" w:rsidRDefault="000230CB" w:rsidP="00A12EBE">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89">
    <w:p w:rsidR="000230CB" w:rsidRDefault="000230CB" w:rsidP="00A12EBE">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90">
    <w:p w:rsidR="000230CB" w:rsidRDefault="000230CB" w:rsidP="00A12EBE">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191">
    <w:p w:rsidR="000230CB" w:rsidRDefault="000230CB" w:rsidP="00A12EBE">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192">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93">
    <w:p w:rsidR="000230CB" w:rsidRDefault="000230CB" w:rsidP="00A12EBE">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194">
    <w:p w:rsidR="000230CB" w:rsidRDefault="000230CB" w:rsidP="00A12EBE">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195">
    <w:p w:rsidR="000230CB" w:rsidRDefault="000230CB" w:rsidP="00A12EBE">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196">
    <w:p w:rsidR="000230CB" w:rsidRDefault="000230CB" w:rsidP="00A12EBE">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197">
    <w:p w:rsidR="000230CB" w:rsidRDefault="000230CB" w:rsidP="00A12EBE">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198">
    <w:p w:rsidR="000230CB" w:rsidRDefault="000230CB" w:rsidP="00A12EBE">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199">
    <w:p w:rsidR="000230CB" w:rsidRDefault="000230CB" w:rsidP="00A12EBE">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200">
    <w:p w:rsidR="000230CB" w:rsidRDefault="000230CB" w:rsidP="00A12EBE">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201">
    <w:p w:rsidR="000230CB" w:rsidRDefault="000230CB" w:rsidP="00A12EBE">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202">
    <w:p w:rsidR="000230CB" w:rsidRDefault="000230CB" w:rsidP="00A12EBE">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03">
    <w:p w:rsidR="000230CB" w:rsidRDefault="000230CB" w:rsidP="00A12EBE">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204">
    <w:p w:rsidR="000230CB" w:rsidRDefault="000230CB" w:rsidP="00A12EBE">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205">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06">
    <w:p w:rsidR="000230CB" w:rsidRDefault="000230CB" w:rsidP="00A12EBE">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207">
    <w:p w:rsidR="000230CB" w:rsidRDefault="000230CB" w:rsidP="00A12EBE">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08">
    <w:p w:rsidR="000230CB" w:rsidRDefault="000230CB" w:rsidP="00A12EBE">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209">
    <w:p w:rsidR="000230CB" w:rsidRDefault="000230CB" w:rsidP="00A12EBE">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210">
    <w:p w:rsidR="000230CB" w:rsidRDefault="000230CB" w:rsidP="00A12EBE">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211">
    <w:p w:rsidR="000230CB" w:rsidRDefault="000230CB" w:rsidP="00A12EBE">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212">
    <w:p w:rsidR="000230CB" w:rsidRDefault="000230CB" w:rsidP="00A12EBE">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213">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14">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215">
    <w:p w:rsidR="000230CB" w:rsidRDefault="000230CB" w:rsidP="00A12EBE">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216">
    <w:p w:rsidR="000230CB" w:rsidRDefault="000230CB" w:rsidP="00A12EBE">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217">
    <w:p w:rsidR="000230CB" w:rsidRDefault="000230CB" w:rsidP="00A12EBE">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218">
    <w:p w:rsidR="000230CB" w:rsidRDefault="000230CB" w:rsidP="00A12EBE">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219">
    <w:p w:rsidR="000230CB" w:rsidRDefault="000230CB" w:rsidP="00A12EBE">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220">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21">
    <w:p w:rsidR="000230CB" w:rsidRDefault="000230CB" w:rsidP="00A12EBE">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222">
    <w:p w:rsidR="000230CB" w:rsidRDefault="000230CB" w:rsidP="00A12EBE">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223">
    <w:p w:rsidR="000230CB" w:rsidRDefault="000230CB" w:rsidP="00A12EBE">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224">
    <w:p w:rsidR="000230CB" w:rsidRDefault="000230CB" w:rsidP="00A12EBE">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225">
    <w:p w:rsidR="000230CB" w:rsidRDefault="000230CB" w:rsidP="00A12EBE">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226">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227">
    <w:p w:rsidR="000230CB" w:rsidRDefault="000230CB" w:rsidP="00A12EBE">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228">
    <w:p w:rsidR="000230CB" w:rsidRDefault="000230CB" w:rsidP="00A12EBE">
      <w:pPr>
        <w:pStyle w:val="FootnoteText"/>
      </w:pPr>
      <w:r>
        <w:rPr>
          <w:rStyle w:val="FootnoteReference"/>
        </w:rPr>
        <w:footnoteRef/>
      </w:r>
      <w:r>
        <w:t xml:space="preserve"> </w:t>
      </w:r>
      <w:r>
        <w:tab/>
        <w:t>NER, cl. 6.5.2(k)(1);  NER, cl. 6A.6.2(k)(1); NGR, cl. 87(11)(a).</w:t>
      </w:r>
    </w:p>
  </w:footnote>
  <w:footnote w:id="1229">
    <w:p w:rsidR="000230CB" w:rsidRDefault="000230CB" w:rsidP="00A12EBE">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230">
    <w:p w:rsidR="000230CB" w:rsidRDefault="000230CB" w:rsidP="00A12EBE">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231">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232">
    <w:p w:rsidR="000230CB" w:rsidRDefault="000230CB" w:rsidP="00A12EBE">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233">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34">
    <w:p w:rsidR="000230CB" w:rsidRDefault="000230CB" w:rsidP="00A12EBE">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235">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236">
    <w:p w:rsidR="000230CB" w:rsidRDefault="000230CB" w:rsidP="00A12EB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237">
    <w:p w:rsidR="000230CB" w:rsidRDefault="000230CB" w:rsidP="00A12EB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38">
    <w:p w:rsidR="000230CB" w:rsidRDefault="000230CB" w:rsidP="00A12EBE">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239">
    <w:p w:rsidR="000230CB" w:rsidRDefault="000230CB" w:rsidP="00A12EBE">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240">
    <w:p w:rsidR="000230CB" w:rsidRDefault="000230CB" w:rsidP="00A12EBE">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241">
    <w:p w:rsidR="000230CB" w:rsidRDefault="000230CB" w:rsidP="00A12EBE">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242">
    <w:p w:rsidR="000230CB" w:rsidRDefault="000230CB" w:rsidP="00A12EBE">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243">
    <w:p w:rsidR="000230CB" w:rsidRDefault="000230CB" w:rsidP="00A12EBE">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244">
    <w:p w:rsidR="000230CB" w:rsidRDefault="000230CB" w:rsidP="00A12EBE">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245">
    <w:p w:rsidR="000230CB" w:rsidRDefault="000230CB" w:rsidP="00A12EBE">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246">
    <w:p w:rsidR="000230CB" w:rsidRDefault="000230CB" w:rsidP="00A12EBE">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247">
    <w:p w:rsidR="000230CB" w:rsidRDefault="000230CB" w:rsidP="00A12EBE">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248">
    <w:p w:rsidR="000230CB" w:rsidRDefault="000230CB" w:rsidP="00A12EBE">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249">
    <w:p w:rsidR="000230CB" w:rsidRDefault="000230CB" w:rsidP="00A12EB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250">
    <w:p w:rsidR="000230CB" w:rsidRDefault="000230CB" w:rsidP="00A12EBE">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251">
    <w:p w:rsidR="000230CB" w:rsidRDefault="000230CB" w:rsidP="004E4474">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52">
    <w:p w:rsidR="000230CB" w:rsidRDefault="000230CB" w:rsidP="004E4474">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53">
    <w:p w:rsidR="000230CB" w:rsidRDefault="000230CB" w:rsidP="004E4474">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54">
    <w:p w:rsidR="000230CB" w:rsidRDefault="000230CB" w:rsidP="00A050AF">
      <w:pPr>
        <w:pStyle w:val="FootnoteText"/>
      </w:pPr>
      <w:r>
        <w:rPr>
          <w:rStyle w:val="FootnoteReference"/>
        </w:rPr>
        <w:footnoteRef/>
      </w:r>
      <w:r>
        <w:t xml:space="preserve"> </w:t>
      </w:r>
      <w:r>
        <w:tab/>
        <w:t xml:space="preserve">Specifically, AER staff met with Thomson Reuters staff on 18 April 2016. </w:t>
      </w:r>
    </w:p>
  </w:footnote>
  <w:footnote w:id="1255">
    <w:p w:rsidR="000230CB" w:rsidRDefault="000230CB" w:rsidP="00A050AF">
      <w:pPr>
        <w:pStyle w:val="FootnoteText"/>
      </w:pPr>
      <w:r>
        <w:rPr>
          <w:rStyle w:val="FootnoteReference"/>
        </w:rPr>
        <w:footnoteRef/>
      </w:r>
      <w:r>
        <w:t xml:space="preserve"> </w:t>
      </w:r>
      <w:r>
        <w:tab/>
        <w:t xml:space="preserve">CEG, </w:t>
      </w:r>
      <w:r>
        <w:rPr>
          <w:rStyle w:val="AERtextitalic"/>
        </w:rPr>
        <w:t>Response to AER information request</w:t>
      </w:r>
      <w:r>
        <w:t>, 8 February 2016.</w:t>
      </w:r>
    </w:p>
  </w:footnote>
  <w:footnote w:id="1256">
    <w:p w:rsidR="000230CB" w:rsidRDefault="000230CB" w:rsidP="004E4474">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57">
    <w:p w:rsidR="000230CB" w:rsidRDefault="000230CB" w:rsidP="004E4474">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58">
    <w:p w:rsidR="000230CB" w:rsidRDefault="000230CB" w:rsidP="004E4474">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0230CB" w:rsidRDefault="000230CB" w:rsidP="004E4474">
      <w:pPr>
        <w:pStyle w:val="FootnoteText"/>
      </w:pPr>
    </w:p>
  </w:footnote>
  <w:footnote w:id="1259">
    <w:p w:rsidR="000230CB" w:rsidRDefault="000230CB" w:rsidP="004E4474">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260">
    <w:p w:rsidR="000230CB" w:rsidRDefault="000230CB" w:rsidP="00D4167E">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61">
    <w:p w:rsidR="000230CB" w:rsidRDefault="000230CB" w:rsidP="00D4167E">
      <w:pPr>
        <w:pStyle w:val="FootnoteText"/>
      </w:pPr>
      <w:r>
        <w:rPr>
          <w:rStyle w:val="FootnoteReference"/>
        </w:rPr>
        <w:footnoteRef/>
      </w:r>
      <w:r>
        <w:t xml:space="preserve"> </w:t>
      </w:r>
      <w:r>
        <w:tab/>
        <w:t>Specifically, AER staff met with RBA staff on 8 April 2016.</w:t>
      </w:r>
    </w:p>
  </w:footnote>
  <w:footnote w:id="1262">
    <w:p w:rsidR="000230CB" w:rsidRDefault="000230CB" w:rsidP="004E4474">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63">
    <w:p w:rsidR="000230CB" w:rsidRDefault="000230CB" w:rsidP="004E4474">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64">
    <w:p w:rsidR="000230CB" w:rsidRDefault="000230CB" w:rsidP="004E4474">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5">
    <w:p w:rsidR="000230CB" w:rsidRDefault="000230CB" w:rsidP="004E4474">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6">
    <w:p w:rsidR="000230CB" w:rsidRDefault="000230CB" w:rsidP="004E4474">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67">
    <w:p w:rsidR="000230CB" w:rsidRDefault="000230CB" w:rsidP="004E4474">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68">
    <w:p w:rsidR="000230CB" w:rsidRDefault="000230CB" w:rsidP="004E4474">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69">
    <w:p w:rsidR="000230CB" w:rsidRDefault="000230CB" w:rsidP="004E4474">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70">
    <w:p w:rsidR="000230CB" w:rsidRDefault="000230CB" w:rsidP="004E4474">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71">
    <w:p w:rsidR="000230CB" w:rsidRDefault="000230CB" w:rsidP="004E4474">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72">
    <w:p w:rsidR="000230CB" w:rsidRDefault="000230CB" w:rsidP="004E4474">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273">
    <w:p w:rsidR="000230CB" w:rsidRDefault="000230CB" w:rsidP="004E4474">
      <w:pPr>
        <w:pStyle w:val="FootnoteText"/>
      </w:pPr>
      <w:r>
        <w:rPr>
          <w:rStyle w:val="FootnoteReference"/>
        </w:rPr>
        <w:footnoteRef/>
      </w:r>
      <w:r>
        <w:t xml:space="preserve"> </w:t>
      </w:r>
      <w:r>
        <w:tab/>
        <w:t>The correlation coefficient was –0.65.</w:t>
      </w:r>
    </w:p>
  </w:footnote>
  <w:footnote w:id="1274">
    <w:p w:rsidR="000230CB" w:rsidRDefault="000230CB" w:rsidP="004E4474">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75">
    <w:p w:rsidR="000230CB" w:rsidRDefault="000230CB" w:rsidP="004E4474">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76">
    <w:p w:rsidR="000230CB" w:rsidRDefault="000230CB" w:rsidP="004E4474">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77">
    <w:p w:rsidR="000230CB" w:rsidRDefault="000230CB" w:rsidP="004E4474">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w:t>
      </w:r>
      <w:r>
        <w:softHyphen/>
        <w:t>–13.</w:t>
      </w:r>
    </w:p>
  </w:footnote>
  <w:footnote w:id="1278">
    <w:p w:rsidR="000230CB" w:rsidRDefault="000230CB" w:rsidP="004E4474">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79">
    <w:p w:rsidR="000230CB" w:rsidRDefault="000230CB" w:rsidP="004E4474">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w:t>
      </w:r>
      <w:r>
        <w:softHyphen/>
        <w:t>–227.</w:t>
      </w:r>
    </w:p>
  </w:footnote>
  <w:footnote w:id="1280">
    <w:p w:rsidR="000230CB" w:rsidRDefault="000230CB" w:rsidP="004E4474">
      <w:pPr>
        <w:pStyle w:val="FootnoteText"/>
      </w:pPr>
      <w:r>
        <w:rPr>
          <w:rStyle w:val="FootnoteReference"/>
        </w:rPr>
        <w:footnoteRef/>
      </w:r>
      <w:r>
        <w:t xml:space="preserve"> </w:t>
      </w:r>
      <w:r>
        <w:tab/>
        <w:t>See section I.1.</w:t>
      </w:r>
    </w:p>
  </w:footnote>
  <w:footnote w:id="1281">
    <w:p w:rsidR="000230CB" w:rsidRDefault="000230CB" w:rsidP="004E4474">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282">
    <w:p w:rsidR="000230CB" w:rsidRDefault="000230CB" w:rsidP="004E4474">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283">
    <w:p w:rsidR="000230CB" w:rsidRDefault="000230CB" w:rsidP="004E4474">
      <w:pPr>
        <w:pStyle w:val="FootnoteText"/>
      </w:pPr>
      <w:r>
        <w:rPr>
          <w:rStyle w:val="FootnoteReference"/>
        </w:rPr>
        <w:footnoteRef/>
      </w:r>
      <w:r>
        <w:t xml:space="preserve"> </w:t>
      </w:r>
      <w:r>
        <w:tab/>
        <w:t xml:space="preserve">Australian Competition Tribunal, </w:t>
      </w:r>
      <w:r w:rsidRPr="00CF598C">
        <w:rPr>
          <w:rStyle w:val="AERtextitalic"/>
        </w:rPr>
        <w:t>Applications by Public Interest Advocacy Centre Ltd and Ausgrid  [2016] ACompT 1</w:t>
      </w:r>
      <w:r>
        <w:t>, February 2016, para. 983.</w:t>
      </w:r>
    </w:p>
  </w:footnote>
  <w:footnote w:id="1284">
    <w:p w:rsidR="000230CB" w:rsidRDefault="000230CB" w:rsidP="004E4474">
      <w:pPr>
        <w:pStyle w:val="FootnoteText"/>
      </w:pPr>
      <w:r>
        <w:rPr>
          <w:rStyle w:val="FootnoteReference"/>
        </w:rPr>
        <w:footnoteRef/>
      </w:r>
      <w:r>
        <w:t xml:space="preserve"> </w:t>
      </w:r>
      <w:r>
        <w:tab/>
        <w:t xml:space="preserve">Australian Competition Tribunal, </w:t>
      </w:r>
      <w:r w:rsidRPr="00CF598C">
        <w:rPr>
          <w:rStyle w:val="AERtextitalic"/>
        </w:rPr>
        <w:t>Applications by Public Interest Advocacy Centre Ltd and Ausgrid  [2016] ACompT 1</w:t>
      </w:r>
      <w:r>
        <w:t>, February 2016, para. 983.</w:t>
      </w:r>
    </w:p>
  </w:footnote>
  <w:footnote w:id="1285">
    <w:p w:rsidR="000230CB" w:rsidRDefault="000230CB" w:rsidP="004E4474">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286">
    <w:p w:rsidR="000230CB" w:rsidRDefault="000230CB" w:rsidP="004E4474">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87">
    <w:p w:rsidR="000230CB" w:rsidRDefault="000230CB" w:rsidP="004E4474">
      <w:pPr>
        <w:pStyle w:val="FootnoteText"/>
      </w:pPr>
      <w:r>
        <w:rPr>
          <w:rStyle w:val="FootnoteReference"/>
        </w:rPr>
        <w:footnoteRef/>
      </w:r>
      <w:r>
        <w:t xml:space="preserve"> </w:t>
      </w:r>
      <w:r>
        <w:tab/>
        <w:t>To illustrate this, Bloomberg published data on 252 days in 2015, where the RBA published data on 12 days.</w:t>
      </w:r>
    </w:p>
  </w:footnote>
  <w:footnote w:id="1288">
    <w:p w:rsidR="000230CB" w:rsidRDefault="000230CB" w:rsidP="004E4474">
      <w:pPr>
        <w:pStyle w:val="FootnoteText"/>
      </w:pPr>
      <w:r>
        <w:rPr>
          <w:rStyle w:val="FootnoteReference"/>
        </w:rPr>
        <w:footnoteRef/>
      </w:r>
      <w:r>
        <w:t xml:space="preserve"> </w:t>
      </w:r>
      <w:r>
        <w:tab/>
        <w:t xml:space="preserve">AusNet Services, </w:t>
      </w:r>
      <w:r w:rsidRPr="001B7438">
        <w:t>AusNet Services’ response to submissions on the Victorian EDPR Preliminary Decision</w:t>
      </w:r>
      <w:r>
        <w:t>, February 2016, pp. 20–21.</w:t>
      </w:r>
    </w:p>
  </w:footnote>
  <w:footnote w:id="1289">
    <w:p w:rsidR="000230CB" w:rsidRDefault="000230CB" w:rsidP="004E4474">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290">
    <w:p w:rsidR="000230CB" w:rsidRDefault="000230CB" w:rsidP="004E4474">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91">
    <w:p w:rsidR="000230CB" w:rsidRDefault="000230CB" w:rsidP="004E4474">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92">
    <w:p w:rsidR="000230CB" w:rsidRDefault="000230CB" w:rsidP="004E4474">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93">
    <w:p w:rsidR="000230CB" w:rsidRDefault="000230CB" w:rsidP="004E4474">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294">
    <w:p w:rsidR="000230CB" w:rsidRDefault="000230CB" w:rsidP="004E4474">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295">
    <w:p w:rsidR="000230CB" w:rsidRDefault="000230CB" w:rsidP="004E4474">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296">
    <w:p w:rsidR="000230CB" w:rsidRDefault="000230CB" w:rsidP="004E4474">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297">
    <w:p w:rsidR="000230CB" w:rsidRDefault="000230CB" w:rsidP="004E4474">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298">
    <w:p w:rsidR="000230CB" w:rsidRDefault="000230CB" w:rsidP="004E4474">
      <w:pPr>
        <w:pStyle w:val="FootnoteText"/>
      </w:pPr>
      <w:r>
        <w:rPr>
          <w:rStyle w:val="FootnoteReference"/>
        </w:rPr>
        <w:footnoteRef/>
      </w:r>
      <w:r>
        <w:t xml:space="preserve"> </w:t>
      </w:r>
      <w:r>
        <w:tab/>
        <w:t xml:space="preserve">Australian Competition Tribunal, </w:t>
      </w:r>
      <w:r w:rsidRPr="00CF598C">
        <w:rPr>
          <w:rStyle w:val="AERtextitalic"/>
        </w:rPr>
        <w:t>Applications by Public Interest Advocacy Centre Ltd and Ausgrid  [2016] ACompT 1</w:t>
      </w:r>
      <w:r>
        <w:t>, February 2016, para. 983.</w:t>
      </w:r>
    </w:p>
  </w:footnote>
  <w:footnote w:id="1299">
    <w:p w:rsidR="000230CB" w:rsidRDefault="000230CB" w:rsidP="004E4474">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300">
    <w:p w:rsidR="000230CB" w:rsidRDefault="000230CB" w:rsidP="004E4474">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301">
    <w:p w:rsidR="000230CB" w:rsidRDefault="000230CB" w:rsidP="004E4474">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302">
    <w:p w:rsidR="000230CB" w:rsidRDefault="000230CB" w:rsidP="004E4474">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303">
    <w:p w:rsidR="000230CB" w:rsidRDefault="000230CB" w:rsidP="004E4474">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304">
    <w:p w:rsidR="000230CB" w:rsidRDefault="000230CB" w:rsidP="004E4474">
      <w:pPr>
        <w:pStyle w:val="FootnoteText"/>
      </w:pPr>
      <w:r>
        <w:rPr>
          <w:rStyle w:val="FootnoteReference"/>
        </w:rPr>
        <w:footnoteRef/>
      </w:r>
      <w:r>
        <w:t xml:space="preserve"> </w:t>
      </w:r>
      <w:r>
        <w:tab/>
        <w:t xml:space="preserve">We discuss this in section </w:t>
      </w:r>
      <w:r>
        <w:fldChar w:fldCharType="begin"/>
      </w:r>
      <w:r>
        <w:instrText xml:space="preserve"> REF _Ref451328558 \r \h </w:instrText>
      </w:r>
      <w:r>
        <w:fldChar w:fldCharType="separate"/>
      </w:r>
      <w:r>
        <w:t>3.4.2</w:t>
      </w:r>
      <w:r>
        <w:fldChar w:fldCharType="end"/>
      </w:r>
      <w:r>
        <w:t xml:space="preserve"> and in previous decisions. For example,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305">
    <w:p w:rsidR="000230CB" w:rsidRDefault="000230CB" w:rsidP="004E4474">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306">
    <w:p w:rsidR="000230CB" w:rsidRDefault="000230CB" w:rsidP="008638C7">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1307">
    <w:p w:rsidR="000230CB" w:rsidRDefault="000230CB" w:rsidP="008638C7">
      <w:pPr>
        <w:pStyle w:val="FootnoteText"/>
      </w:pPr>
      <w:r>
        <w:rPr>
          <w:rStyle w:val="FootnoteReference"/>
        </w:rPr>
        <w:footnoteRef/>
      </w:r>
      <w:r>
        <w:t xml:space="preserve"> </w:t>
      </w:r>
      <w:r>
        <w:tab/>
      </w:r>
      <w:r w:rsidRPr="00DC7F5E">
        <w:t>NER, rules 6.5.2(c) and 6.5.2(h); NGR, rules 87(3) and 87(10).</w:t>
      </w:r>
    </w:p>
  </w:footnote>
  <w:footnote w:id="1308">
    <w:p w:rsidR="000230CB" w:rsidRDefault="000230CB" w:rsidP="008638C7">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309">
    <w:p w:rsidR="000230CB" w:rsidRDefault="000230CB" w:rsidP="008638C7">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1310">
    <w:p w:rsidR="000230CB" w:rsidRDefault="000230CB" w:rsidP="008638C7">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Draft Decision - Attachment 10.26: Rate of Return</w:t>
      </w:r>
      <w:r>
        <w:t>, January 2016, p. 8.</w:t>
      </w:r>
    </w:p>
  </w:footnote>
  <w:footnote w:id="1311">
    <w:p w:rsidR="000230CB" w:rsidRDefault="000230CB" w:rsidP="008638C7">
      <w:pPr>
        <w:pStyle w:val="FootnoteText"/>
      </w:pPr>
      <w:r>
        <w:rPr>
          <w:rStyle w:val="FootnoteReference"/>
        </w:rPr>
        <w:footnoteRef/>
      </w:r>
      <w:r>
        <w:t xml:space="preserve"> </w:t>
      </w:r>
      <w:r>
        <w:tab/>
        <w:t xml:space="preserve">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5.</w:t>
      </w:r>
    </w:p>
  </w:footnote>
  <w:footnote w:id="1312">
    <w:p w:rsidR="000230CB" w:rsidRDefault="000230CB" w:rsidP="008638C7">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xml:space="preserve">, January 2016, p. 51; </w:t>
      </w:r>
      <w:r w:rsidRPr="00DF3557">
        <w:t xml:space="preserve">AusNet Services, </w:t>
      </w:r>
      <w:r w:rsidRPr="00786E5F">
        <w:rPr>
          <w:rStyle w:val="AERtextitalic"/>
        </w:rPr>
        <w:t>Electricity Distribution Price Review 2016-20 Revised Regulatory Proposal</w:t>
      </w:r>
      <w:r w:rsidRPr="00DF3557">
        <w:t>, January 2016, p. 7-37</w:t>
      </w:r>
      <w:r>
        <w:t xml:space="preserve">; </w:t>
      </w:r>
      <w:r w:rsidRPr="00DF3557">
        <w:t xml:space="preserve">CitiPower, </w:t>
      </w:r>
      <w:r w:rsidRPr="00786E5F">
        <w:rPr>
          <w:rStyle w:val="AERtextitalic"/>
        </w:rPr>
        <w:t>Revised Regulatory Proposal 2016-2020</w:t>
      </w:r>
      <w:r w:rsidRPr="00DF3557">
        <w:t>, January 2016, p. 351</w:t>
      </w:r>
      <w:r>
        <w:t>; JEN</w:t>
      </w:r>
      <w:r w:rsidRPr="00DF3557">
        <w:t xml:space="preserve">, </w:t>
      </w:r>
      <w:r w:rsidRPr="00786E5F">
        <w:rPr>
          <w:rStyle w:val="AERtextitalic"/>
        </w:rPr>
        <w:t>2016-20 Electricity Distribution Price Review Regulatory Proposal - Attachment 6.1</w:t>
      </w:r>
      <w:r w:rsidRPr="00DF3557">
        <w:t>, January 2016, p. 41</w:t>
      </w:r>
      <w:r>
        <w:t xml:space="preserve">; </w:t>
      </w:r>
      <w:r w:rsidRPr="00DF3557">
        <w:t xml:space="preserve">Powercor, </w:t>
      </w:r>
      <w:r w:rsidRPr="00786E5F">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pp. 35. AGN and APTNT (Amadeus gas pipeline) did not make this claim, with the latter not raising the issue of the new issue premium at all.</w:t>
      </w:r>
    </w:p>
  </w:footnote>
  <w:footnote w:id="1313">
    <w:p w:rsidR="000230CB" w:rsidRDefault="000230CB" w:rsidP="008638C7">
      <w:pPr>
        <w:pStyle w:val="FootnoteText"/>
      </w:pPr>
      <w:r>
        <w:rPr>
          <w:rStyle w:val="FootnoteReference"/>
        </w:rPr>
        <w:footnoteRef/>
      </w:r>
      <w:r>
        <w:t xml:space="preserve"> </w:t>
      </w:r>
      <w:r>
        <w:tab/>
        <w:t xml:space="preserve">We considered some of the more prevalent explanations in </w:t>
      </w:r>
      <w:r w:rsidRPr="00ED0DF8">
        <w:rPr>
          <w:rStyle w:val="AERtextitalic"/>
        </w:rPr>
        <w:t>SA Power Networks Preliminary Decision - Attachment 3: Rate of Return</w:t>
      </w:r>
      <w:r>
        <w:t>, April 2015, pp. 471-473.</w:t>
      </w:r>
    </w:p>
  </w:footnote>
  <w:footnote w:id="1314">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15">
    <w:p w:rsidR="000230CB" w:rsidRDefault="000230CB" w:rsidP="008638C7">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w:t>
      </w:r>
      <w:r>
        <w:rPr>
          <w:rStyle w:val="AERtextitalic"/>
        </w:rPr>
        <w:t>aft Decision - Attachment 10.26</w:t>
      </w:r>
      <w:r>
        <w:t xml:space="preserve">, January 2016, p. 87; APTNT (Amadeus gas pipeline), </w:t>
      </w:r>
      <w:r w:rsidRPr="00A15FE2">
        <w:rPr>
          <w:rStyle w:val="AERtextitalic"/>
        </w:rPr>
        <w:t>Access Arrangement Revised Proposal</w:t>
      </w:r>
      <w:r>
        <w:t xml:space="preserve">, January 2016, p. 95; United Energy, </w:t>
      </w:r>
      <w:r w:rsidRPr="00ED0DF8">
        <w:rPr>
          <w:rStyle w:val="AERtextitalic"/>
        </w:rPr>
        <w:t>Response to AER Prelimina</w:t>
      </w:r>
      <w:r>
        <w:rPr>
          <w:rStyle w:val="AERtextitalic"/>
        </w:rPr>
        <w:t>ry Determination - Re: Rate of Return and G</w:t>
      </w:r>
      <w:r w:rsidRPr="00ED0DF8">
        <w:rPr>
          <w:rStyle w:val="AERtextitalic"/>
        </w:rPr>
        <w:t>amma</w:t>
      </w:r>
      <w:r>
        <w:t xml:space="preserve">, January 2016, p. 69. We note that some of the service providers commented that this acceptance rendered their revised proposals conservative: ActewAGL Gas, </w:t>
      </w:r>
      <w:r w:rsidRPr="00FE720E">
        <w:rPr>
          <w:rStyle w:val="AERtextitalic"/>
        </w:rPr>
        <w:t>Revised 2016-21 Access Arrangement P</w:t>
      </w:r>
      <w:r>
        <w:rPr>
          <w:rStyle w:val="AERtextitalic"/>
        </w:rPr>
        <w:t>roposal</w:t>
      </w:r>
      <w:r>
        <w:t xml:space="preserve">, January 2016, p. 44; </w:t>
      </w:r>
      <w:r w:rsidRPr="00DF3557">
        <w:t xml:space="preserve">CitiPower, </w:t>
      </w:r>
      <w:r w:rsidRPr="008B6C1F">
        <w:rPr>
          <w:rStyle w:val="AERtextitalic"/>
        </w:rPr>
        <w:t>Revised Regulatory Proposal 2016-2020</w:t>
      </w:r>
      <w:r w:rsidRPr="00DF3557">
        <w:t>, January 201</w:t>
      </w:r>
      <w:r>
        <w:t>6, pp. 147-149; JEN</w:t>
      </w:r>
      <w:r w:rsidRPr="00DF3557">
        <w:t xml:space="preserve">, </w:t>
      </w:r>
      <w:r w:rsidRPr="008B6C1F">
        <w:rPr>
          <w:rStyle w:val="AERtextitalic"/>
        </w:rPr>
        <w:t>2016-20 Electricity Distribution Price Review Regulatory Proposal - Attachment 6.1</w:t>
      </w:r>
      <w:r w:rsidRPr="00DF3557">
        <w:t>, January 2016, p</w:t>
      </w:r>
      <w:r>
        <w:t xml:space="preserve">p. 113-114; </w:t>
      </w:r>
      <w:r w:rsidRPr="00DF3557">
        <w:t xml:space="preserve">Powercor, </w:t>
      </w:r>
      <w:r w:rsidRPr="008B6C1F">
        <w:rPr>
          <w:rStyle w:val="AERtextitalic"/>
        </w:rPr>
        <w:t>Revised Regulatory Proposal 2016-20</w:t>
      </w:r>
      <w:r w:rsidRPr="00DF3557">
        <w:t>, January 2016, p</w:t>
      </w:r>
      <w:r>
        <w:t xml:space="preserve">p. 146-148. </w:t>
      </w:r>
      <w:r w:rsidRPr="00DF3557">
        <w:t>AusNet Services</w:t>
      </w:r>
      <w:r>
        <w:t xml:space="preserve"> did not accept our approach to debt raising costs:</w:t>
      </w:r>
      <w:r w:rsidRPr="00DF3557">
        <w:t xml:space="preserve"> </w:t>
      </w:r>
      <w:r w:rsidRPr="008B6C1F">
        <w:rPr>
          <w:rStyle w:val="AERtextitalic"/>
        </w:rPr>
        <w:t>Electricity Distribution Price Review 2016-20 Revised Regulatory Proposal</w:t>
      </w:r>
      <w:r>
        <w:t>, January 2016, pp. 4-4</w:t>
      </w:r>
      <w:r w:rsidRPr="00A82455">
        <w:t>–</w:t>
      </w:r>
      <w:r>
        <w:t>4-7.</w:t>
      </w:r>
    </w:p>
  </w:footnote>
  <w:footnote w:id="1316">
    <w:p w:rsidR="000230CB" w:rsidRDefault="000230CB" w:rsidP="008638C7">
      <w:pPr>
        <w:pStyle w:val="FootnoteText"/>
      </w:pPr>
      <w:r>
        <w:rPr>
          <w:rStyle w:val="FootnoteReference"/>
        </w:rPr>
        <w:footnoteRef/>
      </w:r>
      <w:r>
        <w:t xml:space="preserve"> </w:t>
      </w:r>
      <w:r>
        <w:tab/>
        <w:t xml:space="preserve">Fang, L.H., 'Investment Bank Reputation and the Price and Quality of Underwriting Services', </w:t>
      </w:r>
      <w:r w:rsidRPr="00FC4C95">
        <w:rPr>
          <w:rStyle w:val="AERtextitalic"/>
        </w:rPr>
        <w:t>Journal of Finance</w:t>
      </w:r>
      <w:r>
        <w:t>, Vol. 60, No. 6, December 2005, pp. 2729-2761.</w:t>
      </w:r>
    </w:p>
  </w:footnote>
  <w:footnote w:id="1317">
    <w:p w:rsidR="000230CB" w:rsidRDefault="000230CB" w:rsidP="008638C7">
      <w:pPr>
        <w:pStyle w:val="FootnoteText"/>
      </w:pPr>
      <w:r>
        <w:rPr>
          <w:rStyle w:val="FootnoteReference"/>
        </w:rPr>
        <w:footnoteRef/>
      </w:r>
      <w:r>
        <w:t xml:space="preserve"> </w:t>
      </w:r>
      <w:r>
        <w:tab/>
        <w:t>We accepted service providers' proposed method for estimating arrangement fees, resulting in allowances of 7.11</w:t>
      </w:r>
      <w:r>
        <w:rPr>
          <w:rFonts w:cs="Arial"/>
        </w:rPr>
        <w:t>–</w:t>
      </w:r>
      <w:r>
        <w:t xml:space="preserve">15 bppa in our draft /preliminary decisions. This method is consistent with Incenta, </w:t>
      </w:r>
      <w:r w:rsidRPr="003A51EC">
        <w:rPr>
          <w:rStyle w:val="AERtextitalic"/>
        </w:rPr>
        <w:t>Debt raising transaction costs―updated report for Jemena</w:t>
      </w:r>
      <w:r>
        <w:t xml:space="preserve">, February 2015, p. 1; PwC, </w:t>
      </w:r>
      <w:r w:rsidRPr="003A51EC">
        <w:rPr>
          <w:rStyle w:val="AERtextitalic"/>
        </w:rPr>
        <w:t>Energy Networks Association: Debt raising costs</w:t>
      </w:r>
      <w:r>
        <w:t>, June 2013, pp. 14</w:t>
      </w:r>
      <w:r>
        <w:rPr>
          <w:rFonts w:cs="Arial"/>
        </w:rPr>
        <w:t>–</w:t>
      </w:r>
      <w:r>
        <w:t>19.</w:t>
      </w:r>
    </w:p>
  </w:footnote>
  <w:footnote w:id="1318">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19">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20">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7.</w:t>
      </w:r>
    </w:p>
  </w:footnote>
  <w:footnote w:id="1321">
    <w:p w:rsidR="000230CB" w:rsidRDefault="000230CB" w:rsidP="008638C7">
      <w:pPr>
        <w:pStyle w:val="FootnoteText"/>
      </w:pPr>
      <w:r>
        <w:rPr>
          <w:rStyle w:val="FootnoteReference"/>
        </w:rPr>
        <w:footnoteRef/>
      </w:r>
      <w:r>
        <w:t xml:space="preserve"> </w:t>
      </w:r>
      <w:r>
        <w:tab/>
        <w:t xml:space="preserve">CCP (subpanel 3), </w:t>
      </w:r>
      <w:r w:rsidRPr="003A51EC">
        <w:rPr>
          <w:rStyle w:val="AERtextitalic"/>
        </w:rPr>
        <w:t>Response to AER Preliminary Decisions and revised proposals from Victorian electricity distribution network service providers for a revenue reset for the 2016</w:t>
      </w:r>
      <w:r>
        <w:rPr>
          <w:rStyle w:val="AERtextitalic"/>
        </w:rPr>
        <w:t>-</w:t>
      </w:r>
      <w:r w:rsidRPr="003A51EC">
        <w:rPr>
          <w:rStyle w:val="AERtextitalic"/>
        </w:rPr>
        <w:t>2020 regulatory period</w:t>
      </w:r>
      <w:r>
        <w:t>, 25 February 2016, p. 107.</w:t>
      </w:r>
    </w:p>
  </w:footnote>
  <w:footnote w:id="1322">
    <w:p w:rsidR="000230CB" w:rsidRDefault="000230CB" w:rsidP="008638C7">
      <w:pPr>
        <w:pStyle w:val="FootnoteText"/>
      </w:pPr>
      <w:r>
        <w:rPr>
          <w:rStyle w:val="FootnoteReference"/>
        </w:rPr>
        <w:footnoteRef/>
      </w:r>
      <w:r>
        <w:t xml:space="preserve"> </w:t>
      </w:r>
      <w:r>
        <w:tab/>
        <w:t xml:space="preserve">Datta, S., Iskandar-Datta, M. and Patel, A., 'The Pricing of Initial Public Offers of Corporate Straight Debt', </w:t>
      </w:r>
      <w:r w:rsidRPr="00DB6D6A">
        <w:rPr>
          <w:rStyle w:val="AERtextitalic"/>
        </w:rPr>
        <w:t>Journal of Finance</w:t>
      </w:r>
      <w:r>
        <w:t>, Vol. 52, No. 1, March 1997, p. 381.</w:t>
      </w:r>
    </w:p>
  </w:footnote>
  <w:footnote w:id="1323">
    <w:p w:rsidR="000230CB" w:rsidRDefault="000230CB" w:rsidP="008638C7">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481.</w:t>
      </w:r>
    </w:p>
  </w:footnote>
  <w:footnote w:id="1324">
    <w:p w:rsidR="000230CB" w:rsidRDefault="000230CB" w:rsidP="008638C7">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pp. 481-482.</w:t>
      </w:r>
    </w:p>
  </w:footnote>
  <w:footnote w:id="1325">
    <w:p w:rsidR="000230CB" w:rsidRDefault="000230CB" w:rsidP="008638C7">
      <w:pPr>
        <w:pStyle w:val="FootnoteText"/>
      </w:pPr>
      <w:r>
        <w:rPr>
          <w:rStyle w:val="FootnoteReference"/>
        </w:rPr>
        <w:footnoteRef/>
      </w:r>
      <w:r>
        <w:t xml:space="preserve"> </w:t>
      </w:r>
      <w:r>
        <w:tab/>
        <w:t xml:space="preserve">Productivity Commission, </w:t>
      </w:r>
      <w:r w:rsidRPr="006446B8">
        <w:rPr>
          <w:rStyle w:val="AERtextitalic"/>
        </w:rPr>
        <w:t>Electricity Network Regulatory Framework</w:t>
      </w:r>
      <w:r>
        <w:t>, No. 62, Vol. 1, April 2013, p. 207.</w:t>
      </w:r>
    </w:p>
  </w:footnote>
  <w:footnote w:id="1326">
    <w:p w:rsidR="000230CB" w:rsidRDefault="000230CB" w:rsidP="008638C7">
      <w:pPr>
        <w:pStyle w:val="FootnoteText"/>
      </w:pPr>
      <w:r>
        <w:rPr>
          <w:rStyle w:val="FootnoteReference"/>
        </w:rPr>
        <w:footnoteRef/>
      </w:r>
      <w:r>
        <w:t xml:space="preserve"> </w:t>
      </w:r>
      <w:r>
        <w:tab/>
        <w:t xml:space="preserve">Energy Users Rule Change Committee, </w:t>
      </w:r>
      <w:r w:rsidRPr="006446B8">
        <w:rPr>
          <w:rStyle w:val="AERtextitalic"/>
        </w:rPr>
        <w:t>Proposal to Change the National Electricity Rules in Respect of the Calculation of the Return on Debt</w:t>
      </w:r>
      <w:r>
        <w:t>, October 2011, pp. 15-16.</w:t>
      </w:r>
    </w:p>
  </w:footnote>
  <w:footnote w:id="1327">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2.</w:t>
      </w:r>
    </w:p>
  </w:footnote>
  <w:footnote w:id="1328">
    <w:p w:rsidR="000230CB" w:rsidRDefault="000230CB" w:rsidP="008638C7">
      <w:pPr>
        <w:pStyle w:val="FootnoteText"/>
      </w:pPr>
      <w:r>
        <w:rPr>
          <w:rStyle w:val="FootnoteReference"/>
        </w:rPr>
        <w:footnoteRef/>
      </w:r>
      <w:r>
        <w:t xml:space="preserve"> </w:t>
      </w:r>
      <w:r>
        <w:tab/>
        <w:t xml:space="preserve">Credit Suisse, </w:t>
      </w:r>
      <w:r w:rsidRPr="0024703B">
        <w:rPr>
          <w:rStyle w:val="AERtextitalic"/>
        </w:rPr>
        <w:t>Equity Research: Australian Regulated Utilities</w:t>
      </w:r>
      <w:r>
        <w:t xml:space="preserve">, October 2015, p. 7; Morgan Stanley, </w:t>
      </w:r>
      <w:r w:rsidRPr="0024703B">
        <w:rPr>
          <w:rStyle w:val="AERtextitalic"/>
        </w:rPr>
        <w:t>Quick Comment: Electricity Determinations - Positive for Distribution</w:t>
      </w:r>
      <w:r>
        <w:t>s, October 2015, p. 1.</w:t>
      </w:r>
    </w:p>
  </w:footnote>
  <w:footnote w:id="1329">
    <w:p w:rsidR="000230CB" w:rsidRDefault="000230CB" w:rsidP="008638C7">
      <w:pPr>
        <w:pStyle w:val="FootnoteText"/>
      </w:pPr>
      <w:r>
        <w:rPr>
          <w:rStyle w:val="FootnoteReference"/>
        </w:rPr>
        <w:footnoteRef/>
      </w:r>
      <w:r>
        <w:t xml:space="preserve"> </w:t>
      </w:r>
      <w:r>
        <w:tab/>
      </w:r>
      <w:r w:rsidRPr="007611C7">
        <w:t xml:space="preserve">We are aware of one instance in which a regulator provided a once </w:t>
      </w:r>
      <w:r>
        <w:t>off 100 basis point uplift for '</w:t>
      </w:r>
      <w:r w:rsidRPr="007611C7">
        <w:t>a new issue premium</w:t>
      </w:r>
      <w:r>
        <w:t xml:space="preserve"> </w:t>
      </w:r>
      <w:r w:rsidRPr="007611C7">
        <w:t>and a liquidity premium'</w:t>
      </w:r>
      <w:r>
        <w:t xml:space="preserve">, but as this occurred in the US in 2009 at a time of extreme market conditions we consider this of limited influence: </w:t>
      </w:r>
      <w:r w:rsidRPr="007611C7">
        <w:t xml:space="preserve">New York Public Service Commission, </w:t>
      </w:r>
      <w:r w:rsidRPr="003A51EC">
        <w:rPr>
          <w:rStyle w:val="AERtextitalic"/>
        </w:rPr>
        <w:t>Cases 08-E-0887, 08-G-0888, and 09-M-0004: Order adopting recommended decision with modifications</w:t>
      </w:r>
      <w:r w:rsidRPr="007611C7">
        <w:t>, 22 June 2009, p. 44.</w:t>
      </w:r>
    </w:p>
  </w:footnote>
  <w:footnote w:id="1330">
    <w:p w:rsidR="000230CB" w:rsidRDefault="000230CB" w:rsidP="008638C7">
      <w:pPr>
        <w:pStyle w:val="FootnoteText"/>
      </w:pPr>
      <w:r>
        <w:rPr>
          <w:rStyle w:val="FootnoteReference"/>
        </w:rPr>
        <w:footnoteRef/>
      </w:r>
      <w:r>
        <w:t xml:space="preserve"> </w:t>
      </w:r>
      <w:r>
        <w:tab/>
        <w:t xml:space="preserve">ERA, </w:t>
      </w:r>
      <w:r w:rsidRPr="00F539DC">
        <w:rPr>
          <w:rStyle w:val="AERtextitalic"/>
        </w:rPr>
        <w:t>Final Decision on Proposed Revisions to the Access Arrangement for the Mid-West and South-West Gas Distribution Systems</w:t>
      </w:r>
      <w:r>
        <w:t>, June 2015, p. 370.</w:t>
      </w:r>
    </w:p>
  </w:footnote>
  <w:footnote w:id="1331">
    <w:p w:rsidR="000230CB" w:rsidRDefault="000230CB" w:rsidP="008638C7">
      <w:pPr>
        <w:pStyle w:val="FootnoteText"/>
      </w:pPr>
      <w:r>
        <w:rPr>
          <w:rStyle w:val="FootnoteReference"/>
        </w:rPr>
        <w:footnoteRef/>
      </w:r>
      <w:r>
        <w:t xml:space="preserve"> </w:t>
      </w:r>
      <w:r>
        <w:tab/>
        <w:t xml:space="preserve">Handley, </w:t>
      </w:r>
      <w:r w:rsidRPr="00EF381E">
        <w:rPr>
          <w:rStyle w:val="AERtextitalic"/>
        </w:rPr>
        <w:t>A note on the costs of raising debt and equity capital</w:t>
      </w:r>
      <w:r>
        <w:t>, April 2009, p. 17.</w:t>
      </w:r>
    </w:p>
  </w:footnote>
  <w:footnote w:id="1332">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4.</w:t>
      </w:r>
    </w:p>
  </w:footnote>
  <w:footnote w:id="1333">
    <w:p w:rsidR="000230CB" w:rsidRDefault="000230CB" w:rsidP="008638C7">
      <w:pPr>
        <w:pStyle w:val="FootnoteText"/>
      </w:pPr>
      <w:r>
        <w:rPr>
          <w:rStyle w:val="FootnoteReference"/>
        </w:rPr>
        <w:footnoteRef/>
      </w:r>
      <w:r>
        <w:t xml:space="preserve"> </w:t>
      </w:r>
      <w:r>
        <w:tab/>
        <w:t xml:space="preserve">As suggested in CEG, </w:t>
      </w:r>
      <w:r w:rsidRPr="00642D33">
        <w:rPr>
          <w:rStyle w:val="AERtextitalic"/>
        </w:rPr>
        <w:t>Critique of AER Analysis of New Issue Premium</w:t>
      </w:r>
      <w:r>
        <w:t>, December 2015, p. 3.</w:t>
      </w:r>
    </w:p>
  </w:footnote>
  <w:footnote w:id="1334">
    <w:p w:rsidR="000230CB" w:rsidRDefault="000230CB" w:rsidP="008638C7">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475.</w:t>
      </w:r>
    </w:p>
  </w:footnote>
  <w:footnote w:id="1335">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pp. 16-22.</w:t>
      </w:r>
    </w:p>
  </w:footnote>
  <w:footnote w:id="1336">
    <w:p w:rsidR="000230CB" w:rsidRDefault="000230CB" w:rsidP="008638C7">
      <w:pPr>
        <w:pStyle w:val="FootnoteText"/>
      </w:pPr>
      <w:r>
        <w:rPr>
          <w:rStyle w:val="FootnoteReference"/>
        </w:rPr>
        <w:footnoteRef/>
      </w:r>
      <w:r>
        <w:t xml:space="preserve"> </w:t>
      </w:r>
      <w:r>
        <w:tab/>
        <w:t>For example, using 7 service providers' confidential data, we estimate that on average about 20 per cent of their debt portfolios over the previous regulatory period comprised of US bonds. We note that</w:t>
      </w:r>
      <w:r w:rsidRPr="00F33626">
        <w:t xml:space="preserve"> the optimal weights for </w:t>
      </w:r>
      <w:r>
        <w:t>a</w:t>
      </w:r>
      <w:r w:rsidRPr="00F33626">
        <w:t xml:space="preserve"> benchmark efficient</w:t>
      </w:r>
      <w:r>
        <w:t xml:space="preserve"> entity's debt portfolio would v</w:t>
      </w:r>
      <w:r w:rsidRPr="00F33626">
        <w:t xml:space="preserve">ary over time. See Lally, </w:t>
      </w:r>
      <w:r w:rsidRPr="00F33626">
        <w:rPr>
          <w:rStyle w:val="AERtextitalic"/>
        </w:rPr>
        <w:t>Implementation issues for the cost of debt</w:t>
      </w:r>
      <w:r w:rsidRPr="00F33626">
        <w:t>, 20 November 2014, p. 3.</w:t>
      </w:r>
    </w:p>
  </w:footnote>
  <w:footnote w:id="1337">
    <w:p w:rsidR="000230CB" w:rsidRDefault="000230CB" w:rsidP="008638C7">
      <w:pPr>
        <w:pStyle w:val="FootnoteText"/>
      </w:pPr>
      <w:r>
        <w:rPr>
          <w:rStyle w:val="FootnoteReference"/>
        </w:rPr>
        <w:footnoteRef/>
      </w:r>
      <w:r>
        <w:t xml:space="preserve"> </w:t>
      </w:r>
      <w:r>
        <w:tab/>
        <w:t xml:space="preserve">As CEG noted in its original report, Goldberg and Ronn do report a regression for BBB rated bonds, but it is not possible to derive a 10-year estimate from the information given: CEG, </w:t>
      </w:r>
      <w:r w:rsidRPr="00ED0DF8">
        <w:rPr>
          <w:rStyle w:val="AERtextitalic"/>
        </w:rPr>
        <w:t>The New Issue Premium</w:t>
      </w:r>
      <w:r>
        <w:t xml:space="preserve">, October 2014, p. 28; Goldberg, R.S. and Ronn, E.I., 'Quantifying and Explaining the New Issue Premium in the Post-Glass-Steagall Corporate Bond Market', </w:t>
      </w:r>
      <w:r w:rsidRPr="00C432BA">
        <w:rPr>
          <w:rStyle w:val="AERtextitalic"/>
        </w:rPr>
        <w:t>Journal of Fixed Income</w:t>
      </w:r>
      <w:r>
        <w:t>, Vol. 23, No. 1, Summer 2013, p. 52.</w:t>
      </w:r>
    </w:p>
  </w:footnote>
  <w:footnote w:id="1338">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39">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40">
    <w:p w:rsidR="000230CB" w:rsidRDefault="000230CB" w:rsidP="008638C7">
      <w:pPr>
        <w:pStyle w:val="FootnoteText"/>
      </w:pPr>
      <w:r>
        <w:rPr>
          <w:rStyle w:val="FootnoteReference"/>
        </w:rPr>
        <w:footnoteRef/>
      </w:r>
      <w:r>
        <w:t xml:space="preserve"> </w:t>
      </w:r>
      <w:r>
        <w:tab/>
        <w:t xml:space="preserve">Datta, S., Iskandar-Datta, M. and Patel, A., 'The Pricing of Initial Public Offers of Corporate Straight Debt', </w:t>
      </w:r>
      <w:r w:rsidRPr="00DB6D6A">
        <w:rPr>
          <w:rStyle w:val="AERtextitalic"/>
        </w:rPr>
        <w:t>Journal of Finance</w:t>
      </w:r>
      <w:r>
        <w:t>, Vol. 52, No. 1, March 1997, p. 392.</w:t>
      </w:r>
    </w:p>
  </w:footnote>
  <w:footnote w:id="1341">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42">
    <w:p w:rsidR="000230CB" w:rsidRDefault="000230CB" w:rsidP="008638C7">
      <w:pPr>
        <w:pStyle w:val="FootnoteText"/>
      </w:pPr>
      <w:r>
        <w:rPr>
          <w:rStyle w:val="FootnoteReference"/>
        </w:rPr>
        <w:footnoteRef/>
      </w:r>
      <w:r>
        <w:t xml:space="preserve"> </w:t>
      </w:r>
      <w:r>
        <w:tab/>
        <w:t xml:space="preserve">Carayannopoulos, P., 'A Seasoning Process in the US Treasury Bond Market: The Curious Case of Newly Issued Ten-Year Notes', </w:t>
      </w:r>
      <w:r w:rsidRPr="00F37C32">
        <w:rPr>
          <w:rStyle w:val="AERtextitalic"/>
        </w:rPr>
        <w:t>Financial Analysts Journal</w:t>
      </w:r>
      <w:r>
        <w:t>, Vol. 52, No. 1, January/February 1996, p. 50.</w:t>
      </w:r>
    </w:p>
  </w:footnote>
  <w:footnote w:id="1343">
    <w:p w:rsidR="000230CB" w:rsidRDefault="000230CB" w:rsidP="008638C7">
      <w:pPr>
        <w:pStyle w:val="FootnoteText"/>
      </w:pPr>
      <w:r>
        <w:rPr>
          <w:rStyle w:val="FootnoteReference"/>
        </w:rPr>
        <w:footnoteRef/>
      </w:r>
      <w:r>
        <w:t xml:space="preserve"> </w:t>
      </w:r>
      <w:r>
        <w:tab/>
        <w:t>Lindvall, J.R., 'New Issue Corporate Bonds, Seasoned Market Efficiency and Yield Spreads', Journal of Finance, Vol. 32, No. 4, September 1977, p. 1065.</w:t>
      </w:r>
    </w:p>
  </w:footnote>
  <w:footnote w:id="1344">
    <w:p w:rsidR="000230CB" w:rsidRDefault="000230CB" w:rsidP="008638C7">
      <w:pPr>
        <w:pStyle w:val="FootnoteText"/>
      </w:pPr>
      <w:r>
        <w:rPr>
          <w:rStyle w:val="FootnoteReference"/>
        </w:rPr>
        <w:footnoteRef/>
      </w:r>
      <w:r>
        <w:t xml:space="preserve"> </w:t>
      </w:r>
      <w:r>
        <w:tab/>
        <w:t xml:space="preserve">Cai, N., Helwege, J. and Warga, A., 'Underpricing in the Corporate Bond Market', </w:t>
      </w:r>
      <w:r w:rsidRPr="00DB6D6A">
        <w:rPr>
          <w:rStyle w:val="AERtextitalic"/>
        </w:rPr>
        <w:t>Review of Financial Studies</w:t>
      </w:r>
      <w:r>
        <w:t>, Vol. 20, No. 6, November 2007, p. 2022.</w:t>
      </w:r>
    </w:p>
  </w:footnote>
  <w:footnote w:id="1345">
    <w:p w:rsidR="000230CB" w:rsidRDefault="000230CB" w:rsidP="008638C7">
      <w:pPr>
        <w:pStyle w:val="FootnoteText"/>
      </w:pPr>
      <w:r>
        <w:rPr>
          <w:rStyle w:val="FootnoteReference"/>
        </w:rPr>
        <w:footnoteRef/>
      </w:r>
      <w:r>
        <w:t xml:space="preserve"> </w:t>
      </w:r>
      <w:r>
        <w:tab/>
        <w:t xml:space="preserve">Conard, J.W. and Frankena, M.W., 'The Yield Spread Between New and Seasoned Corporate Bonds, 1952-63' in </w:t>
      </w:r>
      <w:r w:rsidRPr="00C432BA">
        <w:rPr>
          <w:rStyle w:val="AERtextitalic"/>
        </w:rPr>
        <w:t>Essays on Interest Rates</w:t>
      </w:r>
      <w:r>
        <w:rPr>
          <w:rStyle w:val="AERtextitalic"/>
        </w:rPr>
        <w:t>, Volume</w:t>
      </w:r>
      <w:r w:rsidRPr="00C432BA">
        <w:rPr>
          <w:rStyle w:val="AERtextitalic"/>
        </w:rPr>
        <w:t xml:space="preserve"> 1</w:t>
      </w:r>
      <w:r>
        <w:t xml:space="preserve"> (Guttentag and Cagan, eds.), NBER, 1969, p. 176; Ederington, L.H., 'The Yield Spread on New Issues of Corporate Bonds', </w:t>
      </w:r>
      <w:r w:rsidRPr="00C432BA">
        <w:rPr>
          <w:rStyle w:val="AERtextitalic"/>
        </w:rPr>
        <w:t>Journal of Finance</w:t>
      </w:r>
      <w:r>
        <w:t xml:space="preserve">, Vol. 29, No. 5, December 1974, p. 1536; Goldberg, R.S. and Ronn, E.I., 'Quantifying and Explaining the New Issue Premium in the Post-Glass-Steagall Corporate Bond Market', </w:t>
      </w:r>
      <w:r w:rsidRPr="00C432BA">
        <w:rPr>
          <w:rStyle w:val="AERtextitalic"/>
        </w:rPr>
        <w:t>Journal of Fixed Income</w:t>
      </w:r>
      <w:r>
        <w:t>, Vol. 23, No. 1, Summer 2013, p. 54.</w:t>
      </w:r>
    </w:p>
  </w:footnote>
  <w:footnote w:id="1346">
    <w:p w:rsidR="000230CB" w:rsidRDefault="000230CB" w:rsidP="008638C7">
      <w:pPr>
        <w:pStyle w:val="FootnoteText"/>
      </w:pPr>
      <w:r>
        <w:rPr>
          <w:rStyle w:val="FootnoteReference"/>
        </w:rPr>
        <w:footnoteRef/>
      </w:r>
      <w:r>
        <w:t xml:space="preserve"> </w:t>
      </w:r>
      <w:r>
        <w:tab/>
        <w:t xml:space="preserve">Weinstein, M.I., 'The Seasoning Process of New Corporate Bond Issues', </w:t>
      </w:r>
      <w:r w:rsidRPr="00C432BA">
        <w:rPr>
          <w:rStyle w:val="AERtextitalic"/>
        </w:rPr>
        <w:t>Journal of Finance</w:t>
      </w:r>
      <w:r>
        <w:t>, Vol. 33, No. 5, December 1978, p. 1350.</w:t>
      </w:r>
    </w:p>
  </w:footnote>
  <w:footnote w:id="1347">
    <w:p w:rsidR="000230CB" w:rsidRDefault="000230CB" w:rsidP="008638C7">
      <w:pPr>
        <w:pStyle w:val="FootnoteText"/>
      </w:pPr>
      <w:r>
        <w:rPr>
          <w:rStyle w:val="FootnoteReference"/>
        </w:rPr>
        <w:footnoteRef/>
      </w:r>
      <w:r>
        <w:t xml:space="preserve"> </w:t>
      </w:r>
      <w:r>
        <w:tab/>
        <w:t>Kozhanov, I. and Ogden, J.P., 'The Pricing and Performance of New Corporate Bonds: Sorting Out Underpricing and Liquidity Effects', October 2012.</w:t>
      </w:r>
    </w:p>
  </w:footnote>
  <w:footnote w:id="1348">
    <w:p w:rsidR="000230CB" w:rsidRDefault="000230CB" w:rsidP="008638C7">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476.</w:t>
      </w:r>
    </w:p>
  </w:footnote>
  <w:footnote w:id="1349">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20.</w:t>
      </w:r>
    </w:p>
  </w:footnote>
  <w:footnote w:id="1350">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18-19.</w:t>
      </w:r>
    </w:p>
  </w:footnote>
  <w:footnote w:id="1351">
    <w:p w:rsidR="000230CB" w:rsidRDefault="000230CB" w:rsidP="008638C7">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January 2016, p. 51;</w:t>
      </w:r>
      <w:r w:rsidRPr="00DF3557">
        <w:t xml:space="preserve"> AusNet Services, </w:t>
      </w:r>
      <w:r w:rsidRPr="00A15FE2">
        <w:rPr>
          <w:rStyle w:val="AERtextitalic"/>
        </w:rPr>
        <w:t>Electricity Distribution Price Review 2016-20 Revised Regulatory Proposal</w:t>
      </w:r>
      <w:r w:rsidRPr="00DF3557">
        <w:t>, January 2016, p. 7-37</w:t>
      </w:r>
      <w:r>
        <w:t xml:space="preserve">; AGN, </w:t>
      </w:r>
      <w:r w:rsidRPr="006324F0">
        <w:rPr>
          <w:rStyle w:val="AERtextitalic"/>
        </w:rPr>
        <w:t>2016/17 to 2020/21 Access Arrangement Information Response to Dr</w:t>
      </w:r>
      <w:r>
        <w:rPr>
          <w:rStyle w:val="AERtextitalic"/>
        </w:rPr>
        <w:t>aft Decision - Attachment 10.26</w:t>
      </w:r>
      <w:r>
        <w:t>, January 2016, p. 8;</w:t>
      </w:r>
      <w:r w:rsidRPr="00DF3557">
        <w:t xml:space="preserve"> CitiPower, </w:t>
      </w:r>
      <w:r w:rsidRPr="00A15FE2">
        <w:rPr>
          <w:rStyle w:val="AERtextitalic"/>
        </w:rPr>
        <w:t>Revised Regulatory Proposal 2016-2020</w:t>
      </w:r>
      <w:r w:rsidRPr="00DF3557">
        <w:t>, January 2016, p. 351</w:t>
      </w:r>
      <w:r>
        <w:t>; JEN</w:t>
      </w:r>
      <w:r w:rsidRPr="00DF3557">
        <w:t xml:space="preserve">, </w:t>
      </w:r>
      <w:r w:rsidRPr="00A15FE2">
        <w:rPr>
          <w:rStyle w:val="AERtextitalic"/>
        </w:rPr>
        <w:t>2016-20 Electricity Distribution Price Review Regulatory Proposal - Attachment 6.1</w:t>
      </w:r>
      <w:r w:rsidRPr="00DF3557">
        <w:t>, January 2016, p. 41</w:t>
      </w:r>
      <w:r>
        <w:t xml:space="preserve">; </w:t>
      </w:r>
      <w:r w:rsidRPr="00DF3557">
        <w:t xml:space="preserve">Powercor, </w:t>
      </w:r>
      <w:r w:rsidRPr="00A15FE2">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35.</w:t>
      </w:r>
    </w:p>
  </w:footnote>
  <w:footnote w:id="1352">
    <w:p w:rsidR="000230CB" w:rsidRDefault="000230CB" w:rsidP="008638C7">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353">
    <w:p w:rsidR="000230CB" w:rsidRDefault="000230CB" w:rsidP="008638C7">
      <w:pPr>
        <w:pStyle w:val="FootnoteText"/>
      </w:pPr>
      <w:r>
        <w:rPr>
          <w:rStyle w:val="FootnoteReference"/>
        </w:rPr>
        <w:footnoteRef/>
      </w:r>
      <w:r>
        <w:t xml:space="preserve"> </w:t>
      </w:r>
      <w:r>
        <w:tab/>
      </w:r>
      <w:r w:rsidRPr="002F52E0">
        <w:t xml:space="preserve">AER, </w:t>
      </w:r>
      <w:r w:rsidRPr="002F52E0">
        <w:rPr>
          <w:rStyle w:val="AERtextitalic"/>
        </w:rPr>
        <w:t>SA Power Networks Preliminary Decision - Attachment 3: Rate of Return</w:t>
      </w:r>
      <w:r>
        <w:t>, April 2015, pp. 478-481</w:t>
      </w:r>
      <w:r w:rsidRPr="002F52E0">
        <w:t>.</w:t>
      </w:r>
    </w:p>
  </w:footnote>
  <w:footnote w:id="1354">
    <w:p w:rsidR="000230CB" w:rsidRDefault="000230CB" w:rsidP="008638C7">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w:t>
      </w:r>
    </w:p>
  </w:footnote>
  <w:footnote w:id="1355">
    <w:p w:rsidR="000230CB" w:rsidRDefault="000230CB" w:rsidP="008638C7">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 p. 13.</w:t>
      </w:r>
    </w:p>
  </w:footnote>
  <w:footnote w:id="1356">
    <w:p w:rsidR="000230CB" w:rsidRDefault="000230CB" w:rsidP="008638C7">
      <w:pPr>
        <w:pStyle w:val="FootnoteText"/>
      </w:pPr>
      <w:r>
        <w:rPr>
          <w:rStyle w:val="FootnoteReference"/>
        </w:rPr>
        <w:footnoteRef/>
      </w:r>
      <w:r>
        <w:t xml:space="preserve"> </w:t>
      </w:r>
      <w:r>
        <w:tab/>
        <w:t>In its advice to Ofgem, FTI Consulting suggested something similar to this: '</w:t>
      </w:r>
      <w:r w:rsidRPr="00E23B70">
        <w:t>new issue premia are typically transitory phenomena that are unlikely to continue once stability returns to the bond markets</w:t>
      </w:r>
      <w:r>
        <w:t>' (</w:t>
      </w:r>
      <w:r w:rsidRPr="00CD05E3">
        <w:t xml:space="preserve">FTI Consulting, </w:t>
      </w:r>
      <w:r w:rsidRPr="00CD05E3">
        <w:rPr>
          <w:rStyle w:val="AERtextitalic"/>
        </w:rPr>
        <w:t>Cost of capital study for the RIIO</w:t>
      </w:r>
      <w:r>
        <w:rPr>
          <w:rStyle w:val="AERtextitalic"/>
        </w:rPr>
        <w:t>-</w:t>
      </w:r>
      <w:r w:rsidRPr="00CD05E3">
        <w:rPr>
          <w:rStyle w:val="AERtextitalic"/>
        </w:rPr>
        <w:t>T1 and GD1 price controls</w:t>
      </w:r>
      <w:r w:rsidRPr="00CD05E3">
        <w:t xml:space="preserve">, </w:t>
      </w:r>
      <w:r>
        <w:t xml:space="preserve">24 July </w:t>
      </w:r>
      <w:r w:rsidRPr="00CD05E3">
        <w:t>2012, pp. 119–120</w:t>
      </w:r>
      <w:r>
        <w:t xml:space="preserve">). Generally, we also acknowledge that there is some evidence that the new issue premium varies throughout time: see, for example, Fridson, M.S. and Gao, Y., ‘Primary versus secondary pricing of high-yield bonds’, </w:t>
      </w:r>
      <w:r w:rsidRPr="0007154D">
        <w:t>Financial Analysts Journal</w:t>
      </w:r>
      <w:r>
        <w:t>, Vol. 52, No. 3, May/June 1996, pp. 20-27; Lindvall, J.R., 'New Issue Corporate Bonds, Seasoned Market Efficiency and Yield Spreads', Journal of Finance, Vol. 32, No. 4, September 1977, pp. 1057-1067.</w:t>
      </w:r>
    </w:p>
  </w:footnote>
  <w:footnote w:id="1357">
    <w:p w:rsidR="000230CB" w:rsidRDefault="000230CB" w:rsidP="008638C7">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 p. 13.</w:t>
      </w:r>
    </w:p>
  </w:footnote>
  <w:footnote w:id="1358">
    <w:p w:rsidR="000230CB" w:rsidRDefault="000230CB" w:rsidP="008638C7">
      <w:pPr>
        <w:pStyle w:val="FootnoteText"/>
      </w:pPr>
      <w:r>
        <w:rPr>
          <w:rStyle w:val="FootnoteReference"/>
        </w:rPr>
        <w:footnoteRef/>
      </w:r>
      <w:r>
        <w:t xml:space="preserve"> </w:t>
      </w:r>
      <w:r>
        <w:tab/>
        <w:t xml:space="preserve">SACES, quoted in SACOSS, </w:t>
      </w:r>
      <w:r w:rsidRPr="009A4B03">
        <w:rPr>
          <w:rStyle w:val="AERtextitalic"/>
        </w:rPr>
        <w:t>SAPN 2015–2020 regulatory proposal — SACOSS submission re new issue premium</w:t>
      </w:r>
      <w:r>
        <w:t>, 6 February 2015.</w:t>
      </w:r>
    </w:p>
  </w:footnote>
  <w:footnote w:id="1359">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13.</w:t>
      </w:r>
    </w:p>
  </w:footnote>
  <w:footnote w:id="1360">
    <w:p w:rsidR="000230CB" w:rsidRDefault="000230CB" w:rsidP="008638C7">
      <w:pPr>
        <w:pStyle w:val="FootnoteText"/>
      </w:pPr>
      <w:r>
        <w:rPr>
          <w:rStyle w:val="FootnoteReference"/>
        </w:rPr>
        <w:footnoteRef/>
      </w:r>
      <w:r>
        <w:t xml:space="preserve"> </w:t>
      </w:r>
      <w:r>
        <w:tab/>
      </w:r>
      <w:r w:rsidRPr="00CD05E3">
        <w:t xml:space="preserve">CEG, </w:t>
      </w:r>
      <w:r w:rsidRPr="00CD05E3">
        <w:rPr>
          <w:rStyle w:val="AERtextitalic"/>
        </w:rPr>
        <w:t>The new issue premium</w:t>
      </w:r>
      <w:r>
        <w:t>, October 2014, p. 16</w:t>
      </w:r>
      <w:r>
        <w:rPr>
          <w:rFonts w:cs="Gautami"/>
        </w:rPr>
        <w:t>–</w:t>
      </w:r>
      <w:r>
        <w:t>18</w:t>
      </w:r>
      <w:r w:rsidRPr="00CD05E3">
        <w:t>.</w:t>
      </w:r>
      <w:r w:rsidRPr="004D5472">
        <w:t xml:space="preserve"> </w:t>
      </w:r>
      <w:r>
        <w:t>T</w:t>
      </w:r>
      <w:r w:rsidRPr="00820570">
        <w:t>he BVAL curve only includes bonds with a BVAL score of six or higher, which are traded more often and are based on better quality data than bonds with lower scores</w:t>
      </w:r>
      <w:r>
        <w:t>.</w:t>
      </w:r>
      <w:r w:rsidRPr="004D5472">
        <w:t xml:space="preserve"> </w:t>
      </w:r>
      <w:r>
        <w:t xml:space="preserve">For a discussion on BVAL scores, see Bloomberg, </w:t>
      </w:r>
      <w:r w:rsidRPr="002C3447">
        <w:rPr>
          <w:rStyle w:val="AERtextitalic"/>
        </w:rPr>
        <w:t>Bloomberg valuation service: BVAL sector curves &amp; issuer curves</w:t>
      </w:r>
      <w:r>
        <w:t>, 2013.</w:t>
      </w:r>
    </w:p>
  </w:footnote>
  <w:footnote w:id="1361">
    <w:p w:rsidR="000230CB" w:rsidRDefault="000230CB" w:rsidP="008638C7">
      <w:pPr>
        <w:pStyle w:val="FootnoteText"/>
      </w:pPr>
      <w:r>
        <w:rPr>
          <w:rStyle w:val="FootnoteReference"/>
        </w:rPr>
        <w:footnoteRef/>
      </w:r>
      <w:r>
        <w:t xml:space="preserve"> </w:t>
      </w:r>
      <w:r>
        <w:tab/>
      </w:r>
      <w:r w:rsidRPr="00CD05E3">
        <w:t xml:space="preserve">CEG, </w:t>
      </w:r>
      <w:r w:rsidRPr="00CD05E3">
        <w:rPr>
          <w:rStyle w:val="AERtextitalic"/>
        </w:rPr>
        <w:t>The new issue premium</w:t>
      </w:r>
      <w:r>
        <w:t>, October 2014, p. 54</w:t>
      </w:r>
      <w:r w:rsidRPr="00CD05E3">
        <w:t>.</w:t>
      </w:r>
    </w:p>
  </w:footnote>
  <w:footnote w:id="1362">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11.</w:t>
      </w:r>
    </w:p>
  </w:footnote>
  <w:footnote w:id="1363">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12.</w:t>
      </w:r>
    </w:p>
  </w:footnote>
  <w:footnote w:id="1364">
    <w:p w:rsidR="000230CB" w:rsidRPr="00DD03D6" w:rsidRDefault="000230CB" w:rsidP="008638C7">
      <w:pPr>
        <w:pStyle w:val="FootnoteText"/>
        <w:rPr>
          <w:rStyle w:val="AERbody"/>
          <w:sz w:val="16"/>
        </w:rPr>
      </w:pPr>
      <w:r>
        <w:rPr>
          <w:rStyle w:val="FootnoteReference"/>
        </w:rPr>
        <w:footnoteRef/>
      </w:r>
      <w:r>
        <w:t xml:space="preserve"> </w:t>
      </w:r>
      <w:r>
        <w:tab/>
        <w:t>For example, Bank of England staff have stated that corporate bond dealer inventories decreased by more than 75% between 2008 and 2015: Baranova, Y., Chen, L. and Vause, N., '</w:t>
      </w:r>
      <w:r w:rsidRPr="00E65363">
        <w:t>Has corporate bond market liquidity fallen?</w:t>
      </w:r>
      <w:r>
        <w:t xml:space="preserve">', </w:t>
      </w:r>
      <w:r>
        <w:rPr>
          <w:rStyle w:val="AERtextitalic"/>
        </w:rPr>
        <w:t xml:space="preserve">Bank Underground </w:t>
      </w:r>
      <w:r>
        <w:t>(a Bank of England staff blog), 27 August 2015, &lt;</w:t>
      </w:r>
      <w:r w:rsidRPr="00E65363">
        <w:t>https://bankunderground.co.uk/2015/08/27/</w:t>
      </w:r>
      <w:r>
        <w:br/>
      </w:r>
      <w:r w:rsidRPr="00E65363">
        <w:t>has-corporate-bond-market-liquidity-fallen/</w:t>
      </w:r>
      <w:r>
        <w:t>&gt;.</w:t>
      </w:r>
    </w:p>
  </w:footnote>
  <w:footnote w:id="1365">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16.</w:t>
      </w:r>
    </w:p>
  </w:footnote>
  <w:footnote w:id="1366">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15.</w:t>
      </w:r>
    </w:p>
  </w:footnote>
  <w:footnote w:id="1367">
    <w:p w:rsidR="000230CB" w:rsidRDefault="000230CB" w:rsidP="008638C7">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15.</w:t>
      </w:r>
    </w:p>
  </w:footnote>
  <w:footnote w:id="1368">
    <w:p w:rsidR="000230CB" w:rsidRDefault="000230CB" w:rsidP="0091587C">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369">
    <w:p w:rsidR="000230CB" w:rsidRDefault="000230CB" w:rsidP="0091587C">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70">
    <w:p w:rsidR="000230CB" w:rsidRDefault="000230CB" w:rsidP="0091587C">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71">
    <w:p w:rsidR="000230CB" w:rsidRDefault="000230CB" w:rsidP="0091587C">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372">
    <w:p w:rsidR="000230CB" w:rsidRDefault="000230CB" w:rsidP="0091587C">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73">
    <w:p w:rsidR="000230CB" w:rsidRDefault="000230CB" w:rsidP="0091587C">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74">
    <w:p w:rsidR="000230CB" w:rsidRDefault="000230CB" w:rsidP="0091587C">
      <w:pPr>
        <w:pStyle w:val="FootnoteText"/>
      </w:pPr>
      <w:r>
        <w:rPr>
          <w:rStyle w:val="FootnoteReference"/>
        </w:rPr>
        <w:footnoteRef/>
      </w:r>
      <w:r>
        <w:t xml:space="preserve"> </w:t>
      </w:r>
      <w:r>
        <w:tab/>
        <w:t>NER, cl. 6.5.2(k</w:t>
      </w:r>
      <w:r w:rsidRPr="005F1830">
        <w:t>)</w:t>
      </w:r>
      <w:r>
        <w:t>(1) and 6A.6.2(k)(1); NGR, r. 87(11)(1)</w:t>
      </w:r>
      <w:r w:rsidRPr="005F1830">
        <w:t>.</w:t>
      </w:r>
    </w:p>
  </w:footnote>
  <w:footnote w:id="1375">
    <w:p w:rsidR="000230CB" w:rsidRDefault="000230CB" w:rsidP="0091587C">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376">
    <w:p w:rsidR="000230CB" w:rsidRDefault="000230CB" w:rsidP="0091587C">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77">
    <w:p w:rsidR="000230CB" w:rsidRDefault="000230CB" w:rsidP="0091587C">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78">
    <w:p w:rsidR="000230CB" w:rsidRDefault="000230CB" w:rsidP="0091587C">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379">
    <w:p w:rsidR="000230CB" w:rsidRDefault="000230CB" w:rsidP="0091587C">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380">
    <w:p w:rsidR="000230CB" w:rsidRDefault="000230CB" w:rsidP="0091587C">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381">
    <w:p w:rsidR="000230CB" w:rsidRDefault="000230CB" w:rsidP="0091587C">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382">
    <w:p w:rsidR="000230CB" w:rsidRDefault="000230CB" w:rsidP="0091587C">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383">
    <w:p w:rsidR="000230CB" w:rsidRDefault="000230CB" w:rsidP="0091587C">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384">
    <w:p w:rsidR="000230CB" w:rsidRDefault="000230CB" w:rsidP="0091587C">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385">
    <w:p w:rsidR="000230CB" w:rsidRDefault="000230CB" w:rsidP="0091587C">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386">
    <w:p w:rsidR="000230CB" w:rsidRDefault="000230CB" w:rsidP="0091587C">
      <w:pPr>
        <w:pStyle w:val="FootnoteText"/>
      </w:pPr>
      <w:r>
        <w:rPr>
          <w:rStyle w:val="FootnoteReference"/>
        </w:rPr>
        <w:footnoteRef/>
      </w:r>
      <w:r>
        <w:t xml:space="preserve"> </w:t>
      </w:r>
      <w:r>
        <w:tab/>
      </w:r>
      <w:r w:rsidRPr="00F201AD">
        <w:t xml:space="preserve">JEN, </w:t>
      </w:r>
      <w:r w:rsidRPr="0091587C">
        <w:rPr>
          <w:rStyle w:val="AERtextitalic"/>
        </w:rPr>
        <w:t>Regulatory proposal—Attachment 9-2: Rate of return proposal</w:t>
      </w:r>
      <w:r w:rsidRPr="00F201AD">
        <w:t>, 30 April 2015</w:t>
      </w:r>
      <w:r>
        <w:t xml:space="preserve">, pp. 101–102; </w:t>
      </w:r>
      <w:r w:rsidRPr="00F201AD">
        <w:t xml:space="preserve">ActewAGL, </w:t>
      </w:r>
      <w:r w:rsidRPr="0091587C">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87">
    <w:p w:rsidR="000230CB" w:rsidRDefault="000230CB" w:rsidP="0091587C">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388">
    <w:p w:rsidR="000230CB" w:rsidRDefault="000230CB" w:rsidP="0091587C">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89">
    <w:p w:rsidR="000230CB" w:rsidRDefault="000230CB" w:rsidP="0091587C">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390">
    <w:p w:rsidR="000230CB" w:rsidRDefault="000230CB" w:rsidP="0091587C">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391">
    <w:p w:rsidR="000230CB" w:rsidRDefault="000230CB" w:rsidP="0091587C">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92">
    <w:p w:rsidR="000230CB" w:rsidRDefault="000230CB" w:rsidP="0091587C">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93">
    <w:p w:rsidR="000230CB" w:rsidRDefault="000230CB" w:rsidP="0091587C">
      <w:pPr>
        <w:pStyle w:val="FootnoteText"/>
      </w:pPr>
      <w:r>
        <w:rPr>
          <w:rStyle w:val="FootnoteReference"/>
        </w:rPr>
        <w:footnoteRef/>
      </w:r>
      <w:r>
        <w:t xml:space="preserve"> </w:t>
      </w:r>
      <w:r>
        <w:tab/>
        <w:t xml:space="preserve">See AER, </w:t>
      </w:r>
      <w:r w:rsidRPr="0091587C">
        <w:rPr>
          <w:rStyle w:val="AERtextitalic"/>
        </w:rPr>
        <w:t>Draft decision: Australian Gas Networks access arrangement 2016 to 2021: Attachment 3—Rate of return</w:t>
      </w:r>
      <w:r>
        <w:t xml:space="preserve">, November 2015, pp. 609–611. </w:t>
      </w:r>
    </w:p>
  </w:footnote>
  <w:footnote w:id="1394">
    <w:p w:rsidR="000230CB" w:rsidRDefault="000230CB" w:rsidP="0091587C">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95">
    <w:p w:rsidR="000230CB" w:rsidRDefault="000230CB" w:rsidP="0091587C">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396">
    <w:p w:rsidR="000230CB" w:rsidRDefault="000230CB" w:rsidP="0091587C">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97">
    <w:p w:rsidR="000230CB" w:rsidRDefault="000230CB" w:rsidP="0091587C">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98">
    <w:p w:rsidR="000230CB" w:rsidRDefault="000230CB" w:rsidP="0091587C">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399">
    <w:p w:rsidR="000230CB" w:rsidRDefault="000230CB" w:rsidP="0091587C">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400">
    <w:p w:rsidR="000230CB" w:rsidRDefault="000230CB" w:rsidP="0091587C">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401">
    <w:p w:rsidR="000230CB" w:rsidRDefault="000230CB" w:rsidP="0091587C">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402">
    <w:p w:rsidR="000230CB" w:rsidRDefault="000230CB" w:rsidP="0091587C">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403">
    <w:p w:rsidR="000230CB" w:rsidRDefault="000230CB" w:rsidP="0091587C">
      <w:pPr>
        <w:pStyle w:val="FootnoteText"/>
      </w:pPr>
      <w:r>
        <w:rPr>
          <w:rStyle w:val="FootnoteReference"/>
        </w:rPr>
        <w:footnoteRef/>
      </w:r>
      <w:r>
        <w:t xml:space="preserve"> </w:t>
      </w:r>
      <w:r>
        <w:tab/>
        <w:t xml:space="preserve">See AER, </w:t>
      </w:r>
      <w:r w:rsidRPr="0091587C">
        <w:rPr>
          <w:rStyle w:val="AERtextitalic"/>
        </w:rPr>
        <w:t>Preliminary decision: AusNet Services determination 2016 to 2020—Attachment 3: Rate of return</w:t>
      </w:r>
      <w:r>
        <w:t>, October 2015, pp. 601–602.</w:t>
      </w:r>
    </w:p>
  </w:footnote>
  <w:footnote w:id="1404">
    <w:p w:rsidR="000230CB" w:rsidRDefault="000230CB" w:rsidP="0091587C">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405">
    <w:p w:rsidR="000230CB" w:rsidRDefault="000230CB" w:rsidP="0091587C">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406">
    <w:p w:rsidR="000230CB" w:rsidRDefault="000230CB" w:rsidP="0091587C">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407">
    <w:p w:rsidR="000230CB" w:rsidRDefault="000230CB" w:rsidP="0091587C">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408">
    <w:p w:rsidR="000230CB" w:rsidRDefault="000230CB" w:rsidP="0091587C">
      <w:pPr>
        <w:pStyle w:val="FootnoteText"/>
      </w:pPr>
      <w:r>
        <w:rPr>
          <w:rStyle w:val="FootnoteReference"/>
        </w:rPr>
        <w:footnoteRef/>
      </w:r>
      <w:r>
        <w:t xml:space="preserve"> </w:t>
      </w:r>
      <w:r>
        <w:tab/>
        <w:t>NER, cl. 6.5.2(k</w:t>
      </w:r>
      <w:r w:rsidRPr="005F1830">
        <w:t>)</w:t>
      </w:r>
      <w:r>
        <w:t>(1) and 6A.6.2(k)(1); NGR, r. 87(11)(1)</w:t>
      </w:r>
      <w:r w:rsidRPr="005F1830">
        <w:t>.</w:t>
      </w:r>
    </w:p>
  </w:footnote>
  <w:footnote w:id="1409">
    <w:p w:rsidR="000230CB" w:rsidRDefault="000230CB" w:rsidP="006A1171">
      <w:pPr>
        <w:pStyle w:val="FootnoteText"/>
      </w:pPr>
      <w:r>
        <w:rPr>
          <w:rStyle w:val="FootnoteReference"/>
        </w:rPr>
        <w:footnoteRef/>
      </w:r>
      <w:r>
        <w:t xml:space="preserve"> </w:t>
      </w:r>
      <w:r>
        <w:tab/>
        <w:t>This decision determines the return on debt methodology for the 2016–21 access arrangement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NGR, the return on debt methodology for that period must be determined in future decisions that relate to that period.</w:t>
      </w:r>
    </w:p>
  </w:footnote>
  <w:footnote w:id="1410">
    <w:p w:rsidR="000230CB" w:rsidRDefault="000230CB" w:rsidP="006A1171">
      <w:pPr>
        <w:pStyle w:val="FootnoteText"/>
      </w:pPr>
      <w:r>
        <w:rPr>
          <w:rStyle w:val="FootnoteReference"/>
        </w:rPr>
        <w:footnoteRef/>
      </w:r>
      <w:r>
        <w:t xml:space="preserve"> </w:t>
      </w:r>
      <w:r>
        <w:tab/>
        <w:t>NER, cll. 6.5.2(i) and 6A.6.2(i); NGR, r. 87(9).</w:t>
      </w:r>
    </w:p>
  </w:footnote>
  <w:footnote w:id="1411">
    <w:p w:rsidR="000230CB" w:rsidRDefault="000230CB" w:rsidP="006A1171">
      <w:pPr>
        <w:pStyle w:val="FootnoteText"/>
      </w:pPr>
      <w:r>
        <w:rPr>
          <w:rStyle w:val="FootnoteReference"/>
        </w:rPr>
        <w:footnoteRef/>
      </w:r>
      <w:r>
        <w:t xml:space="preserve"> </w:t>
      </w:r>
      <w:r>
        <w:tab/>
        <w:t>NER, cll. 6.5.2(l) and 6A.6.2(l);</w:t>
      </w:r>
      <w:r w:rsidRPr="00543B6D">
        <w:t xml:space="preserve"> </w:t>
      </w:r>
      <w:r>
        <w:t>NGR, r. 87(12).</w:t>
      </w:r>
    </w:p>
  </w:footnote>
  <w:footnote w:id="1412">
    <w:p w:rsidR="000230CB" w:rsidRDefault="000230CB" w:rsidP="006A1171">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 pp. 39–40. While the PTRM Handbook was published with our electricity distribution PTRM, the section of the handbook on the annual debt update is applicable to the version of the PTRM we publish with this final decision for AGN.</w:t>
      </w:r>
    </w:p>
  </w:footnote>
  <w:footnote w:id="1413">
    <w:p w:rsidR="000230CB" w:rsidRDefault="000230CB" w:rsidP="006A117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414">
    <w:p w:rsidR="000230CB" w:rsidRDefault="000230CB" w:rsidP="00CE146C">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415">
    <w:p w:rsidR="000230CB" w:rsidRDefault="000230CB" w:rsidP="00CE146C">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416">
    <w:p w:rsidR="000230CB" w:rsidRDefault="000230CB" w:rsidP="00CE146C">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417">
    <w:p w:rsidR="000230CB" w:rsidRDefault="000230CB" w:rsidP="00CE146C">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418">
    <w:p w:rsidR="000230CB" w:rsidRDefault="000230CB" w:rsidP="00CE146C">
      <w:pPr>
        <w:pStyle w:val="FootnoteText"/>
      </w:pPr>
      <w:r>
        <w:rPr>
          <w:rStyle w:val="FootnoteReference"/>
        </w:rPr>
        <w:footnoteRef/>
      </w:r>
      <w:r>
        <w:t xml:space="preserve"> </w:t>
      </w:r>
      <w:r>
        <w:tab/>
        <w:t>Specifically, from 15 September 2014 to 3 November 2014.</w:t>
      </w:r>
    </w:p>
  </w:footnote>
  <w:footnote w:id="1419">
    <w:p w:rsidR="000230CB" w:rsidRDefault="000230CB" w:rsidP="00CE146C">
      <w:pPr>
        <w:pStyle w:val="FootnoteText"/>
      </w:pPr>
      <w:r>
        <w:rPr>
          <w:rStyle w:val="FootnoteReference"/>
        </w:rPr>
        <w:footnoteRef/>
      </w:r>
      <w:r>
        <w:t xml:space="preserve"> </w:t>
      </w:r>
      <w:r>
        <w:tab/>
        <w:t>Specifically, 14 April 2015.</w:t>
      </w:r>
    </w:p>
  </w:footnote>
  <w:footnote w:id="1420">
    <w:p w:rsidR="000230CB" w:rsidRDefault="000230CB" w:rsidP="00CE146C">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421">
    <w:p w:rsidR="000230CB" w:rsidRDefault="000230CB" w:rsidP="00CE146C">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422">
    <w:p w:rsidR="000230CB" w:rsidRDefault="000230CB" w:rsidP="006A1171">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423">
    <w:p w:rsidR="000230CB" w:rsidRDefault="000230CB" w:rsidP="006A1171">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424">
    <w:p w:rsidR="000230CB" w:rsidRDefault="000230CB" w:rsidP="006A117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25">
    <w:p w:rsidR="000230CB" w:rsidRDefault="000230CB" w:rsidP="006A117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26">
    <w:p w:rsidR="000230CB" w:rsidRDefault="000230CB" w:rsidP="006A1171">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427">
    <w:p w:rsidR="000230CB" w:rsidRDefault="000230CB" w:rsidP="006A1171">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428">
    <w:p w:rsidR="000230CB" w:rsidRDefault="000230CB" w:rsidP="00CE146C">
      <w:pPr>
        <w:pStyle w:val="FootnoteText"/>
      </w:pPr>
      <w:r>
        <w:rPr>
          <w:rStyle w:val="FootnoteReference"/>
        </w:rPr>
        <w:footnoteRef/>
      </w:r>
      <w:r>
        <w:t xml:space="preserve"> </w:t>
      </w:r>
      <w:r>
        <w:tab/>
        <w:t>Subject to the availability of the Bloomberg BVAL curve. For other contingencies, see section J.2.4.</w:t>
      </w:r>
    </w:p>
  </w:footnote>
  <w:footnote w:id="1429">
    <w:p w:rsidR="000230CB" w:rsidRDefault="000230CB" w:rsidP="00CE146C">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430">
    <w:p w:rsidR="000230CB" w:rsidRDefault="000230CB" w:rsidP="006A117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431">
    <w:p w:rsidR="000230CB" w:rsidRDefault="000230CB" w:rsidP="006A1171">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w:t>
      </w:r>
      <w:r w:rsidRPr="00067443">
        <w:t>Appendix</w:t>
      </w:r>
      <w:r>
        <w:t xml:space="preserve"> </w:t>
      </w:r>
      <w:r>
        <w:fldChar w:fldCharType="begin"/>
      </w:r>
      <w:r>
        <w:instrText xml:space="preserve"> REF _Ref451328952 \r \h </w:instrText>
      </w:r>
      <w:r>
        <w:fldChar w:fldCharType="separate"/>
      </w:r>
      <w:r>
        <w:t>I</w:t>
      </w:r>
      <w:r>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432">
    <w:p w:rsidR="000230CB" w:rsidRDefault="000230CB" w:rsidP="00E24D11">
      <w:pPr>
        <w:pStyle w:val="FootnoteText"/>
      </w:pPr>
      <w:r>
        <w:rPr>
          <w:rStyle w:val="FootnoteReference"/>
        </w:rPr>
        <w:footnoteRef/>
      </w:r>
      <w:r>
        <w:t xml:space="preserve"> </w:t>
      </w:r>
      <w:r>
        <w:tab/>
      </w:r>
      <w:r w:rsidRPr="00792721">
        <w:t>NER</w:t>
      </w:r>
      <w:r>
        <w:t>, cll. 6.5.2(l) and 6A.6.2(l); NGR, r. 87(12).</w:t>
      </w:r>
    </w:p>
  </w:footnote>
  <w:footnote w:id="1433">
    <w:p w:rsidR="000230CB" w:rsidRDefault="000230CB" w:rsidP="006A1171">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434">
    <w:p w:rsidR="000230CB" w:rsidRDefault="000230CB" w:rsidP="006A1171">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in our recent October 2015 decisions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435">
    <w:p w:rsidR="000230CB" w:rsidRDefault="000230CB" w:rsidP="006A1171">
      <w:pPr>
        <w:pStyle w:val="FootnoteText"/>
      </w:pPr>
      <w:r>
        <w:rPr>
          <w:rStyle w:val="FootnoteReference"/>
        </w:rPr>
        <w:footnoteRef/>
      </w:r>
      <w:r>
        <w:t xml:space="preserve"> </w:t>
      </w:r>
      <w:r>
        <w:tab/>
        <w:t>Specifically, the spread to CGS.</w:t>
      </w:r>
    </w:p>
  </w:footnote>
  <w:footnote w:id="1436">
    <w:p w:rsidR="000230CB" w:rsidRDefault="000230CB" w:rsidP="006A1171">
      <w:pPr>
        <w:pStyle w:val="FootnoteText"/>
      </w:pPr>
      <w:r>
        <w:rPr>
          <w:rStyle w:val="FootnoteReference"/>
        </w:rPr>
        <w:footnoteRef/>
      </w:r>
      <w:r>
        <w:t xml:space="preserve"> </w:t>
      </w:r>
      <w:r>
        <w:tab/>
      </w:r>
      <w:r w:rsidRPr="00792721">
        <w:t>NER</w:t>
      </w:r>
      <w:r>
        <w:t xml:space="preserve">, </w:t>
      </w:r>
      <w:r w:rsidRPr="00792721">
        <w:t>cl</w:t>
      </w:r>
      <w:r>
        <w:t>l. 6.5.2(l) and 6A.6.2(l); NGR, r. 87(12).</w:t>
      </w:r>
    </w:p>
  </w:footnote>
  <w:footnote w:id="1437">
    <w:p w:rsidR="000230CB" w:rsidRDefault="000230CB" w:rsidP="006A117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438">
    <w:p w:rsidR="000230CB" w:rsidRDefault="000230CB" w:rsidP="006A1171">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439">
    <w:p w:rsidR="000230CB" w:rsidRDefault="000230CB" w:rsidP="006A1171">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a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 103</w:t>
      </w:r>
      <w:r>
        <w:t>.</w:t>
      </w:r>
    </w:p>
  </w:footnote>
  <w:footnote w:id="1440">
    <w:p w:rsidR="000230CB" w:rsidRDefault="000230CB" w:rsidP="00E24D11">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441">
    <w:p w:rsidR="000230CB" w:rsidRDefault="000230CB" w:rsidP="006A1171">
      <w:pPr>
        <w:pStyle w:val="FootnoteText"/>
      </w:pPr>
      <w:r>
        <w:rPr>
          <w:rStyle w:val="FootnoteReference"/>
        </w:rPr>
        <w:footnoteRef/>
      </w:r>
      <w:r>
        <w:t xml:space="preserve"> </w:t>
      </w:r>
      <w:r>
        <w:tab/>
        <w:t>A further possible constraint on the start date is</w:t>
      </w:r>
      <w:r w:rsidRPr="00D76D56">
        <w:t>, as set out in the previous s</w:t>
      </w:r>
      <w:r>
        <w:t>ection, one of our Guideline conditions that</w:t>
      </w:r>
      <w:r w:rsidRPr="00D76D56">
        <w:t xml:space="preserve"> at the time it is nominated all dates in the averaging period must take place in the future.</w:t>
      </w:r>
    </w:p>
  </w:footnote>
  <w:footnote w:id="1442">
    <w:p w:rsidR="000230CB" w:rsidRDefault="000230CB" w:rsidP="002E3C7B">
      <w:pPr>
        <w:pStyle w:val="FootnoteText"/>
      </w:pPr>
      <w:r>
        <w:rPr>
          <w:rStyle w:val="FootnoteReference"/>
        </w:rPr>
        <w:footnoteRef/>
      </w:r>
      <w:r>
        <w:t xml:space="preserve"> </w:t>
      </w:r>
      <w:r>
        <w:tab/>
        <w:t>See section 11.1.1 of attachment 11</w:t>
      </w:r>
      <w:r w:rsidRPr="00805399">
        <w:t xml:space="preserve"> </w:t>
      </w:r>
      <w:r>
        <w:t>of this decision—Reference tariff variation mechanism.</w:t>
      </w:r>
    </w:p>
  </w:footnote>
  <w:footnote w:id="1443">
    <w:p w:rsidR="000230CB" w:rsidRDefault="000230CB" w:rsidP="00C73EA8">
      <w:pPr>
        <w:pStyle w:val="FootnoteText"/>
      </w:pPr>
      <w:r>
        <w:rPr>
          <w:rStyle w:val="FootnoteReference"/>
        </w:rPr>
        <w:footnoteRef/>
      </w:r>
      <w:r>
        <w:t xml:space="preserve"> </w:t>
      </w:r>
      <w:r>
        <w:tab/>
        <w:t>Australian Gas Networks (SA), Revised access arrangement proposal, Attachment 1.5A Post tax revenue model, January 2016.</w:t>
      </w:r>
    </w:p>
  </w:footnote>
  <w:footnote w:id="1444">
    <w:p w:rsidR="000230CB" w:rsidRDefault="000230CB" w:rsidP="00C73EA8">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445">
    <w:p w:rsidR="000230CB" w:rsidRDefault="000230CB" w:rsidP="00C73EA8">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446">
    <w:p w:rsidR="000230CB" w:rsidRDefault="000230CB" w:rsidP="00C73EA8">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447">
    <w:p w:rsidR="000230CB" w:rsidRDefault="000230CB" w:rsidP="00C73EA8">
      <w:pPr>
        <w:pStyle w:val="FootnoteText"/>
      </w:pPr>
      <w:r>
        <w:rPr>
          <w:rStyle w:val="FootnoteReference"/>
        </w:rPr>
        <w:footnoteRef/>
      </w:r>
      <w:r>
        <w:t xml:space="preserve"> </w:t>
      </w:r>
      <w:r>
        <w:tab/>
        <w:t xml:space="preserve">NGR, r. 91(1)  </w:t>
      </w:r>
    </w:p>
  </w:footnote>
  <w:footnote w:id="1448">
    <w:p w:rsidR="000230CB" w:rsidRDefault="000230CB" w:rsidP="00C73EA8">
      <w:pPr>
        <w:pStyle w:val="FootnoteText"/>
      </w:pPr>
      <w:r>
        <w:rPr>
          <w:rStyle w:val="FootnoteReference"/>
        </w:rPr>
        <w:footnoteRef/>
      </w:r>
      <w:r>
        <w:t xml:space="preserve"> </w:t>
      </w:r>
      <w:r>
        <w:tab/>
        <w:t>Australian Gas Networks (SA), Revised access arrangement information, Attachment 10.22 - Response to the draft decision on rate of return, January 2016, p.87.</w:t>
      </w:r>
    </w:p>
  </w:footnote>
  <w:footnote w:id="1449">
    <w:p w:rsidR="000230CB" w:rsidRDefault="000230CB" w:rsidP="00C73EA8">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0CB" w:rsidRDefault="007F1E09">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0230CB">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0CB" w:rsidRDefault="007F1E09">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3370DAC6"/>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3">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819EC"/>
    <w:multiLevelType w:val="multilevel"/>
    <w:tmpl w:val="1250F310"/>
    <w:lvl w:ilvl="0">
      <w:start w:val="1"/>
      <w:numFmt w:val="bullet"/>
      <w:pStyle w:val="AERbulletlistfirststyle"/>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11"/>
  </w:num>
  <w:num w:numId="15">
    <w:abstractNumId w:val="14"/>
  </w:num>
  <w:num w:numId="16">
    <w:abstractNumId w:val="23"/>
  </w:num>
  <w:num w:numId="17">
    <w:abstractNumId w:val="10"/>
  </w:num>
  <w:num w:numId="18">
    <w:abstractNumId w:val="16"/>
  </w:num>
  <w:num w:numId="19">
    <w:abstractNumId w:val="24"/>
  </w:num>
  <w:num w:numId="20">
    <w:abstractNumId w:val="30"/>
  </w:num>
  <w:num w:numId="21">
    <w:abstractNumId w:val="27"/>
  </w:num>
  <w:num w:numId="22">
    <w:abstractNumId w:val="25"/>
  </w:num>
  <w:num w:numId="23">
    <w:abstractNumId w:val="17"/>
  </w:num>
  <w:num w:numId="24">
    <w:abstractNumId w:val="26"/>
  </w:num>
  <w:num w:numId="25">
    <w:abstractNumId w:val="28"/>
  </w:num>
  <w:num w:numId="26">
    <w:abstractNumId w:val="19"/>
  </w:num>
  <w:num w:numId="27">
    <w:abstractNumId w:val="1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1"/>
  </w:num>
  <w:num w:numId="37">
    <w:abstractNumId w:val="9"/>
  </w:num>
  <w:num w:numId="38">
    <w:abstractNumId w:val="32"/>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9">
    <w:abstractNumId w:val="17"/>
    <w:lvlOverride w:ilvl="3">
      <w:lvl w:ilvl="3">
        <w:start w:val="1"/>
        <w:numFmt w:val="decimal"/>
        <w:lvlText w:val="%2.%3.%4"/>
        <w:lvlJc w:val="left"/>
        <w:pPr>
          <w:tabs>
            <w:tab w:val="num" w:pos="0"/>
          </w:tabs>
          <w:ind w:left="0" w:hanging="851"/>
        </w:pPr>
        <w:rPr>
          <w:rFonts w:hint="default"/>
        </w:rPr>
      </w:lvl>
    </w:lvlOverride>
  </w:num>
  <w:num w:numId="40">
    <w:abstractNumId w:val="13"/>
  </w:num>
  <w:num w:numId="4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2">
      <w:lvl w:ilvl="2">
        <w:start w:val="1"/>
        <w:numFmt w:val="lowerLetter"/>
        <w:lvlText w:val="%3."/>
        <w:lvlJc w:val="left"/>
        <w:pPr>
          <w:tabs>
            <w:tab w:val="num" w:pos="720"/>
          </w:tabs>
          <w:ind w:left="720" w:hanging="363"/>
        </w:pPr>
        <w:rPr>
          <w:rFonts w:hint="default"/>
        </w:rPr>
      </w:lvl>
    </w:lvlOverride>
  </w:num>
  <w:num w:numId="43">
    <w:abstractNumId w:val="22"/>
  </w:num>
  <w:num w:numId="44">
    <w:abstractNumId w:val="8"/>
    <w:lvlOverride w:ilvl="0">
      <w:startOverride w:val="1"/>
    </w:lvlOverride>
  </w:num>
  <w:num w:numId="45">
    <w:abstractNumId w:val="31"/>
  </w:num>
  <w:num w:numId="46">
    <w:abstractNumId w:val="18"/>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wbRfSEvmh0BYOpJm0+HoYJ1iVURRZ2LQm6OsSgaF2UA=" w:saltValue="dFY3yun0GC3fyfg7feF7q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716\AER15 4330  AER - Final decision Amadeus Gas Pipeline Access Arrangement - Attachment 3 - Rate of return - April 2016.DOCX"/>
  </w:docVars>
  <w:rsids>
    <w:rsidRoot w:val="00961A4A"/>
    <w:rsid w:val="00004633"/>
    <w:rsid w:val="00010286"/>
    <w:rsid w:val="00012F9E"/>
    <w:rsid w:val="00020C31"/>
    <w:rsid w:val="00021202"/>
    <w:rsid w:val="00021C2B"/>
    <w:rsid w:val="00022C2A"/>
    <w:rsid w:val="000230CB"/>
    <w:rsid w:val="0002517F"/>
    <w:rsid w:val="00026495"/>
    <w:rsid w:val="000315E6"/>
    <w:rsid w:val="0003578C"/>
    <w:rsid w:val="000401AF"/>
    <w:rsid w:val="00041B81"/>
    <w:rsid w:val="00041DDA"/>
    <w:rsid w:val="00063247"/>
    <w:rsid w:val="000633D3"/>
    <w:rsid w:val="00063A92"/>
    <w:rsid w:val="000667B3"/>
    <w:rsid w:val="00067443"/>
    <w:rsid w:val="00070F9F"/>
    <w:rsid w:val="0007137B"/>
    <w:rsid w:val="0007291C"/>
    <w:rsid w:val="00081D8E"/>
    <w:rsid w:val="000831A9"/>
    <w:rsid w:val="00085663"/>
    <w:rsid w:val="00085EBF"/>
    <w:rsid w:val="00085F93"/>
    <w:rsid w:val="00087C25"/>
    <w:rsid w:val="00091B15"/>
    <w:rsid w:val="000A1E7C"/>
    <w:rsid w:val="000A3020"/>
    <w:rsid w:val="000A6C7B"/>
    <w:rsid w:val="000B0360"/>
    <w:rsid w:val="000C2B40"/>
    <w:rsid w:val="000D01F4"/>
    <w:rsid w:val="000D06C1"/>
    <w:rsid w:val="000D122C"/>
    <w:rsid w:val="000D3016"/>
    <w:rsid w:val="000D64F2"/>
    <w:rsid w:val="000D7F32"/>
    <w:rsid w:val="000E1819"/>
    <w:rsid w:val="000E4821"/>
    <w:rsid w:val="000E6C72"/>
    <w:rsid w:val="000F0B2B"/>
    <w:rsid w:val="000F2243"/>
    <w:rsid w:val="000F3E72"/>
    <w:rsid w:val="000F48B1"/>
    <w:rsid w:val="000F723D"/>
    <w:rsid w:val="001010DE"/>
    <w:rsid w:val="00103A67"/>
    <w:rsid w:val="00106ECB"/>
    <w:rsid w:val="00114691"/>
    <w:rsid w:val="00115BE8"/>
    <w:rsid w:val="00116EB2"/>
    <w:rsid w:val="00124609"/>
    <w:rsid w:val="00126A4C"/>
    <w:rsid w:val="00131556"/>
    <w:rsid w:val="00133AD3"/>
    <w:rsid w:val="00142AB6"/>
    <w:rsid w:val="0014573B"/>
    <w:rsid w:val="001463A8"/>
    <w:rsid w:val="00146AE3"/>
    <w:rsid w:val="00147E70"/>
    <w:rsid w:val="00155B89"/>
    <w:rsid w:val="00156DCC"/>
    <w:rsid w:val="001573E4"/>
    <w:rsid w:val="00160756"/>
    <w:rsid w:val="0017232E"/>
    <w:rsid w:val="00174102"/>
    <w:rsid w:val="0017480F"/>
    <w:rsid w:val="001754EE"/>
    <w:rsid w:val="00175F26"/>
    <w:rsid w:val="00180157"/>
    <w:rsid w:val="00182467"/>
    <w:rsid w:val="00185CB9"/>
    <w:rsid w:val="00186AB3"/>
    <w:rsid w:val="00186F77"/>
    <w:rsid w:val="00191978"/>
    <w:rsid w:val="001926A4"/>
    <w:rsid w:val="00192AD5"/>
    <w:rsid w:val="001B2788"/>
    <w:rsid w:val="001B39F0"/>
    <w:rsid w:val="001B3F62"/>
    <w:rsid w:val="001B45A0"/>
    <w:rsid w:val="001B45C0"/>
    <w:rsid w:val="001B6F2E"/>
    <w:rsid w:val="001B764A"/>
    <w:rsid w:val="001B7D00"/>
    <w:rsid w:val="001C17E7"/>
    <w:rsid w:val="001D055E"/>
    <w:rsid w:val="001E009C"/>
    <w:rsid w:val="001E5FE2"/>
    <w:rsid w:val="001F05A4"/>
    <w:rsid w:val="001F492E"/>
    <w:rsid w:val="001F6DA3"/>
    <w:rsid w:val="002010BC"/>
    <w:rsid w:val="002016E7"/>
    <w:rsid w:val="00201F98"/>
    <w:rsid w:val="00202E03"/>
    <w:rsid w:val="0020478D"/>
    <w:rsid w:val="0020492C"/>
    <w:rsid w:val="00205A33"/>
    <w:rsid w:val="0022444D"/>
    <w:rsid w:val="00224DB9"/>
    <w:rsid w:val="00227DCE"/>
    <w:rsid w:val="00230C56"/>
    <w:rsid w:val="0023276C"/>
    <w:rsid w:val="00233775"/>
    <w:rsid w:val="00251745"/>
    <w:rsid w:val="00263AC0"/>
    <w:rsid w:val="00264264"/>
    <w:rsid w:val="0026772D"/>
    <w:rsid w:val="00277554"/>
    <w:rsid w:val="00286874"/>
    <w:rsid w:val="00290C63"/>
    <w:rsid w:val="00296B65"/>
    <w:rsid w:val="0029724D"/>
    <w:rsid w:val="002A6688"/>
    <w:rsid w:val="002A7DEF"/>
    <w:rsid w:val="002B1003"/>
    <w:rsid w:val="002B360A"/>
    <w:rsid w:val="002B573C"/>
    <w:rsid w:val="002C233C"/>
    <w:rsid w:val="002D72E8"/>
    <w:rsid w:val="002E3C7B"/>
    <w:rsid w:val="002E7B22"/>
    <w:rsid w:val="002F21C3"/>
    <w:rsid w:val="002F2C3D"/>
    <w:rsid w:val="002F4410"/>
    <w:rsid w:val="002F7986"/>
    <w:rsid w:val="00301B40"/>
    <w:rsid w:val="00301F1F"/>
    <w:rsid w:val="003029A5"/>
    <w:rsid w:val="003029EE"/>
    <w:rsid w:val="0030370B"/>
    <w:rsid w:val="00304AD0"/>
    <w:rsid w:val="00305CC8"/>
    <w:rsid w:val="00307F6D"/>
    <w:rsid w:val="0031142A"/>
    <w:rsid w:val="003130C9"/>
    <w:rsid w:val="00316845"/>
    <w:rsid w:val="003177A2"/>
    <w:rsid w:val="00320869"/>
    <w:rsid w:val="00326B1D"/>
    <w:rsid w:val="003271B5"/>
    <w:rsid w:val="00327A1E"/>
    <w:rsid w:val="00331264"/>
    <w:rsid w:val="003338A2"/>
    <w:rsid w:val="00334901"/>
    <w:rsid w:val="00334C8D"/>
    <w:rsid w:val="0033548E"/>
    <w:rsid w:val="00343A18"/>
    <w:rsid w:val="00344473"/>
    <w:rsid w:val="00344D08"/>
    <w:rsid w:val="003457F9"/>
    <w:rsid w:val="00346546"/>
    <w:rsid w:val="0034699D"/>
    <w:rsid w:val="00347114"/>
    <w:rsid w:val="003518B3"/>
    <w:rsid w:val="0035779C"/>
    <w:rsid w:val="003578CD"/>
    <w:rsid w:val="003666F2"/>
    <w:rsid w:val="003717D8"/>
    <w:rsid w:val="003846F1"/>
    <w:rsid w:val="003903D4"/>
    <w:rsid w:val="00391BF0"/>
    <w:rsid w:val="00392D6F"/>
    <w:rsid w:val="003931A7"/>
    <w:rsid w:val="00393646"/>
    <w:rsid w:val="003B484F"/>
    <w:rsid w:val="003B7FBA"/>
    <w:rsid w:val="003C00F6"/>
    <w:rsid w:val="003C27A5"/>
    <w:rsid w:val="003F174D"/>
    <w:rsid w:val="003F399F"/>
    <w:rsid w:val="003F572D"/>
    <w:rsid w:val="003F7442"/>
    <w:rsid w:val="0040168D"/>
    <w:rsid w:val="004128C5"/>
    <w:rsid w:val="00415F31"/>
    <w:rsid w:val="0042205D"/>
    <w:rsid w:val="00423A77"/>
    <w:rsid w:val="00433556"/>
    <w:rsid w:val="00435EF3"/>
    <w:rsid w:val="00436ECD"/>
    <w:rsid w:val="00452473"/>
    <w:rsid w:val="00456727"/>
    <w:rsid w:val="0045777E"/>
    <w:rsid w:val="00461B0F"/>
    <w:rsid w:val="00461C29"/>
    <w:rsid w:val="00464D8E"/>
    <w:rsid w:val="00465D2F"/>
    <w:rsid w:val="004675C7"/>
    <w:rsid w:val="00474EC7"/>
    <w:rsid w:val="00480B4B"/>
    <w:rsid w:val="00485DC4"/>
    <w:rsid w:val="004A05E8"/>
    <w:rsid w:val="004A0A5E"/>
    <w:rsid w:val="004A0F92"/>
    <w:rsid w:val="004A43D1"/>
    <w:rsid w:val="004B355D"/>
    <w:rsid w:val="004B4412"/>
    <w:rsid w:val="004C0C43"/>
    <w:rsid w:val="004C2FA9"/>
    <w:rsid w:val="004C348C"/>
    <w:rsid w:val="004C3B1E"/>
    <w:rsid w:val="004C6A30"/>
    <w:rsid w:val="004D1A96"/>
    <w:rsid w:val="004D55BA"/>
    <w:rsid w:val="004E16A4"/>
    <w:rsid w:val="004E22EC"/>
    <w:rsid w:val="004E2A4C"/>
    <w:rsid w:val="004E4474"/>
    <w:rsid w:val="004F2761"/>
    <w:rsid w:val="004F6A0E"/>
    <w:rsid w:val="00506144"/>
    <w:rsid w:val="00515964"/>
    <w:rsid w:val="00526720"/>
    <w:rsid w:val="00527450"/>
    <w:rsid w:val="00530128"/>
    <w:rsid w:val="00530EB4"/>
    <w:rsid w:val="00532467"/>
    <w:rsid w:val="00537FD6"/>
    <w:rsid w:val="00541B9C"/>
    <w:rsid w:val="005506D5"/>
    <w:rsid w:val="005506EB"/>
    <w:rsid w:val="00551321"/>
    <w:rsid w:val="0055550E"/>
    <w:rsid w:val="00564A4D"/>
    <w:rsid w:val="0056588A"/>
    <w:rsid w:val="00567BA5"/>
    <w:rsid w:val="00571B35"/>
    <w:rsid w:val="00571D57"/>
    <w:rsid w:val="00577226"/>
    <w:rsid w:val="00577A09"/>
    <w:rsid w:val="0058025E"/>
    <w:rsid w:val="005829C2"/>
    <w:rsid w:val="00583C56"/>
    <w:rsid w:val="00584D8F"/>
    <w:rsid w:val="00585A4E"/>
    <w:rsid w:val="00586819"/>
    <w:rsid w:val="00590989"/>
    <w:rsid w:val="00590BC4"/>
    <w:rsid w:val="00595436"/>
    <w:rsid w:val="0059650E"/>
    <w:rsid w:val="0059704C"/>
    <w:rsid w:val="005A2BC3"/>
    <w:rsid w:val="005A404D"/>
    <w:rsid w:val="005B1E3C"/>
    <w:rsid w:val="005B3950"/>
    <w:rsid w:val="005B3FB7"/>
    <w:rsid w:val="005B4D33"/>
    <w:rsid w:val="005B704A"/>
    <w:rsid w:val="005C0A7F"/>
    <w:rsid w:val="005C26CC"/>
    <w:rsid w:val="005C4C9C"/>
    <w:rsid w:val="005C6218"/>
    <w:rsid w:val="005D03B1"/>
    <w:rsid w:val="005D7BA2"/>
    <w:rsid w:val="005E36C2"/>
    <w:rsid w:val="005F0183"/>
    <w:rsid w:val="005F0630"/>
    <w:rsid w:val="005F727F"/>
    <w:rsid w:val="006007DE"/>
    <w:rsid w:val="00601638"/>
    <w:rsid w:val="00610EF9"/>
    <w:rsid w:val="00612F4F"/>
    <w:rsid w:val="00615C6B"/>
    <w:rsid w:val="00620DC3"/>
    <w:rsid w:val="00621DCE"/>
    <w:rsid w:val="00630E2D"/>
    <w:rsid w:val="00632D6D"/>
    <w:rsid w:val="00640812"/>
    <w:rsid w:val="00642C3E"/>
    <w:rsid w:val="00651C3A"/>
    <w:rsid w:val="00651CB2"/>
    <w:rsid w:val="006560CA"/>
    <w:rsid w:val="0066104A"/>
    <w:rsid w:val="00663DAD"/>
    <w:rsid w:val="00665649"/>
    <w:rsid w:val="00666E20"/>
    <w:rsid w:val="006672AA"/>
    <w:rsid w:val="00675E20"/>
    <w:rsid w:val="00676679"/>
    <w:rsid w:val="006812E7"/>
    <w:rsid w:val="00683C89"/>
    <w:rsid w:val="00684C16"/>
    <w:rsid w:val="0068661A"/>
    <w:rsid w:val="00691D38"/>
    <w:rsid w:val="00691D9A"/>
    <w:rsid w:val="006A1171"/>
    <w:rsid w:val="006A7CB9"/>
    <w:rsid w:val="006A7D76"/>
    <w:rsid w:val="006B2395"/>
    <w:rsid w:val="006B45A4"/>
    <w:rsid w:val="006B4CF9"/>
    <w:rsid w:val="006B7371"/>
    <w:rsid w:val="006B785B"/>
    <w:rsid w:val="006B7AC8"/>
    <w:rsid w:val="006C1736"/>
    <w:rsid w:val="006C4798"/>
    <w:rsid w:val="006C774D"/>
    <w:rsid w:val="006D22F2"/>
    <w:rsid w:val="006D4885"/>
    <w:rsid w:val="006D550F"/>
    <w:rsid w:val="006E327B"/>
    <w:rsid w:val="006E3F76"/>
    <w:rsid w:val="006F1F83"/>
    <w:rsid w:val="006F3AD1"/>
    <w:rsid w:val="006F3FC8"/>
    <w:rsid w:val="006F5099"/>
    <w:rsid w:val="006F6183"/>
    <w:rsid w:val="006F7B0A"/>
    <w:rsid w:val="0070011E"/>
    <w:rsid w:val="00701CAB"/>
    <w:rsid w:val="00707563"/>
    <w:rsid w:val="0071133C"/>
    <w:rsid w:val="0072348C"/>
    <w:rsid w:val="00724A37"/>
    <w:rsid w:val="007303C3"/>
    <w:rsid w:val="00734DBF"/>
    <w:rsid w:val="00741C46"/>
    <w:rsid w:val="00741E23"/>
    <w:rsid w:val="007429BE"/>
    <w:rsid w:val="00743223"/>
    <w:rsid w:val="00746E01"/>
    <w:rsid w:val="00747EEA"/>
    <w:rsid w:val="007524AA"/>
    <w:rsid w:val="00752C8D"/>
    <w:rsid w:val="00753256"/>
    <w:rsid w:val="00757364"/>
    <w:rsid w:val="00757BDF"/>
    <w:rsid w:val="007609D0"/>
    <w:rsid w:val="00763618"/>
    <w:rsid w:val="00763E5D"/>
    <w:rsid w:val="00767740"/>
    <w:rsid w:val="00770B60"/>
    <w:rsid w:val="00777EE6"/>
    <w:rsid w:val="00782EEA"/>
    <w:rsid w:val="00785836"/>
    <w:rsid w:val="007A4183"/>
    <w:rsid w:val="007A7002"/>
    <w:rsid w:val="007A7136"/>
    <w:rsid w:val="007A7F63"/>
    <w:rsid w:val="007B011C"/>
    <w:rsid w:val="007B186E"/>
    <w:rsid w:val="007B2C72"/>
    <w:rsid w:val="007B6C52"/>
    <w:rsid w:val="007B7E4E"/>
    <w:rsid w:val="007C0E47"/>
    <w:rsid w:val="007C1C53"/>
    <w:rsid w:val="007C74BB"/>
    <w:rsid w:val="007D456E"/>
    <w:rsid w:val="007E42F4"/>
    <w:rsid w:val="007E4904"/>
    <w:rsid w:val="007E4CB5"/>
    <w:rsid w:val="007E5A4F"/>
    <w:rsid w:val="007E6AB8"/>
    <w:rsid w:val="007F0400"/>
    <w:rsid w:val="007F066B"/>
    <w:rsid w:val="007F1E09"/>
    <w:rsid w:val="007F213A"/>
    <w:rsid w:val="007F5BB8"/>
    <w:rsid w:val="007F75C4"/>
    <w:rsid w:val="008033C4"/>
    <w:rsid w:val="00805399"/>
    <w:rsid w:val="008057DE"/>
    <w:rsid w:val="00806C88"/>
    <w:rsid w:val="00810070"/>
    <w:rsid w:val="0081034E"/>
    <w:rsid w:val="00812B03"/>
    <w:rsid w:val="00815CAC"/>
    <w:rsid w:val="008168E7"/>
    <w:rsid w:val="00821004"/>
    <w:rsid w:val="008221F2"/>
    <w:rsid w:val="00825985"/>
    <w:rsid w:val="008301A7"/>
    <w:rsid w:val="008301B2"/>
    <w:rsid w:val="008344F6"/>
    <w:rsid w:val="0083510F"/>
    <w:rsid w:val="008408C5"/>
    <w:rsid w:val="008414FC"/>
    <w:rsid w:val="00846126"/>
    <w:rsid w:val="00847887"/>
    <w:rsid w:val="00850F8F"/>
    <w:rsid w:val="00851209"/>
    <w:rsid w:val="0085722A"/>
    <w:rsid w:val="008577ED"/>
    <w:rsid w:val="00862B19"/>
    <w:rsid w:val="008638C7"/>
    <w:rsid w:val="00864B35"/>
    <w:rsid w:val="00866141"/>
    <w:rsid w:val="00866D99"/>
    <w:rsid w:val="00867CF6"/>
    <w:rsid w:val="008749E0"/>
    <w:rsid w:val="00874CD0"/>
    <w:rsid w:val="00882481"/>
    <w:rsid w:val="008837AC"/>
    <w:rsid w:val="00896136"/>
    <w:rsid w:val="00897666"/>
    <w:rsid w:val="008A587D"/>
    <w:rsid w:val="008B1340"/>
    <w:rsid w:val="008B35CD"/>
    <w:rsid w:val="008B5FCC"/>
    <w:rsid w:val="008B7544"/>
    <w:rsid w:val="008C3374"/>
    <w:rsid w:val="008C39F0"/>
    <w:rsid w:val="008C5486"/>
    <w:rsid w:val="008C63DF"/>
    <w:rsid w:val="008C708B"/>
    <w:rsid w:val="008D1661"/>
    <w:rsid w:val="008D5374"/>
    <w:rsid w:val="008D6800"/>
    <w:rsid w:val="008E7031"/>
    <w:rsid w:val="008E77DE"/>
    <w:rsid w:val="008F07A3"/>
    <w:rsid w:val="008F16B3"/>
    <w:rsid w:val="008F34DD"/>
    <w:rsid w:val="008F4F73"/>
    <w:rsid w:val="009001B6"/>
    <w:rsid w:val="00900E1B"/>
    <w:rsid w:val="00901C3C"/>
    <w:rsid w:val="009038ED"/>
    <w:rsid w:val="00903BDA"/>
    <w:rsid w:val="00910AFB"/>
    <w:rsid w:val="0091587C"/>
    <w:rsid w:val="009233EE"/>
    <w:rsid w:val="00923CFC"/>
    <w:rsid w:val="00923FA9"/>
    <w:rsid w:val="00924C68"/>
    <w:rsid w:val="00925AC8"/>
    <w:rsid w:val="009272AD"/>
    <w:rsid w:val="009277DC"/>
    <w:rsid w:val="00941740"/>
    <w:rsid w:val="009460AA"/>
    <w:rsid w:val="0094641C"/>
    <w:rsid w:val="0095169E"/>
    <w:rsid w:val="00951978"/>
    <w:rsid w:val="00953161"/>
    <w:rsid w:val="00961115"/>
    <w:rsid w:val="00961A4A"/>
    <w:rsid w:val="00965078"/>
    <w:rsid w:val="009661DE"/>
    <w:rsid w:val="00967EF1"/>
    <w:rsid w:val="009753C8"/>
    <w:rsid w:val="00983C25"/>
    <w:rsid w:val="009856B7"/>
    <w:rsid w:val="00985C86"/>
    <w:rsid w:val="00987A05"/>
    <w:rsid w:val="00992431"/>
    <w:rsid w:val="00995279"/>
    <w:rsid w:val="00996BAF"/>
    <w:rsid w:val="009972D8"/>
    <w:rsid w:val="009A39AD"/>
    <w:rsid w:val="009A4FAA"/>
    <w:rsid w:val="009A5113"/>
    <w:rsid w:val="009A539D"/>
    <w:rsid w:val="009A5FC3"/>
    <w:rsid w:val="009A7EFE"/>
    <w:rsid w:val="009B5DC8"/>
    <w:rsid w:val="009B6F84"/>
    <w:rsid w:val="009B7343"/>
    <w:rsid w:val="009B74B0"/>
    <w:rsid w:val="009C691D"/>
    <w:rsid w:val="009C698C"/>
    <w:rsid w:val="009D2B38"/>
    <w:rsid w:val="009D3906"/>
    <w:rsid w:val="009D6B46"/>
    <w:rsid w:val="009F4940"/>
    <w:rsid w:val="009F5BA1"/>
    <w:rsid w:val="009F7961"/>
    <w:rsid w:val="00A02A88"/>
    <w:rsid w:val="00A02C23"/>
    <w:rsid w:val="00A050AF"/>
    <w:rsid w:val="00A0562E"/>
    <w:rsid w:val="00A06085"/>
    <w:rsid w:val="00A0726D"/>
    <w:rsid w:val="00A12EBE"/>
    <w:rsid w:val="00A14C69"/>
    <w:rsid w:val="00A15DA6"/>
    <w:rsid w:val="00A16596"/>
    <w:rsid w:val="00A2303E"/>
    <w:rsid w:val="00A32FBB"/>
    <w:rsid w:val="00A37246"/>
    <w:rsid w:val="00A379F8"/>
    <w:rsid w:val="00A403A8"/>
    <w:rsid w:val="00A428EE"/>
    <w:rsid w:val="00A4478A"/>
    <w:rsid w:val="00A44852"/>
    <w:rsid w:val="00A4650A"/>
    <w:rsid w:val="00A50502"/>
    <w:rsid w:val="00A53AFC"/>
    <w:rsid w:val="00A56F1B"/>
    <w:rsid w:val="00A577D7"/>
    <w:rsid w:val="00A57D04"/>
    <w:rsid w:val="00A60A26"/>
    <w:rsid w:val="00A61598"/>
    <w:rsid w:val="00A7259C"/>
    <w:rsid w:val="00A820EF"/>
    <w:rsid w:val="00A84A99"/>
    <w:rsid w:val="00A84F46"/>
    <w:rsid w:val="00A871F4"/>
    <w:rsid w:val="00A90AA4"/>
    <w:rsid w:val="00A923BF"/>
    <w:rsid w:val="00AA1057"/>
    <w:rsid w:val="00AB47E1"/>
    <w:rsid w:val="00AB7CE8"/>
    <w:rsid w:val="00AC1B2C"/>
    <w:rsid w:val="00AC3264"/>
    <w:rsid w:val="00AD3884"/>
    <w:rsid w:val="00AD64E1"/>
    <w:rsid w:val="00AD7373"/>
    <w:rsid w:val="00AD7B56"/>
    <w:rsid w:val="00AD7F1D"/>
    <w:rsid w:val="00AE1BF1"/>
    <w:rsid w:val="00AE723D"/>
    <w:rsid w:val="00AF0DD2"/>
    <w:rsid w:val="00B0209D"/>
    <w:rsid w:val="00B02961"/>
    <w:rsid w:val="00B04908"/>
    <w:rsid w:val="00B04B4C"/>
    <w:rsid w:val="00B07CEA"/>
    <w:rsid w:val="00B10FFB"/>
    <w:rsid w:val="00B13048"/>
    <w:rsid w:val="00B15269"/>
    <w:rsid w:val="00B1716D"/>
    <w:rsid w:val="00B17A1D"/>
    <w:rsid w:val="00B207A0"/>
    <w:rsid w:val="00B259BE"/>
    <w:rsid w:val="00B37069"/>
    <w:rsid w:val="00B40CAA"/>
    <w:rsid w:val="00B444C4"/>
    <w:rsid w:val="00B514DD"/>
    <w:rsid w:val="00B51F3F"/>
    <w:rsid w:val="00B52AF0"/>
    <w:rsid w:val="00B561BD"/>
    <w:rsid w:val="00B56838"/>
    <w:rsid w:val="00B56E03"/>
    <w:rsid w:val="00B61EDF"/>
    <w:rsid w:val="00B66414"/>
    <w:rsid w:val="00B74AC5"/>
    <w:rsid w:val="00B757A6"/>
    <w:rsid w:val="00B80604"/>
    <w:rsid w:val="00B8080B"/>
    <w:rsid w:val="00B82223"/>
    <w:rsid w:val="00B87BA5"/>
    <w:rsid w:val="00B87C39"/>
    <w:rsid w:val="00B90CB4"/>
    <w:rsid w:val="00B9562D"/>
    <w:rsid w:val="00BA0731"/>
    <w:rsid w:val="00BA4665"/>
    <w:rsid w:val="00BA47EE"/>
    <w:rsid w:val="00BB2233"/>
    <w:rsid w:val="00BB2FB2"/>
    <w:rsid w:val="00BB3304"/>
    <w:rsid w:val="00BB3FD7"/>
    <w:rsid w:val="00BB4FA1"/>
    <w:rsid w:val="00BB6848"/>
    <w:rsid w:val="00BB7528"/>
    <w:rsid w:val="00BC18DE"/>
    <w:rsid w:val="00BC2FAF"/>
    <w:rsid w:val="00BC42EF"/>
    <w:rsid w:val="00BC70E6"/>
    <w:rsid w:val="00BD0920"/>
    <w:rsid w:val="00BD0C45"/>
    <w:rsid w:val="00BD310B"/>
    <w:rsid w:val="00BD3446"/>
    <w:rsid w:val="00BE1F1B"/>
    <w:rsid w:val="00BE3A7E"/>
    <w:rsid w:val="00BE47B5"/>
    <w:rsid w:val="00BF0C8F"/>
    <w:rsid w:val="00BF0CD7"/>
    <w:rsid w:val="00BF47B4"/>
    <w:rsid w:val="00C04223"/>
    <w:rsid w:val="00C153DA"/>
    <w:rsid w:val="00C24ADD"/>
    <w:rsid w:val="00C25FA6"/>
    <w:rsid w:val="00C275C4"/>
    <w:rsid w:val="00C30637"/>
    <w:rsid w:val="00C34C86"/>
    <w:rsid w:val="00C36F19"/>
    <w:rsid w:val="00C42ACA"/>
    <w:rsid w:val="00C5122C"/>
    <w:rsid w:val="00C538A9"/>
    <w:rsid w:val="00C53B5A"/>
    <w:rsid w:val="00C54434"/>
    <w:rsid w:val="00C54F5A"/>
    <w:rsid w:val="00C569B4"/>
    <w:rsid w:val="00C56A01"/>
    <w:rsid w:val="00C56A3E"/>
    <w:rsid w:val="00C67A92"/>
    <w:rsid w:val="00C73102"/>
    <w:rsid w:val="00C73EA8"/>
    <w:rsid w:val="00C7497E"/>
    <w:rsid w:val="00C74D43"/>
    <w:rsid w:val="00C81568"/>
    <w:rsid w:val="00C8215D"/>
    <w:rsid w:val="00C84560"/>
    <w:rsid w:val="00C84F52"/>
    <w:rsid w:val="00C86679"/>
    <w:rsid w:val="00C97CDF"/>
    <w:rsid w:val="00CA1ED0"/>
    <w:rsid w:val="00CA2ABF"/>
    <w:rsid w:val="00CA2C1D"/>
    <w:rsid w:val="00CA489E"/>
    <w:rsid w:val="00CA52A2"/>
    <w:rsid w:val="00CB0279"/>
    <w:rsid w:val="00CB666B"/>
    <w:rsid w:val="00CC1847"/>
    <w:rsid w:val="00CC301D"/>
    <w:rsid w:val="00CC7F1D"/>
    <w:rsid w:val="00CD19EE"/>
    <w:rsid w:val="00CD50B0"/>
    <w:rsid w:val="00CE146C"/>
    <w:rsid w:val="00CE484B"/>
    <w:rsid w:val="00CE4900"/>
    <w:rsid w:val="00CF0DEE"/>
    <w:rsid w:val="00CF2C05"/>
    <w:rsid w:val="00CF4551"/>
    <w:rsid w:val="00CF598C"/>
    <w:rsid w:val="00CF6EDE"/>
    <w:rsid w:val="00D006AE"/>
    <w:rsid w:val="00D00E8E"/>
    <w:rsid w:val="00D01CF0"/>
    <w:rsid w:val="00D01EFD"/>
    <w:rsid w:val="00D0442A"/>
    <w:rsid w:val="00D06055"/>
    <w:rsid w:val="00D066B7"/>
    <w:rsid w:val="00D17683"/>
    <w:rsid w:val="00D33284"/>
    <w:rsid w:val="00D36FCC"/>
    <w:rsid w:val="00D4167E"/>
    <w:rsid w:val="00D41E80"/>
    <w:rsid w:val="00D442F5"/>
    <w:rsid w:val="00D45694"/>
    <w:rsid w:val="00D46BD3"/>
    <w:rsid w:val="00D55F59"/>
    <w:rsid w:val="00D608F6"/>
    <w:rsid w:val="00D60EFF"/>
    <w:rsid w:val="00D61388"/>
    <w:rsid w:val="00D61A54"/>
    <w:rsid w:val="00D61F3D"/>
    <w:rsid w:val="00D64275"/>
    <w:rsid w:val="00D64DEA"/>
    <w:rsid w:val="00D66C2D"/>
    <w:rsid w:val="00D673C6"/>
    <w:rsid w:val="00D701C4"/>
    <w:rsid w:val="00D7168E"/>
    <w:rsid w:val="00D71E57"/>
    <w:rsid w:val="00D72A51"/>
    <w:rsid w:val="00D75AA2"/>
    <w:rsid w:val="00D7645E"/>
    <w:rsid w:val="00D806F7"/>
    <w:rsid w:val="00D80893"/>
    <w:rsid w:val="00D80969"/>
    <w:rsid w:val="00D84854"/>
    <w:rsid w:val="00D848B4"/>
    <w:rsid w:val="00D86B06"/>
    <w:rsid w:val="00D92CF1"/>
    <w:rsid w:val="00D92D38"/>
    <w:rsid w:val="00D950F5"/>
    <w:rsid w:val="00DA0BCC"/>
    <w:rsid w:val="00DA4752"/>
    <w:rsid w:val="00DA4F44"/>
    <w:rsid w:val="00DA61F3"/>
    <w:rsid w:val="00DA6B93"/>
    <w:rsid w:val="00DA6F94"/>
    <w:rsid w:val="00DB0F93"/>
    <w:rsid w:val="00DB1A67"/>
    <w:rsid w:val="00DB4FCE"/>
    <w:rsid w:val="00DB5074"/>
    <w:rsid w:val="00DB5B21"/>
    <w:rsid w:val="00DC11FB"/>
    <w:rsid w:val="00DC7981"/>
    <w:rsid w:val="00DD1C15"/>
    <w:rsid w:val="00DD3371"/>
    <w:rsid w:val="00DE1093"/>
    <w:rsid w:val="00DE3B6E"/>
    <w:rsid w:val="00DE4EFA"/>
    <w:rsid w:val="00DE5520"/>
    <w:rsid w:val="00DE563D"/>
    <w:rsid w:val="00DE5E2E"/>
    <w:rsid w:val="00DE772C"/>
    <w:rsid w:val="00DF1D9A"/>
    <w:rsid w:val="00DF312A"/>
    <w:rsid w:val="00E04818"/>
    <w:rsid w:val="00E06442"/>
    <w:rsid w:val="00E06BCF"/>
    <w:rsid w:val="00E1001C"/>
    <w:rsid w:val="00E10A41"/>
    <w:rsid w:val="00E11949"/>
    <w:rsid w:val="00E214F6"/>
    <w:rsid w:val="00E23993"/>
    <w:rsid w:val="00E24D11"/>
    <w:rsid w:val="00E257D6"/>
    <w:rsid w:val="00E25B8C"/>
    <w:rsid w:val="00E2786A"/>
    <w:rsid w:val="00E30478"/>
    <w:rsid w:val="00E33504"/>
    <w:rsid w:val="00E3544F"/>
    <w:rsid w:val="00E51D65"/>
    <w:rsid w:val="00E6200B"/>
    <w:rsid w:val="00E65C85"/>
    <w:rsid w:val="00E66199"/>
    <w:rsid w:val="00E711C7"/>
    <w:rsid w:val="00E7494F"/>
    <w:rsid w:val="00E755EC"/>
    <w:rsid w:val="00E7624D"/>
    <w:rsid w:val="00E86079"/>
    <w:rsid w:val="00E943F9"/>
    <w:rsid w:val="00E97242"/>
    <w:rsid w:val="00EA38F3"/>
    <w:rsid w:val="00EA3D42"/>
    <w:rsid w:val="00EA48B1"/>
    <w:rsid w:val="00EA4C63"/>
    <w:rsid w:val="00EA6B1B"/>
    <w:rsid w:val="00EB5BC8"/>
    <w:rsid w:val="00EB606C"/>
    <w:rsid w:val="00EC04F1"/>
    <w:rsid w:val="00EC1B2B"/>
    <w:rsid w:val="00EC32E5"/>
    <w:rsid w:val="00ED0EC2"/>
    <w:rsid w:val="00ED3474"/>
    <w:rsid w:val="00ED7323"/>
    <w:rsid w:val="00EE1C5F"/>
    <w:rsid w:val="00EE28F3"/>
    <w:rsid w:val="00EE50D1"/>
    <w:rsid w:val="00EE51AC"/>
    <w:rsid w:val="00EE77FA"/>
    <w:rsid w:val="00EE7A83"/>
    <w:rsid w:val="00EF1B7A"/>
    <w:rsid w:val="00EF5110"/>
    <w:rsid w:val="00F032A3"/>
    <w:rsid w:val="00F0334E"/>
    <w:rsid w:val="00F0657A"/>
    <w:rsid w:val="00F07967"/>
    <w:rsid w:val="00F10411"/>
    <w:rsid w:val="00F14D24"/>
    <w:rsid w:val="00F15882"/>
    <w:rsid w:val="00F16B72"/>
    <w:rsid w:val="00F171E0"/>
    <w:rsid w:val="00F20BD3"/>
    <w:rsid w:val="00F2526A"/>
    <w:rsid w:val="00F2740A"/>
    <w:rsid w:val="00F35081"/>
    <w:rsid w:val="00F373A5"/>
    <w:rsid w:val="00F42E08"/>
    <w:rsid w:val="00F44991"/>
    <w:rsid w:val="00F47559"/>
    <w:rsid w:val="00F5015C"/>
    <w:rsid w:val="00F547BE"/>
    <w:rsid w:val="00F57907"/>
    <w:rsid w:val="00F60C79"/>
    <w:rsid w:val="00F61176"/>
    <w:rsid w:val="00F62A30"/>
    <w:rsid w:val="00F64C7B"/>
    <w:rsid w:val="00F65B25"/>
    <w:rsid w:val="00F676DD"/>
    <w:rsid w:val="00F71667"/>
    <w:rsid w:val="00F73895"/>
    <w:rsid w:val="00F75A26"/>
    <w:rsid w:val="00F76706"/>
    <w:rsid w:val="00F768C8"/>
    <w:rsid w:val="00F8120D"/>
    <w:rsid w:val="00F81B8D"/>
    <w:rsid w:val="00F83FAD"/>
    <w:rsid w:val="00F8653A"/>
    <w:rsid w:val="00F91F55"/>
    <w:rsid w:val="00F92349"/>
    <w:rsid w:val="00F93B21"/>
    <w:rsid w:val="00F952A0"/>
    <w:rsid w:val="00F97695"/>
    <w:rsid w:val="00FA3C7F"/>
    <w:rsid w:val="00FB1BF3"/>
    <w:rsid w:val="00FB4402"/>
    <w:rsid w:val="00FB60FE"/>
    <w:rsid w:val="00FB74E2"/>
    <w:rsid w:val="00FC6E26"/>
    <w:rsid w:val="00FC71DC"/>
    <w:rsid w:val="00FD2ED2"/>
    <w:rsid w:val="00FD5614"/>
    <w:rsid w:val="00FD5A09"/>
    <w:rsid w:val="00FD5E78"/>
    <w:rsid w:val="00FE0BE1"/>
    <w:rsid w:val="00FE1CFF"/>
    <w:rsid w:val="00FE1DE9"/>
    <w:rsid w:val="00FE2924"/>
    <w:rsid w:val="00FE36AF"/>
    <w:rsid w:val="00FE39C2"/>
    <w:rsid w:val="00FE3C32"/>
    <w:rsid w:val="00FE64AE"/>
    <w:rsid w:val="00FF6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2E3C7B"/>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71133C"/>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71133C"/>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71133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71133C"/>
    <w:rPr>
      <w:rFonts w:asciiTheme="majorHAnsi" w:eastAsiaTheme="majorEastAsia" w:hAnsiTheme="majorHAnsi" w:cstheme="majorBidi"/>
      <w:sz w:val="24"/>
      <w:szCs w:val="24"/>
      <w:shd w:val="pct2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2E3C7B"/>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60"/>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paragraph" w:styleId="PlainText">
    <w:name w:val="Plain Text"/>
    <w:basedOn w:val="Normal"/>
    <w:link w:val="PlainTextChar"/>
    <w:uiPriority w:val="99"/>
    <w:unhideWhenUsed/>
    <w:rsid w:val="0071133C"/>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71133C"/>
    <w:rPr>
      <w:rFonts w:ascii="Verdana" w:eastAsia="Times New Roman" w:hAnsi="Verdana" w:cs="Times New Roman"/>
      <w:sz w:val="24"/>
      <w:szCs w:val="24"/>
      <w:lang w:eastAsia="en-AU"/>
    </w:rPr>
  </w:style>
  <w:style w:type="paragraph" w:styleId="MessageHeader">
    <w:name w:val="Message Header"/>
    <w:basedOn w:val="Normal"/>
    <w:link w:val="MessageHeaderChar"/>
    <w:uiPriority w:val="99"/>
    <w:unhideWhenUsed/>
    <w:rsid w:val="0071133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71133C"/>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1515850">
      <w:bodyDiv w:val="1"/>
      <w:marLeft w:val="0"/>
      <w:marRight w:val="0"/>
      <w:marTop w:val="0"/>
      <w:marBottom w:val="0"/>
      <w:divBdr>
        <w:top w:val="none" w:sz="0" w:space="0" w:color="auto"/>
        <w:left w:val="none" w:sz="0" w:space="0" w:color="auto"/>
        <w:bottom w:val="none" w:sz="0" w:space="0" w:color="auto"/>
        <w:right w:val="none" w:sz="0" w:space="0" w:color="auto"/>
      </w:divBdr>
    </w:div>
    <w:div w:id="869223434">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6990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1C6E6A-CE21-4BC6-AC27-42B2408F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E7A1E523</Template>
  <TotalTime>0</TotalTime>
  <Pages>382</Pages>
  <Words>114564</Words>
  <Characters>653016</Characters>
  <Application>Microsoft Office Word</Application>
  <DocSecurity>0</DocSecurity>
  <Lines>5441</Lines>
  <Paragraphs>1532</Paragraphs>
  <ScaleCrop>false</ScaleCrop>
  <Company/>
  <LinksUpToDate>false</LinksUpToDate>
  <CharactersWithSpaces>766048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2016-05-25T03:30:00Z</dcterms:created>
  <dcterms:modified xsi:type="dcterms:W3CDTF">2016-05-25T03:30:00Z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