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91F9474" wp14:editId="0B8EF724">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2D1A80" w:rsidP="008F07A3">
          <w:pPr>
            <w:pStyle w:val="ReportSubtitle"/>
          </w:pPr>
          <w:r>
            <w:t>Australian Gas Networks</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F2740A">
            <w:t>4</w:t>
          </w:r>
          <w:r w:rsidR="00DA4752">
            <w:t xml:space="preserve"> </w:t>
          </w:r>
          <w:r w:rsidR="00415F31">
            <w:rPr>
              <w:rFonts w:cs="Arial"/>
            </w:rPr>
            <w:t>–</w:t>
          </w:r>
          <w:r w:rsidR="00DA4752">
            <w:t xml:space="preserve"> </w:t>
          </w:r>
          <w:r w:rsidR="00F2740A">
            <w:t>Value of imputation credits</w:t>
          </w:r>
        </w:p>
        <w:p w:rsidR="000A6C7B" w:rsidRPr="00327A1E" w:rsidRDefault="00082D57" w:rsidP="00327A1E">
          <w:pPr>
            <w:pStyle w:val="ReportDate"/>
          </w:pPr>
          <w:r>
            <w:t xml:space="preserve">May </w:t>
          </w:r>
          <w:r w:rsidR="00A2303E">
            <w:t>2016</w:t>
          </w:r>
        </w:p>
      </w:sdtContent>
    </w:sdt>
    <w:p w:rsidR="00327A1E" w:rsidRPr="00290C63" w:rsidRDefault="00327A1E" w:rsidP="00290C63">
      <w:r>
        <w:br w:type="page"/>
      </w:r>
    </w:p>
    <w:p w:rsidR="000A6C7B" w:rsidRDefault="00034D58"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rsidRPr="00881794">
        <w:rPr>
          <w:sz w:val="20"/>
          <w:szCs w:val="20"/>
        </w:rPr>
        <w:t>the</w:t>
      </w:r>
      <w:r>
        <w:t xml:space="preserv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51928258"/>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31086A" w:rsidRPr="0031086A" w:rsidRDefault="0031086A" w:rsidP="0031086A">
      <w:r w:rsidRPr="0031086A">
        <w:t>This attachment forms part of the AER's final decision on the access arrangement for Australian Gas Networks South Australian distribution network for 2016–21. It should be read with all other parts of the final decision.</w:t>
      </w:r>
    </w:p>
    <w:p w:rsidR="00415F31" w:rsidRDefault="00415F31" w:rsidP="0031086A">
      <w:r>
        <w:t xml:space="preserve">The </w:t>
      </w:r>
      <w:r w:rsidR="00A2303E">
        <w:t>final</w:t>
      </w:r>
      <w:r w:rsidR="005C0A7F">
        <w:t xml:space="preserve"> </w:t>
      </w:r>
      <w:r>
        <w:t>decision includes the following documents:</w:t>
      </w:r>
    </w:p>
    <w:p w:rsidR="00415F31" w:rsidRDefault="00415F31" w:rsidP="0031086A">
      <w:r>
        <w:t>Overview</w:t>
      </w:r>
    </w:p>
    <w:p w:rsidR="0070011E" w:rsidRDefault="0070011E" w:rsidP="0031086A">
      <w:r>
        <w:t xml:space="preserve">Attachment 1 - </w:t>
      </w:r>
      <w:r w:rsidR="00EE77FA">
        <w:t>Services covered by the access arrangement</w:t>
      </w:r>
    </w:p>
    <w:p w:rsidR="0070011E" w:rsidRDefault="0070011E" w:rsidP="0031086A">
      <w:r>
        <w:t xml:space="preserve">Attachment 2 - </w:t>
      </w:r>
      <w:r w:rsidR="00EE77FA">
        <w:t>Capital base</w:t>
      </w:r>
    </w:p>
    <w:p w:rsidR="0070011E" w:rsidRDefault="0070011E" w:rsidP="0031086A">
      <w:r>
        <w:t xml:space="preserve">Attachment 3 - </w:t>
      </w:r>
      <w:r w:rsidR="00EE77FA">
        <w:t>R</w:t>
      </w:r>
      <w:r>
        <w:t>ate of return</w:t>
      </w:r>
    </w:p>
    <w:p w:rsidR="0070011E" w:rsidRDefault="0070011E" w:rsidP="0031086A">
      <w:r>
        <w:t>Attachment 4 - Value of imputation credits</w:t>
      </w:r>
    </w:p>
    <w:p w:rsidR="0070011E" w:rsidRDefault="0070011E" w:rsidP="0031086A">
      <w:r>
        <w:t>Attachment 5 - Regulatory depreciation</w:t>
      </w:r>
    </w:p>
    <w:p w:rsidR="0070011E" w:rsidRDefault="0070011E" w:rsidP="0031086A">
      <w:r>
        <w:t xml:space="preserve">Attachment 6 - Capital expenditure </w:t>
      </w:r>
    </w:p>
    <w:p w:rsidR="0070011E" w:rsidRDefault="0070011E" w:rsidP="0031086A">
      <w:r>
        <w:t>Attachment 7 - Operating expenditure</w:t>
      </w:r>
    </w:p>
    <w:p w:rsidR="0070011E" w:rsidRDefault="0070011E" w:rsidP="0031086A">
      <w:r>
        <w:t>Attachment 8 - Corporate income tax</w:t>
      </w:r>
    </w:p>
    <w:p w:rsidR="0070011E" w:rsidRDefault="0070011E" w:rsidP="0031086A">
      <w:r>
        <w:t xml:space="preserve">Attachment 9 - Efficiency </w:t>
      </w:r>
      <w:r w:rsidR="00EE77FA">
        <w:t>carryover mechanism</w:t>
      </w:r>
    </w:p>
    <w:p w:rsidR="0070011E" w:rsidRDefault="0070011E" w:rsidP="0031086A">
      <w:r>
        <w:t xml:space="preserve">Attachment 10 - </w:t>
      </w:r>
      <w:r w:rsidR="00EE77FA">
        <w:t>Reference tariff setting</w:t>
      </w:r>
    </w:p>
    <w:p w:rsidR="0070011E" w:rsidRDefault="0070011E" w:rsidP="0031086A">
      <w:r>
        <w:t xml:space="preserve">Attachment 11 - </w:t>
      </w:r>
      <w:r w:rsidR="00EE77FA">
        <w:t>Reference tariff variation mechanism</w:t>
      </w:r>
    </w:p>
    <w:p w:rsidR="0070011E" w:rsidRDefault="0070011E" w:rsidP="0031086A">
      <w:r>
        <w:t xml:space="preserve">Attachment 12 - </w:t>
      </w:r>
      <w:r w:rsidR="00EE77FA">
        <w:t>Non-tariff components</w:t>
      </w:r>
    </w:p>
    <w:p w:rsidR="0070011E" w:rsidRDefault="0070011E" w:rsidP="0031086A">
      <w:r>
        <w:t xml:space="preserve">Attachment 13 - </w:t>
      </w:r>
      <w:r w:rsidR="00EE77FA">
        <w:t>Demand</w:t>
      </w:r>
    </w:p>
    <w:p w:rsidR="002D1A80" w:rsidRDefault="002D1A80" w:rsidP="0031086A">
      <w:r>
        <w:t>Attachment 14 - Other incentive schemes</w:t>
      </w:r>
    </w:p>
    <w:p w:rsidR="00DE563D" w:rsidRPr="00A72B34" w:rsidRDefault="00DE563D" w:rsidP="00DE772C">
      <w:pPr>
        <w:pStyle w:val="UnnumberedHeading"/>
        <w:numPr>
          <w:ilvl w:val="0"/>
          <w:numId w:val="23"/>
        </w:numPr>
      </w:pPr>
      <w:bookmarkStart w:id="6" w:name="_Toc403144133"/>
      <w:bookmarkStart w:id="7" w:name="_Toc451928259"/>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20B39" w:rsidRDefault="009945B8">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 </w:instrText>
          </w:r>
          <w:r>
            <w:rPr>
              <w:color w:val="auto"/>
              <w:sz w:val="22"/>
            </w:rPr>
            <w:fldChar w:fldCharType="separate"/>
          </w:r>
          <w:hyperlink w:anchor="_Toc451928258" w:history="1">
            <w:r w:rsidR="00820B39" w:rsidRPr="00A2694E">
              <w:rPr>
                <w:rStyle w:val="Hyperlink"/>
              </w:rPr>
              <w:t>Note</w:t>
            </w:r>
            <w:r w:rsidR="00820B39">
              <w:rPr>
                <w:webHidden/>
              </w:rPr>
              <w:tab/>
            </w:r>
            <w:r w:rsidR="00820B39">
              <w:rPr>
                <w:webHidden/>
              </w:rPr>
              <w:fldChar w:fldCharType="begin"/>
            </w:r>
            <w:r w:rsidR="00820B39">
              <w:rPr>
                <w:webHidden/>
              </w:rPr>
              <w:instrText xml:space="preserve"> PAGEREF _Toc451928258 \h </w:instrText>
            </w:r>
            <w:r w:rsidR="00820B39">
              <w:rPr>
                <w:webHidden/>
              </w:rPr>
            </w:r>
            <w:r w:rsidR="00820B39">
              <w:rPr>
                <w:webHidden/>
              </w:rPr>
              <w:fldChar w:fldCharType="separate"/>
            </w:r>
            <w:r w:rsidR="00820B39">
              <w:rPr>
                <w:webHidden/>
              </w:rPr>
              <w:t>4-3</w:t>
            </w:r>
            <w:r w:rsidR="00820B39">
              <w:rPr>
                <w:webHidden/>
              </w:rPr>
              <w:fldChar w:fldCharType="end"/>
            </w:r>
          </w:hyperlink>
        </w:p>
        <w:p w:rsidR="00820B39" w:rsidRDefault="00984055">
          <w:pPr>
            <w:pStyle w:val="TOC1"/>
            <w:rPr>
              <w:rFonts w:asciiTheme="minorHAnsi" w:eastAsiaTheme="minorEastAsia" w:hAnsiTheme="minorHAnsi"/>
              <w:b w:val="0"/>
              <w:color w:val="auto"/>
              <w:sz w:val="22"/>
              <w:lang w:val="en-AU" w:eastAsia="en-AU"/>
            </w:rPr>
          </w:pPr>
          <w:hyperlink w:anchor="_Toc451928259" w:history="1">
            <w:r w:rsidR="00820B39" w:rsidRPr="00A2694E">
              <w:rPr>
                <w:rStyle w:val="Hyperlink"/>
              </w:rPr>
              <w:t>Contents</w:t>
            </w:r>
            <w:r w:rsidR="00820B39">
              <w:rPr>
                <w:webHidden/>
              </w:rPr>
              <w:tab/>
            </w:r>
            <w:r w:rsidR="00820B39">
              <w:rPr>
                <w:webHidden/>
              </w:rPr>
              <w:fldChar w:fldCharType="begin"/>
            </w:r>
            <w:r w:rsidR="00820B39">
              <w:rPr>
                <w:webHidden/>
              </w:rPr>
              <w:instrText xml:space="preserve"> PAGEREF _Toc451928259 \h </w:instrText>
            </w:r>
            <w:r w:rsidR="00820B39">
              <w:rPr>
                <w:webHidden/>
              </w:rPr>
            </w:r>
            <w:r w:rsidR="00820B39">
              <w:rPr>
                <w:webHidden/>
              </w:rPr>
              <w:fldChar w:fldCharType="separate"/>
            </w:r>
            <w:r w:rsidR="00820B39">
              <w:rPr>
                <w:webHidden/>
              </w:rPr>
              <w:t>4-4</w:t>
            </w:r>
            <w:r w:rsidR="00820B39">
              <w:rPr>
                <w:webHidden/>
              </w:rPr>
              <w:fldChar w:fldCharType="end"/>
            </w:r>
          </w:hyperlink>
        </w:p>
        <w:p w:rsidR="00820B39" w:rsidRDefault="00984055">
          <w:pPr>
            <w:pStyle w:val="TOC1"/>
            <w:rPr>
              <w:rFonts w:asciiTheme="minorHAnsi" w:eastAsiaTheme="minorEastAsia" w:hAnsiTheme="minorHAnsi"/>
              <w:b w:val="0"/>
              <w:color w:val="auto"/>
              <w:sz w:val="22"/>
              <w:lang w:val="en-AU" w:eastAsia="en-AU"/>
            </w:rPr>
          </w:pPr>
          <w:hyperlink w:anchor="_Toc451928260" w:history="1">
            <w:r w:rsidR="00820B39" w:rsidRPr="00A2694E">
              <w:rPr>
                <w:rStyle w:val="Hyperlink"/>
              </w:rPr>
              <w:t>Shortened forms</w:t>
            </w:r>
            <w:r w:rsidR="00820B39">
              <w:rPr>
                <w:webHidden/>
              </w:rPr>
              <w:tab/>
            </w:r>
            <w:r w:rsidR="00820B39">
              <w:rPr>
                <w:webHidden/>
              </w:rPr>
              <w:fldChar w:fldCharType="begin"/>
            </w:r>
            <w:r w:rsidR="00820B39">
              <w:rPr>
                <w:webHidden/>
              </w:rPr>
              <w:instrText xml:space="preserve"> PAGEREF _Toc451928260 \h </w:instrText>
            </w:r>
            <w:r w:rsidR="00820B39">
              <w:rPr>
                <w:webHidden/>
              </w:rPr>
            </w:r>
            <w:r w:rsidR="00820B39">
              <w:rPr>
                <w:webHidden/>
              </w:rPr>
              <w:fldChar w:fldCharType="separate"/>
            </w:r>
            <w:r w:rsidR="00820B39">
              <w:rPr>
                <w:webHidden/>
              </w:rPr>
              <w:t>4-6</w:t>
            </w:r>
            <w:r w:rsidR="00820B39">
              <w:rPr>
                <w:webHidden/>
              </w:rPr>
              <w:fldChar w:fldCharType="end"/>
            </w:r>
          </w:hyperlink>
        </w:p>
        <w:p w:rsidR="00820B39" w:rsidRDefault="00984055">
          <w:pPr>
            <w:pStyle w:val="TOC1"/>
            <w:rPr>
              <w:rFonts w:asciiTheme="minorHAnsi" w:eastAsiaTheme="minorEastAsia" w:hAnsiTheme="minorHAnsi"/>
              <w:b w:val="0"/>
              <w:color w:val="auto"/>
              <w:sz w:val="22"/>
              <w:lang w:val="en-AU" w:eastAsia="en-AU"/>
            </w:rPr>
          </w:pPr>
          <w:hyperlink w:anchor="_Toc451928261" w:history="1">
            <w:r w:rsidR="00820B39" w:rsidRPr="00A2694E">
              <w:rPr>
                <w:rStyle w:val="Hyperlink"/>
              </w:rPr>
              <w:t>4</w:t>
            </w:r>
            <w:r w:rsidR="00820B39">
              <w:rPr>
                <w:rFonts w:asciiTheme="minorHAnsi" w:eastAsiaTheme="minorEastAsia" w:hAnsiTheme="minorHAnsi"/>
                <w:b w:val="0"/>
                <w:color w:val="auto"/>
                <w:sz w:val="22"/>
                <w:lang w:val="en-AU" w:eastAsia="en-AU"/>
              </w:rPr>
              <w:tab/>
            </w:r>
            <w:r w:rsidR="00820B39" w:rsidRPr="00A2694E">
              <w:rPr>
                <w:rStyle w:val="Hyperlink"/>
              </w:rPr>
              <w:t>Value of imputation credits</w:t>
            </w:r>
            <w:r w:rsidR="00820B39">
              <w:rPr>
                <w:webHidden/>
              </w:rPr>
              <w:tab/>
            </w:r>
            <w:r w:rsidR="00820B39">
              <w:rPr>
                <w:webHidden/>
              </w:rPr>
              <w:fldChar w:fldCharType="begin"/>
            </w:r>
            <w:r w:rsidR="00820B39">
              <w:rPr>
                <w:webHidden/>
              </w:rPr>
              <w:instrText xml:space="preserve"> PAGEREF _Toc451928261 \h </w:instrText>
            </w:r>
            <w:r w:rsidR="00820B39">
              <w:rPr>
                <w:webHidden/>
              </w:rPr>
            </w:r>
            <w:r w:rsidR="00820B39">
              <w:rPr>
                <w:webHidden/>
              </w:rPr>
              <w:fldChar w:fldCharType="separate"/>
            </w:r>
            <w:r w:rsidR="00820B39">
              <w:rPr>
                <w:webHidden/>
              </w:rPr>
              <w:t>4-8</w:t>
            </w:r>
            <w:r w:rsidR="00820B39">
              <w:rPr>
                <w:webHidden/>
              </w:rPr>
              <w:fldChar w:fldCharType="end"/>
            </w:r>
          </w:hyperlink>
        </w:p>
        <w:p w:rsidR="00820B39" w:rsidRDefault="00984055">
          <w:pPr>
            <w:pStyle w:val="TOC2"/>
            <w:rPr>
              <w:rFonts w:asciiTheme="minorHAnsi" w:eastAsiaTheme="minorEastAsia" w:hAnsiTheme="minorHAnsi"/>
              <w:b w:val="0"/>
              <w:color w:val="auto"/>
              <w:sz w:val="22"/>
              <w:lang w:eastAsia="en-AU"/>
            </w:rPr>
          </w:pPr>
          <w:hyperlink w:anchor="_Toc451928262" w:history="1">
            <w:r w:rsidR="00820B39" w:rsidRPr="00A2694E">
              <w:rPr>
                <w:rStyle w:val="Hyperlink"/>
              </w:rPr>
              <w:t>4.1</w:t>
            </w:r>
            <w:r w:rsidR="00820B39">
              <w:rPr>
                <w:rFonts w:asciiTheme="minorHAnsi" w:eastAsiaTheme="minorEastAsia" w:hAnsiTheme="minorHAnsi"/>
                <w:b w:val="0"/>
                <w:color w:val="auto"/>
                <w:sz w:val="22"/>
                <w:lang w:eastAsia="en-AU"/>
              </w:rPr>
              <w:tab/>
            </w:r>
            <w:r w:rsidR="00820B39" w:rsidRPr="00A2694E">
              <w:rPr>
                <w:rStyle w:val="Hyperlink"/>
              </w:rPr>
              <w:t>Final decision</w:t>
            </w:r>
            <w:r w:rsidR="00820B39">
              <w:rPr>
                <w:webHidden/>
              </w:rPr>
              <w:tab/>
            </w:r>
            <w:r w:rsidR="00820B39">
              <w:rPr>
                <w:webHidden/>
              </w:rPr>
              <w:fldChar w:fldCharType="begin"/>
            </w:r>
            <w:r w:rsidR="00820B39">
              <w:rPr>
                <w:webHidden/>
              </w:rPr>
              <w:instrText xml:space="preserve"> PAGEREF _Toc451928262 \h </w:instrText>
            </w:r>
            <w:r w:rsidR="00820B39">
              <w:rPr>
                <w:webHidden/>
              </w:rPr>
            </w:r>
            <w:r w:rsidR="00820B39">
              <w:rPr>
                <w:webHidden/>
              </w:rPr>
              <w:fldChar w:fldCharType="separate"/>
            </w:r>
            <w:r w:rsidR="00820B39">
              <w:rPr>
                <w:webHidden/>
              </w:rPr>
              <w:t>4-8</w:t>
            </w:r>
            <w:r w:rsidR="00820B39">
              <w:rPr>
                <w:webHidden/>
              </w:rPr>
              <w:fldChar w:fldCharType="end"/>
            </w:r>
          </w:hyperlink>
        </w:p>
        <w:p w:rsidR="00820B39" w:rsidRDefault="00984055">
          <w:pPr>
            <w:pStyle w:val="TOC2"/>
            <w:rPr>
              <w:rFonts w:asciiTheme="minorHAnsi" w:eastAsiaTheme="minorEastAsia" w:hAnsiTheme="minorHAnsi"/>
              <w:b w:val="0"/>
              <w:color w:val="auto"/>
              <w:sz w:val="22"/>
              <w:lang w:eastAsia="en-AU"/>
            </w:rPr>
          </w:pPr>
          <w:hyperlink w:anchor="_Toc451928263" w:history="1">
            <w:r w:rsidR="00820B39" w:rsidRPr="00A2694E">
              <w:rPr>
                <w:rStyle w:val="Hyperlink"/>
              </w:rPr>
              <w:t>4.2</w:t>
            </w:r>
            <w:r w:rsidR="00820B39">
              <w:rPr>
                <w:rFonts w:asciiTheme="minorHAnsi" w:eastAsiaTheme="minorEastAsia" w:hAnsiTheme="minorHAnsi"/>
                <w:b w:val="0"/>
                <w:color w:val="auto"/>
                <w:sz w:val="22"/>
                <w:lang w:eastAsia="en-AU"/>
              </w:rPr>
              <w:tab/>
            </w:r>
            <w:r w:rsidR="00820B39" w:rsidRPr="00A2694E">
              <w:rPr>
                <w:rStyle w:val="Hyperlink"/>
              </w:rPr>
              <w:t>AGN's revised proposal</w:t>
            </w:r>
            <w:r w:rsidR="00820B39">
              <w:rPr>
                <w:webHidden/>
              </w:rPr>
              <w:tab/>
            </w:r>
            <w:r w:rsidR="00820B39">
              <w:rPr>
                <w:webHidden/>
              </w:rPr>
              <w:fldChar w:fldCharType="begin"/>
            </w:r>
            <w:r w:rsidR="00820B39">
              <w:rPr>
                <w:webHidden/>
              </w:rPr>
              <w:instrText xml:space="preserve"> PAGEREF _Toc451928263 \h </w:instrText>
            </w:r>
            <w:r w:rsidR="00820B39">
              <w:rPr>
                <w:webHidden/>
              </w:rPr>
            </w:r>
            <w:r w:rsidR="00820B39">
              <w:rPr>
                <w:webHidden/>
              </w:rPr>
              <w:fldChar w:fldCharType="separate"/>
            </w:r>
            <w:r w:rsidR="00820B39">
              <w:rPr>
                <w:webHidden/>
              </w:rPr>
              <w:t>4-16</w:t>
            </w:r>
            <w:r w:rsidR="00820B39">
              <w:rPr>
                <w:webHidden/>
              </w:rPr>
              <w:fldChar w:fldCharType="end"/>
            </w:r>
          </w:hyperlink>
        </w:p>
        <w:p w:rsidR="00820B39" w:rsidRDefault="00984055">
          <w:pPr>
            <w:pStyle w:val="TOC2"/>
            <w:rPr>
              <w:rFonts w:asciiTheme="minorHAnsi" w:eastAsiaTheme="minorEastAsia" w:hAnsiTheme="minorHAnsi"/>
              <w:b w:val="0"/>
              <w:color w:val="auto"/>
              <w:sz w:val="22"/>
              <w:lang w:eastAsia="en-AU"/>
            </w:rPr>
          </w:pPr>
          <w:hyperlink w:anchor="_Toc451928264" w:history="1">
            <w:r w:rsidR="00820B39" w:rsidRPr="00A2694E">
              <w:rPr>
                <w:rStyle w:val="Hyperlink"/>
              </w:rPr>
              <w:t>4.3</w:t>
            </w:r>
            <w:r w:rsidR="00820B39">
              <w:rPr>
                <w:rFonts w:asciiTheme="minorHAnsi" w:eastAsiaTheme="minorEastAsia" w:hAnsiTheme="minorHAnsi"/>
                <w:b w:val="0"/>
                <w:color w:val="auto"/>
                <w:sz w:val="22"/>
                <w:lang w:eastAsia="en-AU"/>
              </w:rPr>
              <w:tab/>
            </w:r>
            <w:r w:rsidR="00820B39" w:rsidRPr="00A2694E">
              <w:rPr>
                <w:rStyle w:val="Hyperlink"/>
              </w:rPr>
              <w:t>AER’s assessment approach</w:t>
            </w:r>
            <w:r w:rsidR="00820B39">
              <w:rPr>
                <w:webHidden/>
              </w:rPr>
              <w:tab/>
            </w:r>
            <w:r w:rsidR="00820B39">
              <w:rPr>
                <w:webHidden/>
              </w:rPr>
              <w:fldChar w:fldCharType="begin"/>
            </w:r>
            <w:r w:rsidR="00820B39">
              <w:rPr>
                <w:webHidden/>
              </w:rPr>
              <w:instrText xml:space="preserve"> PAGEREF _Toc451928264 \h </w:instrText>
            </w:r>
            <w:r w:rsidR="00820B39">
              <w:rPr>
                <w:webHidden/>
              </w:rPr>
            </w:r>
            <w:r w:rsidR="00820B39">
              <w:rPr>
                <w:webHidden/>
              </w:rPr>
              <w:fldChar w:fldCharType="separate"/>
            </w:r>
            <w:r w:rsidR="00820B39">
              <w:rPr>
                <w:webHidden/>
              </w:rPr>
              <w:t>4-17</w:t>
            </w:r>
            <w:r w:rsidR="00820B39">
              <w:rPr>
                <w:webHidden/>
              </w:rPr>
              <w:fldChar w:fldCharType="end"/>
            </w:r>
          </w:hyperlink>
        </w:p>
        <w:p w:rsidR="00820B39" w:rsidRDefault="00984055">
          <w:pPr>
            <w:pStyle w:val="TOC3"/>
            <w:rPr>
              <w:rFonts w:asciiTheme="minorHAnsi" w:eastAsiaTheme="minorEastAsia" w:hAnsiTheme="minorHAnsi"/>
              <w:lang w:eastAsia="en-AU"/>
            </w:rPr>
          </w:pPr>
          <w:hyperlink w:anchor="_Toc451928265" w:history="1">
            <w:r w:rsidR="00820B39" w:rsidRPr="00A2694E">
              <w:rPr>
                <w:rStyle w:val="Hyperlink"/>
              </w:rPr>
              <w:t>4.3.1</w:t>
            </w:r>
            <w:r w:rsidR="00820B39">
              <w:rPr>
                <w:rFonts w:asciiTheme="minorHAnsi" w:eastAsiaTheme="minorEastAsia" w:hAnsiTheme="minorHAnsi"/>
                <w:lang w:eastAsia="en-AU"/>
              </w:rPr>
              <w:tab/>
            </w:r>
            <w:r w:rsidR="00820B39" w:rsidRPr="00A2694E">
              <w:rPr>
                <w:rStyle w:val="Hyperlink"/>
              </w:rPr>
              <w:t>Requirements of the NEL/NGL and NER/NGR</w:t>
            </w:r>
            <w:r w:rsidR="00820B39">
              <w:rPr>
                <w:webHidden/>
              </w:rPr>
              <w:tab/>
            </w:r>
            <w:r w:rsidR="00820B39">
              <w:rPr>
                <w:webHidden/>
              </w:rPr>
              <w:fldChar w:fldCharType="begin"/>
            </w:r>
            <w:r w:rsidR="00820B39">
              <w:rPr>
                <w:webHidden/>
              </w:rPr>
              <w:instrText xml:space="preserve"> PAGEREF _Toc451928265 \h </w:instrText>
            </w:r>
            <w:r w:rsidR="00820B39">
              <w:rPr>
                <w:webHidden/>
              </w:rPr>
            </w:r>
            <w:r w:rsidR="00820B39">
              <w:rPr>
                <w:webHidden/>
              </w:rPr>
              <w:fldChar w:fldCharType="separate"/>
            </w:r>
            <w:r w:rsidR="00820B39">
              <w:rPr>
                <w:webHidden/>
              </w:rPr>
              <w:t>4-17</w:t>
            </w:r>
            <w:r w:rsidR="00820B39">
              <w:rPr>
                <w:webHidden/>
              </w:rPr>
              <w:fldChar w:fldCharType="end"/>
            </w:r>
          </w:hyperlink>
        </w:p>
        <w:p w:rsidR="00820B39" w:rsidRDefault="00984055">
          <w:pPr>
            <w:pStyle w:val="TOC3"/>
            <w:rPr>
              <w:rFonts w:asciiTheme="minorHAnsi" w:eastAsiaTheme="minorEastAsia" w:hAnsiTheme="minorHAnsi"/>
              <w:lang w:eastAsia="en-AU"/>
            </w:rPr>
          </w:pPr>
          <w:hyperlink w:anchor="_Toc451928266" w:history="1">
            <w:r w:rsidR="00820B39" w:rsidRPr="00A2694E">
              <w:rPr>
                <w:rStyle w:val="Hyperlink"/>
              </w:rPr>
              <w:t>4.3.2</w:t>
            </w:r>
            <w:r w:rsidR="00820B39">
              <w:rPr>
                <w:rFonts w:asciiTheme="minorHAnsi" w:eastAsiaTheme="minorEastAsia" w:hAnsiTheme="minorHAnsi"/>
                <w:lang w:eastAsia="en-AU"/>
              </w:rPr>
              <w:tab/>
            </w:r>
            <w:r w:rsidR="00820B39" w:rsidRPr="00A2694E">
              <w:rPr>
                <w:rStyle w:val="Hyperlink"/>
              </w:rPr>
              <w:t>Rate of return Guideline</w:t>
            </w:r>
            <w:r w:rsidR="00820B39">
              <w:rPr>
                <w:webHidden/>
              </w:rPr>
              <w:tab/>
            </w:r>
            <w:r w:rsidR="00820B39">
              <w:rPr>
                <w:webHidden/>
              </w:rPr>
              <w:fldChar w:fldCharType="begin"/>
            </w:r>
            <w:r w:rsidR="00820B39">
              <w:rPr>
                <w:webHidden/>
              </w:rPr>
              <w:instrText xml:space="preserve"> PAGEREF _Toc451928266 \h </w:instrText>
            </w:r>
            <w:r w:rsidR="00820B39">
              <w:rPr>
                <w:webHidden/>
              </w:rPr>
            </w:r>
            <w:r w:rsidR="00820B39">
              <w:rPr>
                <w:webHidden/>
              </w:rPr>
              <w:fldChar w:fldCharType="separate"/>
            </w:r>
            <w:r w:rsidR="00820B39">
              <w:rPr>
                <w:webHidden/>
              </w:rPr>
              <w:t>4-20</w:t>
            </w:r>
            <w:r w:rsidR="00820B39">
              <w:rPr>
                <w:webHidden/>
              </w:rPr>
              <w:fldChar w:fldCharType="end"/>
            </w:r>
          </w:hyperlink>
        </w:p>
        <w:p w:rsidR="00820B39" w:rsidRDefault="00984055">
          <w:pPr>
            <w:pStyle w:val="TOC3"/>
            <w:rPr>
              <w:rFonts w:asciiTheme="minorHAnsi" w:eastAsiaTheme="minorEastAsia" w:hAnsiTheme="minorHAnsi"/>
              <w:lang w:eastAsia="en-AU"/>
            </w:rPr>
          </w:pPr>
          <w:hyperlink w:anchor="_Toc451928267" w:history="1">
            <w:r w:rsidR="00820B39" w:rsidRPr="00A2694E">
              <w:rPr>
                <w:rStyle w:val="Hyperlink"/>
              </w:rPr>
              <w:t>4.3.3</w:t>
            </w:r>
            <w:r w:rsidR="00820B39">
              <w:rPr>
                <w:rFonts w:asciiTheme="minorHAnsi" w:eastAsiaTheme="minorEastAsia" w:hAnsiTheme="minorHAnsi"/>
                <w:lang w:eastAsia="en-AU"/>
              </w:rPr>
              <w:tab/>
            </w:r>
            <w:r w:rsidR="00820B39" w:rsidRPr="00A2694E">
              <w:rPr>
                <w:rStyle w:val="Hyperlink"/>
              </w:rPr>
              <w:t>Definition of a benchmark efficient entity</w:t>
            </w:r>
            <w:r w:rsidR="00820B39">
              <w:rPr>
                <w:webHidden/>
              </w:rPr>
              <w:tab/>
            </w:r>
            <w:r w:rsidR="00820B39">
              <w:rPr>
                <w:webHidden/>
              </w:rPr>
              <w:fldChar w:fldCharType="begin"/>
            </w:r>
            <w:r w:rsidR="00820B39">
              <w:rPr>
                <w:webHidden/>
              </w:rPr>
              <w:instrText xml:space="preserve"> PAGEREF _Toc451928267 \h </w:instrText>
            </w:r>
            <w:r w:rsidR="00820B39">
              <w:rPr>
                <w:webHidden/>
              </w:rPr>
            </w:r>
            <w:r w:rsidR="00820B39">
              <w:rPr>
                <w:webHidden/>
              </w:rPr>
              <w:fldChar w:fldCharType="separate"/>
            </w:r>
            <w:r w:rsidR="00820B39">
              <w:rPr>
                <w:webHidden/>
              </w:rPr>
              <w:t>4-20</w:t>
            </w:r>
            <w:r w:rsidR="00820B39">
              <w:rPr>
                <w:webHidden/>
              </w:rPr>
              <w:fldChar w:fldCharType="end"/>
            </w:r>
          </w:hyperlink>
        </w:p>
        <w:p w:rsidR="00820B39" w:rsidRDefault="00984055">
          <w:pPr>
            <w:pStyle w:val="TOC3"/>
            <w:rPr>
              <w:rFonts w:asciiTheme="minorHAnsi" w:eastAsiaTheme="minorEastAsia" w:hAnsiTheme="minorHAnsi"/>
              <w:lang w:eastAsia="en-AU"/>
            </w:rPr>
          </w:pPr>
          <w:hyperlink w:anchor="_Toc451928268" w:history="1">
            <w:r w:rsidR="00820B39" w:rsidRPr="00A2694E">
              <w:rPr>
                <w:rStyle w:val="Hyperlink"/>
              </w:rPr>
              <w:t>4.3.4</w:t>
            </w:r>
            <w:r w:rsidR="00820B39">
              <w:rPr>
                <w:rFonts w:asciiTheme="minorHAnsi" w:eastAsiaTheme="minorEastAsia" w:hAnsiTheme="minorHAnsi"/>
                <w:lang w:eastAsia="en-AU"/>
              </w:rPr>
              <w:tab/>
            </w:r>
            <w:r w:rsidR="00820B39" w:rsidRPr="00A2694E">
              <w:rPr>
                <w:rStyle w:val="Hyperlink"/>
              </w:rPr>
              <w:t>Interrelationships</w:t>
            </w:r>
            <w:r w:rsidR="00820B39">
              <w:rPr>
                <w:webHidden/>
              </w:rPr>
              <w:tab/>
            </w:r>
            <w:r w:rsidR="00820B39">
              <w:rPr>
                <w:webHidden/>
              </w:rPr>
              <w:fldChar w:fldCharType="begin"/>
            </w:r>
            <w:r w:rsidR="00820B39">
              <w:rPr>
                <w:webHidden/>
              </w:rPr>
              <w:instrText xml:space="preserve"> PAGEREF _Toc451928268 \h </w:instrText>
            </w:r>
            <w:r w:rsidR="00820B39">
              <w:rPr>
                <w:webHidden/>
              </w:rPr>
            </w:r>
            <w:r w:rsidR="00820B39">
              <w:rPr>
                <w:webHidden/>
              </w:rPr>
              <w:fldChar w:fldCharType="separate"/>
            </w:r>
            <w:r w:rsidR="00820B39">
              <w:rPr>
                <w:webHidden/>
              </w:rPr>
              <w:t>4-21</w:t>
            </w:r>
            <w:r w:rsidR="00820B39">
              <w:rPr>
                <w:webHidden/>
              </w:rPr>
              <w:fldChar w:fldCharType="end"/>
            </w:r>
          </w:hyperlink>
        </w:p>
        <w:p w:rsidR="00820B39" w:rsidRDefault="00984055">
          <w:pPr>
            <w:pStyle w:val="TOC3"/>
            <w:rPr>
              <w:rFonts w:asciiTheme="minorHAnsi" w:eastAsiaTheme="minorEastAsia" w:hAnsiTheme="minorHAnsi"/>
              <w:lang w:eastAsia="en-AU"/>
            </w:rPr>
          </w:pPr>
          <w:hyperlink w:anchor="_Toc451928269" w:history="1">
            <w:r w:rsidR="00820B39" w:rsidRPr="00A2694E">
              <w:rPr>
                <w:rStyle w:val="Hyperlink"/>
              </w:rPr>
              <w:t>4.3.5</w:t>
            </w:r>
            <w:r w:rsidR="00820B39">
              <w:rPr>
                <w:rFonts w:asciiTheme="minorHAnsi" w:eastAsiaTheme="minorEastAsia" w:hAnsiTheme="minorHAnsi"/>
                <w:lang w:eastAsia="en-AU"/>
              </w:rPr>
              <w:tab/>
            </w:r>
            <w:r w:rsidR="00820B39" w:rsidRPr="00A2694E">
              <w:rPr>
                <w:rStyle w:val="Hyperlink"/>
              </w:rPr>
              <w:t>Expert reports</w:t>
            </w:r>
            <w:r w:rsidR="00820B39">
              <w:rPr>
                <w:webHidden/>
              </w:rPr>
              <w:tab/>
            </w:r>
            <w:r w:rsidR="00820B39">
              <w:rPr>
                <w:webHidden/>
              </w:rPr>
              <w:fldChar w:fldCharType="begin"/>
            </w:r>
            <w:r w:rsidR="00820B39">
              <w:rPr>
                <w:webHidden/>
              </w:rPr>
              <w:instrText xml:space="preserve"> PAGEREF _Toc451928269 \h </w:instrText>
            </w:r>
            <w:r w:rsidR="00820B39">
              <w:rPr>
                <w:webHidden/>
              </w:rPr>
            </w:r>
            <w:r w:rsidR="00820B39">
              <w:rPr>
                <w:webHidden/>
              </w:rPr>
              <w:fldChar w:fldCharType="separate"/>
            </w:r>
            <w:r w:rsidR="00820B39">
              <w:rPr>
                <w:webHidden/>
              </w:rPr>
              <w:t>4-22</w:t>
            </w:r>
            <w:r w:rsidR="00820B39">
              <w:rPr>
                <w:webHidden/>
              </w:rPr>
              <w:fldChar w:fldCharType="end"/>
            </w:r>
          </w:hyperlink>
        </w:p>
        <w:p w:rsidR="00820B39" w:rsidRDefault="00984055">
          <w:pPr>
            <w:pStyle w:val="TOC3"/>
            <w:rPr>
              <w:rFonts w:asciiTheme="minorHAnsi" w:eastAsiaTheme="minorEastAsia" w:hAnsiTheme="minorHAnsi"/>
              <w:lang w:eastAsia="en-AU"/>
            </w:rPr>
          </w:pPr>
          <w:hyperlink w:anchor="_Toc451928270" w:history="1">
            <w:r w:rsidR="00820B39" w:rsidRPr="00A2694E">
              <w:rPr>
                <w:rStyle w:val="Hyperlink"/>
              </w:rPr>
              <w:t>4.3.6</w:t>
            </w:r>
            <w:r w:rsidR="00820B39">
              <w:rPr>
                <w:rFonts w:asciiTheme="minorHAnsi" w:eastAsiaTheme="minorEastAsia" w:hAnsiTheme="minorHAnsi"/>
                <w:lang w:eastAsia="en-AU"/>
              </w:rPr>
              <w:tab/>
            </w:r>
            <w:r w:rsidR="00820B39" w:rsidRPr="00A2694E">
              <w:rPr>
                <w:rStyle w:val="Hyperlink"/>
              </w:rPr>
              <w:t>Approach to determining the value of imputation credits</w:t>
            </w:r>
            <w:r w:rsidR="00820B39">
              <w:rPr>
                <w:webHidden/>
              </w:rPr>
              <w:tab/>
            </w:r>
            <w:r w:rsidR="00820B39">
              <w:rPr>
                <w:webHidden/>
              </w:rPr>
              <w:fldChar w:fldCharType="begin"/>
            </w:r>
            <w:r w:rsidR="00820B39">
              <w:rPr>
                <w:webHidden/>
              </w:rPr>
              <w:instrText xml:space="preserve"> PAGEREF _Toc451928270 \h </w:instrText>
            </w:r>
            <w:r w:rsidR="00820B39">
              <w:rPr>
                <w:webHidden/>
              </w:rPr>
            </w:r>
            <w:r w:rsidR="00820B39">
              <w:rPr>
                <w:webHidden/>
              </w:rPr>
              <w:fldChar w:fldCharType="separate"/>
            </w:r>
            <w:r w:rsidR="00820B39">
              <w:rPr>
                <w:webHidden/>
              </w:rPr>
              <w:t>4-23</w:t>
            </w:r>
            <w:r w:rsidR="00820B39">
              <w:rPr>
                <w:webHidden/>
              </w:rPr>
              <w:fldChar w:fldCharType="end"/>
            </w:r>
          </w:hyperlink>
        </w:p>
        <w:p w:rsidR="00820B39" w:rsidRDefault="00984055">
          <w:pPr>
            <w:pStyle w:val="TOC2"/>
            <w:rPr>
              <w:rFonts w:asciiTheme="minorHAnsi" w:eastAsiaTheme="minorEastAsia" w:hAnsiTheme="minorHAnsi"/>
              <w:b w:val="0"/>
              <w:color w:val="auto"/>
              <w:sz w:val="22"/>
              <w:lang w:eastAsia="en-AU"/>
            </w:rPr>
          </w:pPr>
          <w:hyperlink w:anchor="_Toc451928271" w:history="1">
            <w:r w:rsidR="00820B39" w:rsidRPr="00A2694E">
              <w:rPr>
                <w:rStyle w:val="Hyperlink"/>
              </w:rPr>
              <w:t>4.4</w:t>
            </w:r>
            <w:r w:rsidR="00820B39">
              <w:rPr>
                <w:rFonts w:asciiTheme="minorHAnsi" w:eastAsiaTheme="minorEastAsia" w:hAnsiTheme="minorHAnsi"/>
                <w:b w:val="0"/>
                <w:color w:val="auto"/>
                <w:sz w:val="22"/>
                <w:lang w:eastAsia="en-AU"/>
              </w:rPr>
              <w:tab/>
            </w:r>
            <w:r w:rsidR="00820B39" w:rsidRPr="00A2694E">
              <w:rPr>
                <w:rStyle w:val="Hyperlink"/>
              </w:rPr>
              <w:t>Reasons for final decision</w:t>
            </w:r>
            <w:r w:rsidR="00820B39">
              <w:rPr>
                <w:webHidden/>
              </w:rPr>
              <w:tab/>
            </w:r>
            <w:r w:rsidR="00820B39">
              <w:rPr>
                <w:webHidden/>
              </w:rPr>
              <w:fldChar w:fldCharType="begin"/>
            </w:r>
            <w:r w:rsidR="00820B39">
              <w:rPr>
                <w:webHidden/>
              </w:rPr>
              <w:instrText xml:space="preserve"> PAGEREF _Toc451928271 \h </w:instrText>
            </w:r>
            <w:r w:rsidR="00820B39">
              <w:rPr>
                <w:webHidden/>
              </w:rPr>
            </w:r>
            <w:r w:rsidR="00820B39">
              <w:rPr>
                <w:webHidden/>
              </w:rPr>
              <w:fldChar w:fldCharType="separate"/>
            </w:r>
            <w:r w:rsidR="00820B39">
              <w:rPr>
                <w:webHidden/>
              </w:rPr>
              <w:t>4-25</w:t>
            </w:r>
            <w:r w:rsidR="00820B39">
              <w:rPr>
                <w:webHidden/>
              </w:rPr>
              <w:fldChar w:fldCharType="end"/>
            </w:r>
          </w:hyperlink>
        </w:p>
        <w:p w:rsidR="00820B39" w:rsidRDefault="00984055">
          <w:pPr>
            <w:pStyle w:val="TOC3"/>
            <w:rPr>
              <w:rFonts w:asciiTheme="minorHAnsi" w:eastAsiaTheme="minorEastAsia" w:hAnsiTheme="minorHAnsi"/>
              <w:lang w:eastAsia="en-AU"/>
            </w:rPr>
          </w:pPr>
          <w:hyperlink w:anchor="_Toc451928272" w:history="1">
            <w:r w:rsidR="00820B39" w:rsidRPr="00A2694E">
              <w:rPr>
                <w:rStyle w:val="Hyperlink"/>
              </w:rPr>
              <w:t>4.4.1</w:t>
            </w:r>
            <w:r w:rsidR="00820B39">
              <w:rPr>
                <w:rFonts w:asciiTheme="minorHAnsi" w:eastAsiaTheme="minorEastAsia" w:hAnsiTheme="minorHAnsi"/>
                <w:lang w:eastAsia="en-AU"/>
              </w:rPr>
              <w:tab/>
            </w:r>
            <w:r w:rsidR="00820B39" w:rsidRPr="00A2694E">
              <w:rPr>
                <w:rStyle w:val="Hyperlink"/>
              </w:rPr>
              <w:t>Evidence underlying our estimate of the value of imputation credits</w:t>
            </w:r>
            <w:r w:rsidR="00820B39">
              <w:rPr>
                <w:webHidden/>
              </w:rPr>
              <w:tab/>
            </w:r>
            <w:r w:rsidR="00820B39">
              <w:rPr>
                <w:webHidden/>
              </w:rPr>
              <w:fldChar w:fldCharType="begin"/>
            </w:r>
            <w:r w:rsidR="00820B39">
              <w:rPr>
                <w:webHidden/>
              </w:rPr>
              <w:instrText xml:space="preserve"> PAGEREF _Toc451928272 \h </w:instrText>
            </w:r>
            <w:r w:rsidR="00820B39">
              <w:rPr>
                <w:webHidden/>
              </w:rPr>
            </w:r>
            <w:r w:rsidR="00820B39">
              <w:rPr>
                <w:webHidden/>
              </w:rPr>
              <w:fldChar w:fldCharType="separate"/>
            </w:r>
            <w:r w:rsidR="00820B39">
              <w:rPr>
                <w:webHidden/>
              </w:rPr>
              <w:t>4-30</w:t>
            </w:r>
            <w:r w:rsidR="00820B39">
              <w:rPr>
                <w:webHidden/>
              </w:rPr>
              <w:fldChar w:fldCharType="end"/>
            </w:r>
          </w:hyperlink>
        </w:p>
        <w:p w:rsidR="00820B39" w:rsidRDefault="00984055">
          <w:pPr>
            <w:pStyle w:val="TOC3"/>
            <w:rPr>
              <w:rFonts w:asciiTheme="minorHAnsi" w:eastAsiaTheme="minorEastAsia" w:hAnsiTheme="minorHAnsi"/>
              <w:lang w:eastAsia="en-AU"/>
            </w:rPr>
          </w:pPr>
          <w:hyperlink w:anchor="_Toc451928273" w:history="1">
            <w:r w:rsidR="00820B39" w:rsidRPr="00A2694E">
              <w:rPr>
                <w:rStyle w:val="Hyperlink"/>
              </w:rPr>
              <w:t>4.4.2</w:t>
            </w:r>
            <w:r w:rsidR="00820B39">
              <w:rPr>
                <w:rFonts w:asciiTheme="minorHAnsi" w:eastAsiaTheme="minorEastAsia" w:hAnsiTheme="minorHAnsi"/>
                <w:lang w:eastAsia="en-AU"/>
              </w:rPr>
              <w:tab/>
            </w:r>
            <w:r w:rsidR="00820B39" w:rsidRPr="00A2694E">
              <w:rPr>
                <w:rStyle w:val="Hyperlink"/>
              </w:rPr>
              <w:t>Response to submissions by stakeholders</w:t>
            </w:r>
            <w:r w:rsidR="00820B39">
              <w:rPr>
                <w:webHidden/>
              </w:rPr>
              <w:tab/>
            </w:r>
            <w:r w:rsidR="00820B39">
              <w:rPr>
                <w:webHidden/>
              </w:rPr>
              <w:fldChar w:fldCharType="begin"/>
            </w:r>
            <w:r w:rsidR="00820B39">
              <w:rPr>
                <w:webHidden/>
              </w:rPr>
              <w:instrText xml:space="preserve"> PAGEREF _Toc451928273 \h </w:instrText>
            </w:r>
            <w:r w:rsidR="00820B39">
              <w:rPr>
                <w:webHidden/>
              </w:rPr>
            </w:r>
            <w:r w:rsidR="00820B39">
              <w:rPr>
                <w:webHidden/>
              </w:rPr>
              <w:fldChar w:fldCharType="separate"/>
            </w:r>
            <w:r w:rsidR="00820B39">
              <w:rPr>
                <w:webHidden/>
              </w:rPr>
              <w:t>4-41</w:t>
            </w:r>
            <w:r w:rsidR="00820B39">
              <w:rPr>
                <w:webHidden/>
              </w:rPr>
              <w:fldChar w:fldCharType="end"/>
            </w:r>
          </w:hyperlink>
        </w:p>
        <w:p w:rsidR="00820B39" w:rsidRDefault="00984055">
          <w:pPr>
            <w:pStyle w:val="TOC1"/>
            <w:rPr>
              <w:rFonts w:asciiTheme="minorHAnsi" w:eastAsiaTheme="minorEastAsia" w:hAnsiTheme="minorHAnsi"/>
              <w:b w:val="0"/>
              <w:color w:val="auto"/>
              <w:sz w:val="22"/>
              <w:lang w:val="en-AU" w:eastAsia="en-AU"/>
            </w:rPr>
          </w:pPr>
          <w:hyperlink w:anchor="_Toc451928274" w:history="1">
            <w:r w:rsidR="00820B39" w:rsidRPr="00A2694E">
              <w:rPr>
                <w:rStyle w:val="Hyperlink"/>
              </w:rPr>
              <w:t>A</w:t>
            </w:r>
            <w:r w:rsidR="00820B39">
              <w:rPr>
                <w:rFonts w:asciiTheme="minorHAnsi" w:eastAsiaTheme="minorEastAsia" w:hAnsiTheme="minorHAnsi"/>
                <w:b w:val="0"/>
                <w:color w:val="auto"/>
                <w:sz w:val="22"/>
                <w:lang w:val="en-AU" w:eastAsia="en-AU"/>
              </w:rPr>
              <w:tab/>
            </w:r>
            <w:r w:rsidR="00820B39" w:rsidRPr="00A2694E">
              <w:rPr>
                <w:rStyle w:val="Hyperlink"/>
              </w:rPr>
              <w:t>Value of imputation credits: Detailed analysis</w:t>
            </w:r>
            <w:r w:rsidR="00820B39">
              <w:rPr>
                <w:webHidden/>
              </w:rPr>
              <w:tab/>
            </w:r>
            <w:r w:rsidR="00820B39">
              <w:rPr>
                <w:webHidden/>
              </w:rPr>
              <w:fldChar w:fldCharType="begin"/>
            </w:r>
            <w:r w:rsidR="00820B39">
              <w:rPr>
                <w:webHidden/>
              </w:rPr>
              <w:instrText xml:space="preserve"> PAGEREF _Toc451928274 \h </w:instrText>
            </w:r>
            <w:r w:rsidR="00820B39">
              <w:rPr>
                <w:webHidden/>
              </w:rPr>
            </w:r>
            <w:r w:rsidR="00820B39">
              <w:rPr>
                <w:webHidden/>
              </w:rPr>
              <w:fldChar w:fldCharType="separate"/>
            </w:r>
            <w:r w:rsidR="00820B39">
              <w:rPr>
                <w:webHidden/>
              </w:rPr>
              <w:t>4-51</w:t>
            </w:r>
            <w:r w:rsidR="00820B39">
              <w:rPr>
                <w:webHidden/>
              </w:rPr>
              <w:fldChar w:fldCharType="end"/>
            </w:r>
          </w:hyperlink>
        </w:p>
        <w:p w:rsidR="00820B39" w:rsidRDefault="00984055">
          <w:pPr>
            <w:pStyle w:val="TOC2"/>
            <w:rPr>
              <w:rFonts w:asciiTheme="minorHAnsi" w:eastAsiaTheme="minorEastAsia" w:hAnsiTheme="minorHAnsi"/>
              <w:b w:val="0"/>
              <w:color w:val="auto"/>
              <w:sz w:val="22"/>
              <w:lang w:eastAsia="en-AU"/>
            </w:rPr>
          </w:pPr>
          <w:hyperlink w:anchor="_Toc451928275" w:history="1">
            <w:r w:rsidR="00820B39" w:rsidRPr="00A2694E">
              <w:rPr>
                <w:rStyle w:val="Hyperlink"/>
              </w:rPr>
              <w:t>A.1</w:t>
            </w:r>
            <w:r w:rsidR="00820B39">
              <w:rPr>
                <w:rFonts w:asciiTheme="minorHAnsi" w:eastAsiaTheme="minorEastAsia" w:hAnsiTheme="minorHAnsi"/>
                <w:b w:val="0"/>
                <w:color w:val="auto"/>
                <w:sz w:val="22"/>
                <w:lang w:eastAsia="en-AU"/>
              </w:rPr>
              <w:tab/>
            </w:r>
            <w:r w:rsidR="00820B39" w:rsidRPr="00A2694E">
              <w:rPr>
                <w:rStyle w:val="Hyperlink"/>
              </w:rPr>
              <w:t>Expert views on the value of imputation credits</w:t>
            </w:r>
            <w:r w:rsidR="00820B39">
              <w:rPr>
                <w:webHidden/>
              </w:rPr>
              <w:tab/>
            </w:r>
            <w:r w:rsidR="00820B39">
              <w:rPr>
                <w:webHidden/>
              </w:rPr>
              <w:fldChar w:fldCharType="begin"/>
            </w:r>
            <w:r w:rsidR="00820B39">
              <w:rPr>
                <w:webHidden/>
              </w:rPr>
              <w:instrText xml:space="preserve"> PAGEREF _Toc451928275 \h </w:instrText>
            </w:r>
            <w:r w:rsidR="00820B39">
              <w:rPr>
                <w:webHidden/>
              </w:rPr>
            </w:r>
            <w:r w:rsidR="00820B39">
              <w:rPr>
                <w:webHidden/>
              </w:rPr>
              <w:fldChar w:fldCharType="separate"/>
            </w:r>
            <w:r w:rsidR="00820B39">
              <w:rPr>
                <w:webHidden/>
              </w:rPr>
              <w:t>4-52</w:t>
            </w:r>
            <w:r w:rsidR="00820B39">
              <w:rPr>
                <w:webHidden/>
              </w:rPr>
              <w:fldChar w:fldCharType="end"/>
            </w:r>
          </w:hyperlink>
        </w:p>
        <w:p w:rsidR="00820B39" w:rsidRDefault="00984055">
          <w:pPr>
            <w:pStyle w:val="TOC2"/>
            <w:rPr>
              <w:rFonts w:asciiTheme="minorHAnsi" w:eastAsiaTheme="minorEastAsia" w:hAnsiTheme="minorHAnsi"/>
              <w:b w:val="0"/>
              <w:color w:val="auto"/>
              <w:sz w:val="22"/>
              <w:lang w:eastAsia="en-AU"/>
            </w:rPr>
          </w:pPr>
          <w:hyperlink w:anchor="_Toc451928276" w:history="1">
            <w:r w:rsidR="00820B39" w:rsidRPr="00A2694E">
              <w:rPr>
                <w:rStyle w:val="Hyperlink"/>
              </w:rPr>
              <w:t>A.2</w:t>
            </w:r>
            <w:r w:rsidR="00820B39">
              <w:rPr>
                <w:rFonts w:asciiTheme="minorHAnsi" w:eastAsiaTheme="minorEastAsia" w:hAnsiTheme="minorHAnsi"/>
                <w:b w:val="0"/>
                <w:color w:val="auto"/>
                <w:sz w:val="22"/>
                <w:lang w:eastAsia="en-AU"/>
              </w:rPr>
              <w:tab/>
            </w:r>
            <w:r w:rsidR="00820B39" w:rsidRPr="00A2694E">
              <w:rPr>
                <w:rStyle w:val="Hyperlink"/>
              </w:rPr>
              <w:t>The value of imputation credits used by other regulators</w:t>
            </w:r>
            <w:r w:rsidR="00820B39">
              <w:rPr>
                <w:webHidden/>
              </w:rPr>
              <w:tab/>
            </w:r>
            <w:r w:rsidR="00820B39">
              <w:rPr>
                <w:webHidden/>
              </w:rPr>
              <w:fldChar w:fldCharType="begin"/>
            </w:r>
            <w:r w:rsidR="00820B39">
              <w:rPr>
                <w:webHidden/>
              </w:rPr>
              <w:instrText xml:space="preserve"> PAGEREF _Toc451928276 \h </w:instrText>
            </w:r>
            <w:r w:rsidR="00820B39">
              <w:rPr>
                <w:webHidden/>
              </w:rPr>
            </w:r>
            <w:r w:rsidR="00820B39">
              <w:rPr>
                <w:webHidden/>
              </w:rPr>
              <w:fldChar w:fldCharType="separate"/>
            </w:r>
            <w:r w:rsidR="00820B39">
              <w:rPr>
                <w:webHidden/>
              </w:rPr>
              <w:t>4-54</w:t>
            </w:r>
            <w:r w:rsidR="00820B39">
              <w:rPr>
                <w:webHidden/>
              </w:rPr>
              <w:fldChar w:fldCharType="end"/>
            </w:r>
          </w:hyperlink>
        </w:p>
        <w:p w:rsidR="00820B39" w:rsidRDefault="00984055">
          <w:pPr>
            <w:pStyle w:val="TOC2"/>
            <w:rPr>
              <w:rFonts w:asciiTheme="minorHAnsi" w:eastAsiaTheme="minorEastAsia" w:hAnsiTheme="minorHAnsi"/>
              <w:b w:val="0"/>
              <w:color w:val="auto"/>
              <w:sz w:val="22"/>
              <w:lang w:eastAsia="en-AU"/>
            </w:rPr>
          </w:pPr>
          <w:hyperlink w:anchor="_Toc451928277" w:history="1">
            <w:r w:rsidR="00820B39" w:rsidRPr="00A2694E">
              <w:rPr>
                <w:rStyle w:val="Hyperlink"/>
              </w:rPr>
              <w:t>A.3</w:t>
            </w:r>
            <w:r w:rsidR="00820B39">
              <w:rPr>
                <w:rFonts w:asciiTheme="minorHAnsi" w:eastAsiaTheme="minorEastAsia" w:hAnsiTheme="minorHAnsi"/>
                <w:b w:val="0"/>
                <w:color w:val="auto"/>
                <w:sz w:val="22"/>
                <w:lang w:eastAsia="en-AU"/>
              </w:rPr>
              <w:tab/>
            </w:r>
            <w:r w:rsidR="00820B39" w:rsidRPr="00A2694E">
              <w:rPr>
                <w:rStyle w:val="Hyperlink"/>
              </w:rPr>
              <w:t>Previous Australian Competition Tribunal considerations</w:t>
            </w:r>
            <w:r w:rsidR="00820B39">
              <w:rPr>
                <w:webHidden/>
              </w:rPr>
              <w:tab/>
            </w:r>
            <w:r w:rsidR="00820B39">
              <w:rPr>
                <w:webHidden/>
              </w:rPr>
              <w:fldChar w:fldCharType="begin"/>
            </w:r>
            <w:r w:rsidR="00820B39">
              <w:rPr>
                <w:webHidden/>
              </w:rPr>
              <w:instrText xml:space="preserve"> PAGEREF _Toc451928277 \h </w:instrText>
            </w:r>
            <w:r w:rsidR="00820B39">
              <w:rPr>
                <w:webHidden/>
              </w:rPr>
            </w:r>
            <w:r w:rsidR="00820B39">
              <w:rPr>
                <w:webHidden/>
              </w:rPr>
              <w:fldChar w:fldCharType="separate"/>
            </w:r>
            <w:r w:rsidR="00820B39">
              <w:rPr>
                <w:webHidden/>
              </w:rPr>
              <w:t>4-56</w:t>
            </w:r>
            <w:r w:rsidR="00820B39">
              <w:rPr>
                <w:webHidden/>
              </w:rPr>
              <w:fldChar w:fldCharType="end"/>
            </w:r>
          </w:hyperlink>
        </w:p>
        <w:p w:rsidR="00820B39" w:rsidRDefault="00984055">
          <w:pPr>
            <w:pStyle w:val="TOC2"/>
            <w:rPr>
              <w:rFonts w:asciiTheme="minorHAnsi" w:eastAsiaTheme="minorEastAsia" w:hAnsiTheme="minorHAnsi"/>
              <w:b w:val="0"/>
              <w:color w:val="auto"/>
              <w:sz w:val="22"/>
              <w:lang w:eastAsia="en-AU"/>
            </w:rPr>
          </w:pPr>
          <w:hyperlink w:anchor="_Toc451928278" w:history="1">
            <w:r w:rsidR="00820B39" w:rsidRPr="00A2694E">
              <w:rPr>
                <w:rStyle w:val="Hyperlink"/>
              </w:rPr>
              <w:t>A.4</w:t>
            </w:r>
            <w:r w:rsidR="00820B39">
              <w:rPr>
                <w:rFonts w:asciiTheme="minorHAnsi" w:eastAsiaTheme="minorEastAsia" w:hAnsiTheme="minorHAnsi"/>
                <w:b w:val="0"/>
                <w:color w:val="auto"/>
                <w:sz w:val="22"/>
                <w:lang w:eastAsia="en-AU"/>
              </w:rPr>
              <w:tab/>
            </w:r>
            <w:r w:rsidR="00820B39" w:rsidRPr="00A2694E">
              <w:rPr>
                <w:rStyle w:val="Hyperlink"/>
              </w:rPr>
              <w:t>Key concerns of the service providers</w:t>
            </w:r>
            <w:r w:rsidR="00820B39">
              <w:rPr>
                <w:webHidden/>
              </w:rPr>
              <w:tab/>
            </w:r>
            <w:r w:rsidR="00820B39">
              <w:rPr>
                <w:webHidden/>
              </w:rPr>
              <w:fldChar w:fldCharType="begin"/>
            </w:r>
            <w:r w:rsidR="00820B39">
              <w:rPr>
                <w:webHidden/>
              </w:rPr>
              <w:instrText xml:space="preserve"> PAGEREF _Toc451928278 \h </w:instrText>
            </w:r>
            <w:r w:rsidR="00820B39">
              <w:rPr>
                <w:webHidden/>
              </w:rPr>
            </w:r>
            <w:r w:rsidR="00820B39">
              <w:rPr>
                <w:webHidden/>
              </w:rPr>
              <w:fldChar w:fldCharType="separate"/>
            </w:r>
            <w:r w:rsidR="00820B39">
              <w:rPr>
                <w:webHidden/>
              </w:rPr>
              <w:t>4-68</w:t>
            </w:r>
            <w:r w:rsidR="00820B39">
              <w:rPr>
                <w:webHidden/>
              </w:rPr>
              <w:fldChar w:fldCharType="end"/>
            </w:r>
          </w:hyperlink>
        </w:p>
        <w:p w:rsidR="00820B39" w:rsidRDefault="00984055">
          <w:pPr>
            <w:pStyle w:val="TOC2"/>
            <w:rPr>
              <w:rFonts w:asciiTheme="minorHAnsi" w:eastAsiaTheme="minorEastAsia" w:hAnsiTheme="minorHAnsi"/>
              <w:b w:val="0"/>
              <w:color w:val="auto"/>
              <w:sz w:val="22"/>
              <w:lang w:eastAsia="en-AU"/>
            </w:rPr>
          </w:pPr>
          <w:hyperlink w:anchor="_Toc451928279" w:history="1">
            <w:r w:rsidR="00820B39" w:rsidRPr="00A2694E">
              <w:rPr>
                <w:rStyle w:val="Hyperlink"/>
              </w:rPr>
              <w:t>A.5</w:t>
            </w:r>
            <w:r w:rsidR="00820B39">
              <w:rPr>
                <w:rFonts w:asciiTheme="minorHAnsi" w:eastAsiaTheme="minorEastAsia" w:hAnsiTheme="minorHAnsi"/>
                <w:b w:val="0"/>
                <w:color w:val="auto"/>
                <w:sz w:val="22"/>
                <w:lang w:eastAsia="en-AU"/>
              </w:rPr>
              <w:tab/>
            </w:r>
            <w:r w:rsidR="00820B39" w:rsidRPr="00A2694E">
              <w:rPr>
                <w:rStyle w:val="Hyperlink"/>
              </w:rPr>
              <w:t>The role of the value of imputation credits in the regulatory framework</w:t>
            </w:r>
            <w:r w:rsidR="00820B39">
              <w:rPr>
                <w:webHidden/>
              </w:rPr>
              <w:tab/>
            </w:r>
            <w:r w:rsidR="00820B39">
              <w:rPr>
                <w:webHidden/>
              </w:rPr>
              <w:tab/>
            </w:r>
            <w:r w:rsidR="00820B39">
              <w:rPr>
                <w:webHidden/>
              </w:rPr>
              <w:fldChar w:fldCharType="begin"/>
            </w:r>
            <w:r w:rsidR="00820B39">
              <w:rPr>
                <w:webHidden/>
              </w:rPr>
              <w:instrText xml:space="preserve"> PAGEREF _Toc451928279 \h </w:instrText>
            </w:r>
            <w:r w:rsidR="00820B39">
              <w:rPr>
                <w:webHidden/>
              </w:rPr>
            </w:r>
            <w:r w:rsidR="00820B39">
              <w:rPr>
                <w:webHidden/>
              </w:rPr>
              <w:fldChar w:fldCharType="separate"/>
            </w:r>
            <w:r w:rsidR="00820B39">
              <w:rPr>
                <w:webHidden/>
              </w:rPr>
              <w:t>4-72</w:t>
            </w:r>
            <w:r w:rsidR="00820B39">
              <w:rPr>
                <w:webHidden/>
              </w:rPr>
              <w:fldChar w:fldCharType="end"/>
            </w:r>
          </w:hyperlink>
        </w:p>
        <w:p w:rsidR="00820B39" w:rsidRDefault="00984055">
          <w:pPr>
            <w:pStyle w:val="TOC2"/>
            <w:rPr>
              <w:rFonts w:asciiTheme="minorHAnsi" w:eastAsiaTheme="minorEastAsia" w:hAnsiTheme="minorHAnsi"/>
              <w:b w:val="0"/>
              <w:color w:val="auto"/>
              <w:sz w:val="22"/>
              <w:lang w:eastAsia="en-AU"/>
            </w:rPr>
          </w:pPr>
          <w:hyperlink w:anchor="_Toc451928280" w:history="1">
            <w:r w:rsidR="00820B39" w:rsidRPr="00A2694E">
              <w:rPr>
                <w:rStyle w:val="Hyperlink"/>
              </w:rPr>
              <w:t>A.6</w:t>
            </w:r>
            <w:r w:rsidR="00820B39">
              <w:rPr>
                <w:rFonts w:asciiTheme="minorHAnsi" w:eastAsiaTheme="minorEastAsia" w:hAnsiTheme="minorHAnsi"/>
                <w:b w:val="0"/>
                <w:color w:val="auto"/>
                <w:sz w:val="22"/>
                <w:lang w:eastAsia="en-AU"/>
              </w:rPr>
              <w:tab/>
            </w:r>
            <w:r w:rsidR="00820B39" w:rsidRPr="00A2694E">
              <w:rPr>
                <w:rStyle w:val="Hyperlink"/>
              </w:rPr>
              <w:t>The conceptual framework for the value of imputation credits</w:t>
            </w:r>
            <w:r w:rsidR="00820B39">
              <w:rPr>
                <w:webHidden/>
              </w:rPr>
              <w:tab/>
            </w:r>
            <w:r w:rsidR="00820B39">
              <w:rPr>
                <w:webHidden/>
              </w:rPr>
              <w:fldChar w:fldCharType="begin"/>
            </w:r>
            <w:r w:rsidR="00820B39">
              <w:rPr>
                <w:webHidden/>
              </w:rPr>
              <w:instrText xml:space="preserve"> PAGEREF _Toc451928280 \h </w:instrText>
            </w:r>
            <w:r w:rsidR="00820B39">
              <w:rPr>
                <w:webHidden/>
              </w:rPr>
            </w:r>
            <w:r w:rsidR="00820B39">
              <w:rPr>
                <w:webHidden/>
              </w:rPr>
              <w:fldChar w:fldCharType="separate"/>
            </w:r>
            <w:r w:rsidR="00820B39">
              <w:rPr>
                <w:webHidden/>
              </w:rPr>
              <w:t>4-75</w:t>
            </w:r>
            <w:r w:rsidR="00820B39">
              <w:rPr>
                <w:webHidden/>
              </w:rPr>
              <w:fldChar w:fldCharType="end"/>
            </w:r>
          </w:hyperlink>
        </w:p>
        <w:p w:rsidR="00820B39" w:rsidRDefault="00984055">
          <w:pPr>
            <w:pStyle w:val="TOC2"/>
            <w:rPr>
              <w:rFonts w:asciiTheme="minorHAnsi" w:eastAsiaTheme="minorEastAsia" w:hAnsiTheme="minorHAnsi"/>
              <w:b w:val="0"/>
              <w:color w:val="auto"/>
              <w:sz w:val="22"/>
              <w:lang w:eastAsia="en-AU"/>
            </w:rPr>
          </w:pPr>
          <w:hyperlink w:anchor="_Toc451928281" w:history="1">
            <w:r w:rsidR="00820B39" w:rsidRPr="00A2694E">
              <w:rPr>
                <w:rStyle w:val="Hyperlink"/>
              </w:rPr>
              <w:t>A.7</w:t>
            </w:r>
            <w:r w:rsidR="00820B39">
              <w:rPr>
                <w:rFonts w:asciiTheme="minorHAnsi" w:eastAsiaTheme="minorEastAsia" w:hAnsiTheme="minorHAnsi"/>
                <w:b w:val="0"/>
                <w:color w:val="auto"/>
                <w:sz w:val="22"/>
                <w:lang w:eastAsia="en-AU"/>
              </w:rPr>
              <w:tab/>
            </w:r>
            <w:r w:rsidR="00820B39" w:rsidRPr="00A2694E">
              <w:rPr>
                <w:rStyle w:val="Hyperlink"/>
              </w:rPr>
              <w:t>Gray's comments on the conceptual framework.</w:t>
            </w:r>
            <w:r w:rsidR="00820B39">
              <w:rPr>
                <w:webHidden/>
              </w:rPr>
              <w:tab/>
            </w:r>
            <w:r w:rsidR="00820B39">
              <w:rPr>
                <w:webHidden/>
              </w:rPr>
              <w:fldChar w:fldCharType="begin"/>
            </w:r>
            <w:r w:rsidR="00820B39">
              <w:rPr>
                <w:webHidden/>
              </w:rPr>
              <w:instrText xml:space="preserve"> PAGEREF _Toc451928281 \h </w:instrText>
            </w:r>
            <w:r w:rsidR="00820B39">
              <w:rPr>
                <w:webHidden/>
              </w:rPr>
            </w:r>
            <w:r w:rsidR="00820B39">
              <w:rPr>
                <w:webHidden/>
              </w:rPr>
              <w:fldChar w:fldCharType="separate"/>
            </w:r>
            <w:r w:rsidR="00820B39">
              <w:rPr>
                <w:webHidden/>
              </w:rPr>
              <w:t>4-82</w:t>
            </w:r>
            <w:r w:rsidR="00820B39">
              <w:rPr>
                <w:webHidden/>
              </w:rPr>
              <w:fldChar w:fldCharType="end"/>
            </w:r>
          </w:hyperlink>
        </w:p>
        <w:p w:rsidR="00820B39" w:rsidRDefault="00984055">
          <w:pPr>
            <w:pStyle w:val="TOC2"/>
            <w:rPr>
              <w:rFonts w:asciiTheme="minorHAnsi" w:eastAsiaTheme="minorEastAsia" w:hAnsiTheme="minorHAnsi"/>
              <w:b w:val="0"/>
              <w:color w:val="auto"/>
              <w:sz w:val="22"/>
              <w:lang w:eastAsia="en-AU"/>
            </w:rPr>
          </w:pPr>
          <w:hyperlink w:anchor="_Toc451928282" w:history="1">
            <w:r w:rsidR="00820B39" w:rsidRPr="00A2694E">
              <w:rPr>
                <w:rStyle w:val="Hyperlink"/>
              </w:rPr>
              <w:t>A.8</w:t>
            </w:r>
            <w:r w:rsidR="00820B39">
              <w:rPr>
                <w:rFonts w:asciiTheme="minorHAnsi" w:eastAsiaTheme="minorEastAsia" w:hAnsiTheme="minorHAnsi"/>
                <w:b w:val="0"/>
                <w:color w:val="auto"/>
                <w:sz w:val="22"/>
                <w:lang w:eastAsia="en-AU"/>
              </w:rPr>
              <w:tab/>
            </w:r>
            <w:r w:rsidR="00820B39" w:rsidRPr="00A2694E">
              <w:rPr>
                <w:rStyle w:val="Hyperlink"/>
              </w:rPr>
              <w:t>Further issues relating to the utilisation rate</w:t>
            </w:r>
            <w:r w:rsidR="00820B39">
              <w:rPr>
                <w:webHidden/>
              </w:rPr>
              <w:tab/>
            </w:r>
            <w:r w:rsidR="00820B39">
              <w:rPr>
                <w:webHidden/>
              </w:rPr>
              <w:fldChar w:fldCharType="begin"/>
            </w:r>
            <w:r w:rsidR="00820B39">
              <w:rPr>
                <w:webHidden/>
              </w:rPr>
              <w:instrText xml:space="preserve"> PAGEREF _Toc451928282 \h </w:instrText>
            </w:r>
            <w:r w:rsidR="00820B39">
              <w:rPr>
                <w:webHidden/>
              </w:rPr>
            </w:r>
            <w:r w:rsidR="00820B39">
              <w:rPr>
                <w:webHidden/>
              </w:rPr>
              <w:fldChar w:fldCharType="separate"/>
            </w:r>
            <w:r w:rsidR="00820B39">
              <w:rPr>
                <w:webHidden/>
              </w:rPr>
              <w:t>4-93</w:t>
            </w:r>
            <w:r w:rsidR="00820B39">
              <w:rPr>
                <w:webHidden/>
              </w:rPr>
              <w:fldChar w:fldCharType="end"/>
            </w:r>
          </w:hyperlink>
        </w:p>
        <w:p w:rsidR="00820B39" w:rsidRDefault="00984055">
          <w:pPr>
            <w:pStyle w:val="TOC2"/>
            <w:rPr>
              <w:rFonts w:asciiTheme="minorHAnsi" w:eastAsiaTheme="minorEastAsia" w:hAnsiTheme="minorHAnsi"/>
              <w:b w:val="0"/>
              <w:color w:val="auto"/>
              <w:sz w:val="22"/>
              <w:lang w:eastAsia="en-AU"/>
            </w:rPr>
          </w:pPr>
          <w:hyperlink w:anchor="_Toc451928283" w:history="1">
            <w:r w:rsidR="00820B39" w:rsidRPr="00A2694E">
              <w:rPr>
                <w:rStyle w:val="Hyperlink"/>
              </w:rPr>
              <w:t>A.9</w:t>
            </w:r>
            <w:r w:rsidR="00820B39">
              <w:rPr>
                <w:rFonts w:asciiTheme="minorHAnsi" w:eastAsiaTheme="minorEastAsia" w:hAnsiTheme="minorHAnsi"/>
                <w:b w:val="0"/>
                <w:color w:val="auto"/>
                <w:sz w:val="22"/>
                <w:lang w:eastAsia="en-AU"/>
              </w:rPr>
              <w:tab/>
            </w:r>
            <w:r w:rsidR="00820B39" w:rsidRPr="00A2694E">
              <w:rPr>
                <w:rStyle w:val="Hyperlink"/>
              </w:rPr>
              <w:t>Estimation approach considerations</w:t>
            </w:r>
            <w:r w:rsidR="00820B39">
              <w:rPr>
                <w:webHidden/>
              </w:rPr>
              <w:tab/>
            </w:r>
            <w:r w:rsidR="00820B39">
              <w:rPr>
                <w:webHidden/>
              </w:rPr>
              <w:fldChar w:fldCharType="begin"/>
            </w:r>
            <w:r w:rsidR="00820B39">
              <w:rPr>
                <w:webHidden/>
              </w:rPr>
              <w:instrText xml:space="preserve"> PAGEREF _Toc451928283 \h </w:instrText>
            </w:r>
            <w:r w:rsidR="00820B39">
              <w:rPr>
                <w:webHidden/>
              </w:rPr>
            </w:r>
            <w:r w:rsidR="00820B39">
              <w:rPr>
                <w:webHidden/>
              </w:rPr>
              <w:fldChar w:fldCharType="separate"/>
            </w:r>
            <w:r w:rsidR="00820B39">
              <w:rPr>
                <w:webHidden/>
              </w:rPr>
              <w:t>4-116</w:t>
            </w:r>
            <w:r w:rsidR="00820B39">
              <w:rPr>
                <w:webHidden/>
              </w:rPr>
              <w:fldChar w:fldCharType="end"/>
            </w:r>
          </w:hyperlink>
        </w:p>
        <w:p w:rsidR="00820B39" w:rsidRDefault="00984055">
          <w:pPr>
            <w:pStyle w:val="TOC2"/>
            <w:tabs>
              <w:tab w:val="left" w:pos="1276"/>
            </w:tabs>
            <w:rPr>
              <w:rFonts w:asciiTheme="minorHAnsi" w:eastAsiaTheme="minorEastAsia" w:hAnsiTheme="minorHAnsi"/>
              <w:b w:val="0"/>
              <w:color w:val="auto"/>
              <w:sz w:val="22"/>
              <w:lang w:eastAsia="en-AU"/>
            </w:rPr>
          </w:pPr>
          <w:hyperlink w:anchor="_Toc451928284" w:history="1">
            <w:r w:rsidR="00820B39" w:rsidRPr="00A2694E">
              <w:rPr>
                <w:rStyle w:val="Hyperlink"/>
              </w:rPr>
              <w:t>A.10</w:t>
            </w:r>
            <w:r w:rsidR="00820B39">
              <w:rPr>
                <w:rFonts w:asciiTheme="minorHAnsi" w:eastAsiaTheme="minorEastAsia" w:hAnsiTheme="minorHAnsi"/>
                <w:b w:val="0"/>
                <w:color w:val="auto"/>
                <w:sz w:val="22"/>
                <w:lang w:eastAsia="en-AU"/>
              </w:rPr>
              <w:tab/>
            </w:r>
            <w:r w:rsidR="00820B39" w:rsidRPr="00A2694E">
              <w:rPr>
                <w:rStyle w:val="Hyperlink"/>
              </w:rPr>
              <w:t>Estimating the distribution rate</w:t>
            </w:r>
            <w:r w:rsidR="00820B39">
              <w:rPr>
                <w:webHidden/>
              </w:rPr>
              <w:tab/>
            </w:r>
            <w:r w:rsidR="00820B39">
              <w:rPr>
                <w:webHidden/>
              </w:rPr>
              <w:fldChar w:fldCharType="begin"/>
            </w:r>
            <w:r w:rsidR="00820B39">
              <w:rPr>
                <w:webHidden/>
              </w:rPr>
              <w:instrText xml:space="preserve"> PAGEREF _Toc451928284 \h </w:instrText>
            </w:r>
            <w:r w:rsidR="00820B39">
              <w:rPr>
                <w:webHidden/>
              </w:rPr>
            </w:r>
            <w:r w:rsidR="00820B39">
              <w:rPr>
                <w:webHidden/>
              </w:rPr>
              <w:fldChar w:fldCharType="separate"/>
            </w:r>
            <w:r w:rsidR="00820B39">
              <w:rPr>
                <w:webHidden/>
              </w:rPr>
              <w:t>4-120</w:t>
            </w:r>
            <w:r w:rsidR="00820B39">
              <w:rPr>
                <w:webHidden/>
              </w:rPr>
              <w:fldChar w:fldCharType="end"/>
            </w:r>
          </w:hyperlink>
        </w:p>
        <w:p w:rsidR="00820B39" w:rsidRDefault="00984055">
          <w:pPr>
            <w:pStyle w:val="TOC2"/>
            <w:tabs>
              <w:tab w:val="left" w:pos="1276"/>
            </w:tabs>
            <w:rPr>
              <w:rFonts w:asciiTheme="minorHAnsi" w:eastAsiaTheme="minorEastAsia" w:hAnsiTheme="minorHAnsi"/>
              <w:b w:val="0"/>
              <w:color w:val="auto"/>
              <w:sz w:val="22"/>
              <w:lang w:eastAsia="en-AU"/>
            </w:rPr>
          </w:pPr>
          <w:hyperlink w:anchor="_Toc451928285" w:history="1">
            <w:r w:rsidR="00820B39" w:rsidRPr="00A2694E">
              <w:rPr>
                <w:rStyle w:val="Hyperlink"/>
              </w:rPr>
              <w:t>A.11</w:t>
            </w:r>
            <w:r w:rsidR="00820B39">
              <w:rPr>
                <w:rFonts w:asciiTheme="minorHAnsi" w:eastAsiaTheme="minorEastAsia" w:hAnsiTheme="minorHAnsi"/>
                <w:b w:val="0"/>
                <w:color w:val="auto"/>
                <w:sz w:val="22"/>
                <w:lang w:eastAsia="en-AU"/>
              </w:rPr>
              <w:tab/>
            </w:r>
            <w:r w:rsidR="00820B39" w:rsidRPr="00A2694E">
              <w:rPr>
                <w:rStyle w:val="Hyperlink"/>
              </w:rPr>
              <w:t>Application of rate of return criteria to evidence on the utilisation rate</w:t>
            </w:r>
            <w:r w:rsidR="00820B39">
              <w:rPr>
                <w:webHidden/>
              </w:rPr>
              <w:tab/>
            </w:r>
            <w:r w:rsidR="00820B39">
              <w:rPr>
                <w:webHidden/>
              </w:rPr>
              <w:tab/>
            </w:r>
            <w:r w:rsidR="00820B39">
              <w:rPr>
                <w:webHidden/>
              </w:rPr>
              <w:tab/>
            </w:r>
            <w:r w:rsidR="00820B39">
              <w:rPr>
                <w:webHidden/>
              </w:rPr>
              <w:fldChar w:fldCharType="begin"/>
            </w:r>
            <w:r w:rsidR="00820B39">
              <w:rPr>
                <w:webHidden/>
              </w:rPr>
              <w:instrText xml:space="preserve"> PAGEREF _Toc451928285 \h </w:instrText>
            </w:r>
            <w:r w:rsidR="00820B39">
              <w:rPr>
                <w:webHidden/>
              </w:rPr>
            </w:r>
            <w:r w:rsidR="00820B39">
              <w:rPr>
                <w:webHidden/>
              </w:rPr>
              <w:fldChar w:fldCharType="separate"/>
            </w:r>
            <w:r w:rsidR="00820B39">
              <w:rPr>
                <w:webHidden/>
              </w:rPr>
              <w:t>4-130</w:t>
            </w:r>
            <w:r w:rsidR="00820B39">
              <w:rPr>
                <w:webHidden/>
              </w:rPr>
              <w:fldChar w:fldCharType="end"/>
            </w:r>
          </w:hyperlink>
        </w:p>
        <w:p w:rsidR="00820B39" w:rsidRDefault="00984055">
          <w:pPr>
            <w:pStyle w:val="TOC2"/>
            <w:tabs>
              <w:tab w:val="left" w:pos="1276"/>
            </w:tabs>
            <w:rPr>
              <w:rFonts w:asciiTheme="minorHAnsi" w:eastAsiaTheme="minorEastAsia" w:hAnsiTheme="minorHAnsi"/>
              <w:b w:val="0"/>
              <w:color w:val="auto"/>
              <w:sz w:val="22"/>
              <w:lang w:eastAsia="en-AU"/>
            </w:rPr>
          </w:pPr>
          <w:hyperlink w:anchor="_Toc451928286" w:history="1">
            <w:r w:rsidR="00820B39" w:rsidRPr="00A2694E">
              <w:rPr>
                <w:rStyle w:val="Hyperlink"/>
              </w:rPr>
              <w:t>A.12</w:t>
            </w:r>
            <w:r w:rsidR="00820B39">
              <w:rPr>
                <w:rFonts w:asciiTheme="minorHAnsi" w:eastAsiaTheme="minorEastAsia" w:hAnsiTheme="minorHAnsi"/>
                <w:b w:val="0"/>
                <w:color w:val="auto"/>
                <w:sz w:val="22"/>
                <w:lang w:eastAsia="en-AU"/>
              </w:rPr>
              <w:tab/>
            </w:r>
            <w:r w:rsidR="00820B39" w:rsidRPr="00A2694E">
              <w:rPr>
                <w:rStyle w:val="Hyperlink"/>
              </w:rPr>
              <w:t>The equity ownership approach</w:t>
            </w:r>
            <w:r w:rsidR="00820B39">
              <w:rPr>
                <w:webHidden/>
              </w:rPr>
              <w:tab/>
            </w:r>
            <w:r w:rsidR="00820B39">
              <w:rPr>
                <w:webHidden/>
              </w:rPr>
              <w:fldChar w:fldCharType="begin"/>
            </w:r>
            <w:r w:rsidR="00820B39">
              <w:rPr>
                <w:webHidden/>
              </w:rPr>
              <w:instrText xml:space="preserve"> PAGEREF _Toc451928286 \h </w:instrText>
            </w:r>
            <w:r w:rsidR="00820B39">
              <w:rPr>
                <w:webHidden/>
              </w:rPr>
            </w:r>
            <w:r w:rsidR="00820B39">
              <w:rPr>
                <w:webHidden/>
              </w:rPr>
              <w:fldChar w:fldCharType="separate"/>
            </w:r>
            <w:r w:rsidR="00820B39">
              <w:rPr>
                <w:webHidden/>
              </w:rPr>
              <w:t>4-132</w:t>
            </w:r>
            <w:r w:rsidR="00820B39">
              <w:rPr>
                <w:webHidden/>
              </w:rPr>
              <w:fldChar w:fldCharType="end"/>
            </w:r>
          </w:hyperlink>
        </w:p>
        <w:p w:rsidR="00820B39" w:rsidRDefault="00984055">
          <w:pPr>
            <w:pStyle w:val="TOC2"/>
            <w:tabs>
              <w:tab w:val="left" w:pos="1276"/>
            </w:tabs>
            <w:rPr>
              <w:rFonts w:asciiTheme="minorHAnsi" w:eastAsiaTheme="minorEastAsia" w:hAnsiTheme="minorHAnsi"/>
              <w:b w:val="0"/>
              <w:color w:val="auto"/>
              <w:sz w:val="22"/>
              <w:lang w:eastAsia="en-AU"/>
            </w:rPr>
          </w:pPr>
          <w:hyperlink w:anchor="_Toc451928287" w:history="1">
            <w:r w:rsidR="00820B39" w:rsidRPr="00A2694E">
              <w:rPr>
                <w:rStyle w:val="Hyperlink"/>
              </w:rPr>
              <w:t>A.13</w:t>
            </w:r>
            <w:r w:rsidR="00820B39">
              <w:rPr>
                <w:rFonts w:asciiTheme="minorHAnsi" w:eastAsiaTheme="minorEastAsia" w:hAnsiTheme="minorHAnsi"/>
                <w:b w:val="0"/>
                <w:color w:val="auto"/>
                <w:sz w:val="22"/>
                <w:lang w:eastAsia="en-AU"/>
              </w:rPr>
              <w:tab/>
            </w:r>
            <w:r w:rsidR="00820B39" w:rsidRPr="00A2694E">
              <w:rPr>
                <w:rStyle w:val="Hyperlink"/>
              </w:rPr>
              <w:t>Tax statistics</w:t>
            </w:r>
            <w:r w:rsidR="00820B39">
              <w:rPr>
                <w:webHidden/>
              </w:rPr>
              <w:tab/>
            </w:r>
            <w:r w:rsidR="00820B39">
              <w:rPr>
                <w:webHidden/>
              </w:rPr>
              <w:fldChar w:fldCharType="begin"/>
            </w:r>
            <w:r w:rsidR="00820B39">
              <w:rPr>
                <w:webHidden/>
              </w:rPr>
              <w:instrText xml:space="preserve"> PAGEREF _Toc451928287 \h </w:instrText>
            </w:r>
            <w:r w:rsidR="00820B39">
              <w:rPr>
                <w:webHidden/>
              </w:rPr>
            </w:r>
            <w:r w:rsidR="00820B39">
              <w:rPr>
                <w:webHidden/>
              </w:rPr>
              <w:fldChar w:fldCharType="separate"/>
            </w:r>
            <w:r w:rsidR="00820B39">
              <w:rPr>
                <w:webHidden/>
              </w:rPr>
              <w:t>4-138</w:t>
            </w:r>
            <w:r w:rsidR="00820B39">
              <w:rPr>
                <w:webHidden/>
              </w:rPr>
              <w:fldChar w:fldCharType="end"/>
            </w:r>
          </w:hyperlink>
        </w:p>
        <w:p w:rsidR="00820B39" w:rsidRDefault="00984055">
          <w:pPr>
            <w:pStyle w:val="TOC2"/>
            <w:tabs>
              <w:tab w:val="left" w:pos="1276"/>
            </w:tabs>
            <w:rPr>
              <w:rFonts w:asciiTheme="minorHAnsi" w:eastAsiaTheme="minorEastAsia" w:hAnsiTheme="minorHAnsi"/>
              <w:b w:val="0"/>
              <w:color w:val="auto"/>
              <w:sz w:val="22"/>
              <w:lang w:eastAsia="en-AU"/>
            </w:rPr>
          </w:pPr>
          <w:hyperlink w:anchor="_Toc451928288" w:history="1">
            <w:r w:rsidR="00820B39" w:rsidRPr="00A2694E">
              <w:rPr>
                <w:rStyle w:val="Hyperlink"/>
              </w:rPr>
              <w:t>A.14</w:t>
            </w:r>
            <w:r w:rsidR="00820B39">
              <w:rPr>
                <w:rFonts w:asciiTheme="minorHAnsi" w:eastAsiaTheme="minorEastAsia" w:hAnsiTheme="minorHAnsi"/>
                <w:b w:val="0"/>
                <w:color w:val="auto"/>
                <w:sz w:val="22"/>
                <w:lang w:eastAsia="en-AU"/>
              </w:rPr>
              <w:tab/>
            </w:r>
            <w:r w:rsidR="00820B39" w:rsidRPr="00A2694E">
              <w:rPr>
                <w:rStyle w:val="Hyperlink"/>
              </w:rPr>
              <w:t>Difference between equity ownership approach and tax statistics</w:t>
            </w:r>
            <w:r w:rsidR="00820B39">
              <w:rPr>
                <w:webHidden/>
              </w:rPr>
              <w:tab/>
            </w:r>
            <w:r w:rsidR="00820B39">
              <w:rPr>
                <w:webHidden/>
              </w:rPr>
              <w:tab/>
            </w:r>
            <w:r w:rsidR="00820B39">
              <w:rPr>
                <w:webHidden/>
              </w:rPr>
              <w:tab/>
            </w:r>
            <w:r w:rsidR="00820B39">
              <w:rPr>
                <w:webHidden/>
              </w:rPr>
              <w:tab/>
            </w:r>
            <w:r w:rsidR="00820B39">
              <w:rPr>
                <w:webHidden/>
              </w:rPr>
              <w:fldChar w:fldCharType="begin"/>
            </w:r>
            <w:r w:rsidR="00820B39">
              <w:rPr>
                <w:webHidden/>
              </w:rPr>
              <w:instrText xml:space="preserve"> PAGEREF _Toc451928288 \h </w:instrText>
            </w:r>
            <w:r w:rsidR="00820B39">
              <w:rPr>
                <w:webHidden/>
              </w:rPr>
            </w:r>
            <w:r w:rsidR="00820B39">
              <w:rPr>
                <w:webHidden/>
              </w:rPr>
              <w:fldChar w:fldCharType="separate"/>
            </w:r>
            <w:r w:rsidR="00820B39">
              <w:rPr>
                <w:webHidden/>
              </w:rPr>
              <w:t>4-141</w:t>
            </w:r>
            <w:r w:rsidR="00820B39">
              <w:rPr>
                <w:webHidden/>
              </w:rPr>
              <w:fldChar w:fldCharType="end"/>
            </w:r>
          </w:hyperlink>
        </w:p>
        <w:p w:rsidR="00820B39" w:rsidRDefault="00984055">
          <w:pPr>
            <w:pStyle w:val="TOC2"/>
            <w:tabs>
              <w:tab w:val="left" w:pos="1276"/>
            </w:tabs>
            <w:rPr>
              <w:rFonts w:asciiTheme="minorHAnsi" w:eastAsiaTheme="minorEastAsia" w:hAnsiTheme="minorHAnsi"/>
              <w:b w:val="0"/>
              <w:color w:val="auto"/>
              <w:sz w:val="22"/>
              <w:lang w:eastAsia="en-AU"/>
            </w:rPr>
          </w:pPr>
          <w:hyperlink w:anchor="_Toc451928289" w:history="1">
            <w:r w:rsidR="00820B39" w:rsidRPr="00A2694E">
              <w:rPr>
                <w:rStyle w:val="Hyperlink"/>
              </w:rPr>
              <w:t>A.15</w:t>
            </w:r>
            <w:r w:rsidR="00820B39">
              <w:rPr>
                <w:rFonts w:asciiTheme="minorHAnsi" w:eastAsiaTheme="minorEastAsia" w:hAnsiTheme="minorHAnsi"/>
                <w:b w:val="0"/>
                <w:color w:val="auto"/>
                <w:sz w:val="22"/>
                <w:lang w:eastAsia="en-AU"/>
              </w:rPr>
              <w:tab/>
            </w:r>
            <w:r w:rsidR="00820B39" w:rsidRPr="00A2694E">
              <w:rPr>
                <w:rStyle w:val="Hyperlink"/>
              </w:rPr>
              <w:t>Implied market value studies</w:t>
            </w:r>
            <w:r w:rsidR="00820B39">
              <w:rPr>
                <w:webHidden/>
              </w:rPr>
              <w:tab/>
            </w:r>
            <w:r w:rsidR="00820B39">
              <w:rPr>
                <w:webHidden/>
              </w:rPr>
              <w:fldChar w:fldCharType="begin"/>
            </w:r>
            <w:r w:rsidR="00820B39">
              <w:rPr>
                <w:webHidden/>
              </w:rPr>
              <w:instrText xml:space="preserve"> PAGEREF _Toc451928289 \h </w:instrText>
            </w:r>
            <w:r w:rsidR="00820B39">
              <w:rPr>
                <w:webHidden/>
              </w:rPr>
            </w:r>
            <w:r w:rsidR="00820B39">
              <w:rPr>
                <w:webHidden/>
              </w:rPr>
              <w:fldChar w:fldCharType="separate"/>
            </w:r>
            <w:r w:rsidR="00820B39">
              <w:rPr>
                <w:webHidden/>
              </w:rPr>
              <w:t>4-142</w:t>
            </w:r>
            <w:r w:rsidR="00820B39">
              <w:rPr>
                <w:webHidden/>
              </w:rPr>
              <w:fldChar w:fldCharType="end"/>
            </w:r>
          </w:hyperlink>
        </w:p>
        <w:p w:rsidR="00820B39" w:rsidRDefault="00984055">
          <w:pPr>
            <w:pStyle w:val="TOC2"/>
            <w:tabs>
              <w:tab w:val="left" w:pos="1276"/>
            </w:tabs>
            <w:rPr>
              <w:rFonts w:asciiTheme="minorHAnsi" w:eastAsiaTheme="minorEastAsia" w:hAnsiTheme="minorHAnsi"/>
              <w:b w:val="0"/>
              <w:color w:val="auto"/>
              <w:sz w:val="22"/>
              <w:lang w:eastAsia="en-AU"/>
            </w:rPr>
          </w:pPr>
          <w:hyperlink w:anchor="_Toc451928290" w:history="1">
            <w:r w:rsidR="00820B39" w:rsidRPr="00A2694E">
              <w:rPr>
                <w:rStyle w:val="Hyperlink"/>
              </w:rPr>
              <w:t>A.16</w:t>
            </w:r>
            <w:r w:rsidR="00820B39">
              <w:rPr>
                <w:rFonts w:asciiTheme="minorHAnsi" w:eastAsiaTheme="minorEastAsia" w:hAnsiTheme="minorHAnsi"/>
                <w:b w:val="0"/>
                <w:color w:val="auto"/>
                <w:sz w:val="22"/>
                <w:lang w:eastAsia="en-AU"/>
              </w:rPr>
              <w:tab/>
            </w:r>
            <w:r w:rsidR="00820B39" w:rsidRPr="00A2694E">
              <w:rPr>
                <w:rStyle w:val="Hyperlink"/>
              </w:rPr>
              <w:t>Revised consideration of the conceptual goalposts approach</w:t>
            </w:r>
            <w:r w:rsidR="00820B39">
              <w:rPr>
                <w:webHidden/>
              </w:rPr>
              <w:tab/>
            </w:r>
            <w:r w:rsidR="00820B39">
              <w:rPr>
                <w:webHidden/>
              </w:rPr>
              <w:tab/>
            </w:r>
            <w:r w:rsidR="00820B39">
              <w:rPr>
                <w:webHidden/>
              </w:rPr>
              <w:tab/>
            </w:r>
            <w:r w:rsidR="00820B39">
              <w:rPr>
                <w:webHidden/>
              </w:rPr>
              <w:tab/>
            </w:r>
            <w:r w:rsidR="00820B39">
              <w:rPr>
                <w:webHidden/>
              </w:rPr>
              <w:tab/>
            </w:r>
            <w:r w:rsidR="00820B39">
              <w:rPr>
                <w:webHidden/>
              </w:rPr>
              <w:tab/>
            </w:r>
            <w:r w:rsidR="00820B39">
              <w:rPr>
                <w:webHidden/>
              </w:rPr>
              <w:fldChar w:fldCharType="begin"/>
            </w:r>
            <w:r w:rsidR="00820B39">
              <w:rPr>
                <w:webHidden/>
              </w:rPr>
              <w:instrText xml:space="preserve"> PAGEREF _Toc451928290 \h </w:instrText>
            </w:r>
            <w:r w:rsidR="00820B39">
              <w:rPr>
                <w:webHidden/>
              </w:rPr>
            </w:r>
            <w:r w:rsidR="00820B39">
              <w:rPr>
                <w:webHidden/>
              </w:rPr>
              <w:fldChar w:fldCharType="separate"/>
            </w:r>
            <w:r w:rsidR="00820B39">
              <w:rPr>
                <w:webHidden/>
              </w:rPr>
              <w:t>4-172</w:t>
            </w:r>
            <w:r w:rsidR="00820B39">
              <w:rPr>
                <w:webHidden/>
              </w:rPr>
              <w:fldChar w:fldCharType="end"/>
            </w:r>
          </w:hyperlink>
        </w:p>
        <w:p w:rsidR="00DE563D" w:rsidRDefault="009945B8" w:rsidP="009945B8">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928260"/>
      <w:r>
        <w:lastRenderedPageBreak/>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881794" w:rsidTr="008817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Shortened form</w:t>
            </w:r>
          </w:p>
        </w:tc>
        <w:tc>
          <w:tcPr>
            <w:tcW w:w="5041" w:type="dxa"/>
          </w:tcPr>
          <w:p w:rsidR="00881794" w:rsidRDefault="00881794" w:rsidP="00881794">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AA</w:t>
            </w:r>
          </w:p>
        </w:tc>
        <w:tc>
          <w:tcPr>
            <w:tcW w:w="5041" w:type="dxa"/>
          </w:tcPr>
          <w:p w:rsidR="00881794" w:rsidRPr="00F13601" w:rsidRDefault="00881794" w:rsidP="00881794">
            <w:pPr>
              <w:cnfStyle w:val="000000000000" w:firstRow="0" w:lastRow="0" w:firstColumn="0" w:lastColumn="0" w:oddVBand="0" w:evenVBand="0" w:oddHBand="0" w:evenHBand="0" w:firstRowFirstColumn="0" w:firstRowLastColumn="0" w:lastRowFirstColumn="0" w:lastRowLastColumn="0"/>
            </w:pPr>
            <w:r>
              <w:t>Access Arrangement</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AAI</w:t>
            </w:r>
          </w:p>
        </w:tc>
        <w:tc>
          <w:tcPr>
            <w:tcW w:w="5041" w:type="dxa"/>
          </w:tcPr>
          <w:p w:rsidR="00881794" w:rsidRPr="00F13601" w:rsidRDefault="00881794" w:rsidP="00881794">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AER</w:t>
            </w:r>
          </w:p>
        </w:tc>
        <w:tc>
          <w:tcPr>
            <w:tcW w:w="5041" w:type="dxa"/>
          </w:tcPr>
          <w:p w:rsidR="00881794" w:rsidRDefault="00881794" w:rsidP="00881794">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rsidRPr="00F035E7">
              <w:t>AGN</w:t>
            </w:r>
          </w:p>
        </w:tc>
        <w:tc>
          <w:tcPr>
            <w:tcW w:w="5041" w:type="dxa"/>
          </w:tcPr>
          <w:p w:rsidR="00881794" w:rsidRDefault="00881794" w:rsidP="00881794">
            <w:pPr>
              <w:cnfStyle w:val="000000010000" w:firstRow="0" w:lastRow="0" w:firstColumn="0" w:lastColumn="0" w:oddVBand="0" w:evenVBand="0" w:oddHBand="0" w:evenHBand="1" w:firstRowFirstColumn="0" w:firstRowLastColumn="0" w:lastRowFirstColumn="0" w:lastRowLastColumn="0"/>
            </w:pPr>
            <w:r>
              <w:t>Australian Gas Networks</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ATO</w:t>
            </w:r>
          </w:p>
        </w:tc>
        <w:tc>
          <w:tcPr>
            <w:tcW w:w="5041" w:type="dxa"/>
          </w:tcPr>
          <w:p w:rsidR="00881794" w:rsidRPr="00F13601" w:rsidRDefault="00881794" w:rsidP="00881794">
            <w:pPr>
              <w:cnfStyle w:val="000000000000" w:firstRow="0" w:lastRow="0" w:firstColumn="0" w:lastColumn="0" w:oddVBand="0" w:evenVBand="0" w:oddHBand="0" w:evenHBand="0" w:firstRowFirstColumn="0" w:firstRowLastColumn="0" w:lastRowFirstColumn="0" w:lastRowLastColumn="0"/>
            </w:pPr>
            <w:r>
              <w:t>Australian Tax Office</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capex</w:t>
            </w:r>
          </w:p>
        </w:tc>
        <w:tc>
          <w:tcPr>
            <w:tcW w:w="5041" w:type="dxa"/>
          </w:tcPr>
          <w:p w:rsidR="00881794" w:rsidRDefault="00881794" w:rsidP="00881794">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CAPM</w:t>
            </w:r>
          </w:p>
        </w:tc>
        <w:tc>
          <w:tcPr>
            <w:tcW w:w="5041" w:type="dxa"/>
          </w:tcPr>
          <w:p w:rsidR="00881794" w:rsidRDefault="00881794" w:rsidP="00881794">
            <w:pPr>
              <w:numPr>
                <w:ilvl w:val="0"/>
                <w:numId w:val="24"/>
              </w:numPr>
              <w:cnfStyle w:val="000000000000" w:firstRow="0" w:lastRow="0" w:firstColumn="0" w:lastColumn="0" w:oddVBand="0" w:evenVBand="0" w:oddHBand="0" w:evenHBand="0" w:firstRowFirstColumn="0" w:firstRowLastColumn="0" w:lastRowFirstColumn="0" w:lastRowLastColumn="0"/>
            </w:pPr>
            <w:r>
              <w:t>capital asset pricing model</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CCP</w:t>
            </w:r>
          </w:p>
        </w:tc>
        <w:tc>
          <w:tcPr>
            <w:tcW w:w="5041" w:type="dxa"/>
          </w:tcPr>
          <w:p w:rsidR="00881794" w:rsidRDefault="00881794" w:rsidP="00881794">
            <w:pPr>
              <w:numPr>
                <w:ilvl w:val="0"/>
                <w:numId w:val="24"/>
              </w:numPr>
              <w:cnfStyle w:val="000000010000" w:firstRow="0" w:lastRow="0" w:firstColumn="0" w:lastColumn="0" w:oddVBand="0" w:evenVBand="0" w:oddHBand="0" w:evenHBand="1" w:firstRowFirstColumn="0" w:firstRowLastColumn="0" w:lastRowFirstColumn="0" w:lastRowLastColumn="0"/>
            </w:pPr>
            <w:r>
              <w:t>Consumer Challenge Panel</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CESS</w:t>
            </w:r>
          </w:p>
        </w:tc>
        <w:tc>
          <w:tcPr>
            <w:tcW w:w="5041" w:type="dxa"/>
          </w:tcPr>
          <w:p w:rsidR="00881794" w:rsidRDefault="00881794" w:rsidP="00881794">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CPI</w:t>
            </w:r>
          </w:p>
        </w:tc>
        <w:tc>
          <w:tcPr>
            <w:tcW w:w="5041" w:type="dxa"/>
          </w:tcPr>
          <w:p w:rsidR="00881794" w:rsidRDefault="00881794" w:rsidP="00881794">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CSIS</w:t>
            </w:r>
          </w:p>
        </w:tc>
        <w:tc>
          <w:tcPr>
            <w:tcW w:w="5041" w:type="dxa"/>
          </w:tcPr>
          <w:p w:rsidR="00881794" w:rsidRPr="00F13601" w:rsidRDefault="00881794" w:rsidP="00881794">
            <w:pPr>
              <w:cnfStyle w:val="000000000000" w:firstRow="0" w:lastRow="0" w:firstColumn="0" w:lastColumn="0" w:oddVBand="0" w:evenVBand="0" w:oddHBand="0" w:evenHBand="0" w:firstRowFirstColumn="0" w:firstRowLastColumn="0" w:lastRowFirstColumn="0" w:lastRowLastColumn="0"/>
            </w:pPr>
            <w:r>
              <w:t>Customer Service Incentive Scheme</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DRP</w:t>
            </w:r>
          </w:p>
        </w:tc>
        <w:tc>
          <w:tcPr>
            <w:tcW w:w="5041" w:type="dxa"/>
          </w:tcPr>
          <w:p w:rsidR="00881794" w:rsidRDefault="00881794" w:rsidP="00881794">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EBSS</w:t>
            </w:r>
          </w:p>
        </w:tc>
        <w:tc>
          <w:tcPr>
            <w:tcW w:w="5041" w:type="dxa"/>
          </w:tcPr>
          <w:p w:rsidR="00881794" w:rsidRPr="00F13601" w:rsidRDefault="00881794" w:rsidP="00881794">
            <w:pPr>
              <w:cnfStyle w:val="000000000000" w:firstRow="0" w:lastRow="0" w:firstColumn="0" w:lastColumn="0" w:oddVBand="0" w:evenVBand="0" w:oddHBand="0" w:evenHBand="0" w:firstRowFirstColumn="0" w:firstRowLastColumn="0" w:lastRowFirstColumn="0" w:lastRowLastColumn="0"/>
            </w:pPr>
            <w:r>
              <w:t>Efficiency Benefit Sharing Scheme</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ECM</w:t>
            </w:r>
          </w:p>
        </w:tc>
        <w:tc>
          <w:tcPr>
            <w:tcW w:w="5041" w:type="dxa"/>
          </w:tcPr>
          <w:p w:rsidR="00881794" w:rsidRPr="00F13601" w:rsidRDefault="00881794" w:rsidP="00881794">
            <w:pPr>
              <w:cnfStyle w:val="000000010000" w:firstRow="0" w:lastRow="0" w:firstColumn="0" w:lastColumn="0" w:oddVBand="0" w:evenVBand="0" w:oddHBand="0" w:evenHBand="1" w:firstRowFirstColumn="0" w:firstRowLastColumn="0" w:lastRowFirstColumn="0" w:lastRowLastColumn="0"/>
            </w:pPr>
            <w:r>
              <w:t>Efficiency Carryover Mechanism</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ERP</w:t>
            </w:r>
          </w:p>
        </w:tc>
        <w:tc>
          <w:tcPr>
            <w:tcW w:w="5041" w:type="dxa"/>
          </w:tcPr>
          <w:p w:rsidR="00881794" w:rsidRDefault="00881794" w:rsidP="00881794">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Expenditure Guideline</w:t>
            </w:r>
          </w:p>
        </w:tc>
        <w:tc>
          <w:tcPr>
            <w:tcW w:w="5041" w:type="dxa"/>
          </w:tcPr>
          <w:p w:rsidR="00881794" w:rsidRPr="00F13601" w:rsidRDefault="00881794" w:rsidP="00881794">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gamma</w:t>
            </w:r>
          </w:p>
        </w:tc>
        <w:tc>
          <w:tcPr>
            <w:tcW w:w="5041" w:type="dxa"/>
          </w:tcPr>
          <w:p w:rsidR="00881794" w:rsidRPr="00F13601" w:rsidRDefault="00881794" w:rsidP="00881794">
            <w:pPr>
              <w:cnfStyle w:val="000000000000" w:firstRow="0" w:lastRow="0" w:firstColumn="0" w:lastColumn="0" w:oddVBand="0" w:evenVBand="0" w:oddHBand="0" w:evenHBand="0" w:firstRowFirstColumn="0" w:firstRowLastColumn="0" w:lastRowFirstColumn="0" w:lastRowLastColumn="0"/>
            </w:pPr>
            <w:r>
              <w:t>value of imputation credits</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GSL</w:t>
            </w:r>
          </w:p>
        </w:tc>
        <w:tc>
          <w:tcPr>
            <w:tcW w:w="5041" w:type="dxa"/>
          </w:tcPr>
          <w:p w:rsidR="00881794" w:rsidRPr="00F13601" w:rsidRDefault="00881794" w:rsidP="00881794">
            <w:pPr>
              <w:cnfStyle w:val="000000010000" w:firstRow="0" w:lastRow="0" w:firstColumn="0" w:lastColumn="0" w:oddVBand="0" w:evenVBand="0" w:oddHBand="0" w:evenHBand="1" w:firstRowFirstColumn="0" w:firstRowLastColumn="0" w:lastRowFirstColumn="0" w:lastRowLastColumn="0"/>
            </w:pPr>
            <w:r>
              <w:t>Guaranteed Service Level</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MRP</w:t>
            </w:r>
          </w:p>
        </w:tc>
        <w:tc>
          <w:tcPr>
            <w:tcW w:w="5041" w:type="dxa"/>
          </w:tcPr>
          <w:p w:rsidR="00881794" w:rsidRDefault="00881794" w:rsidP="00881794">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NECF</w:t>
            </w:r>
          </w:p>
        </w:tc>
        <w:tc>
          <w:tcPr>
            <w:tcW w:w="5041" w:type="dxa"/>
          </w:tcPr>
          <w:p w:rsidR="00881794" w:rsidRPr="00F13601" w:rsidRDefault="00881794" w:rsidP="00881794">
            <w:pPr>
              <w:cnfStyle w:val="000000010000" w:firstRow="0" w:lastRow="0" w:firstColumn="0" w:lastColumn="0" w:oddVBand="0" w:evenVBand="0" w:oddHBand="0" w:evenHBand="1" w:firstRowFirstColumn="0" w:firstRowLastColumn="0" w:lastRowFirstColumn="0" w:lastRowLastColumn="0"/>
            </w:pPr>
            <w:r>
              <w:t>National Energy Customer Framework</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NERL</w:t>
            </w:r>
          </w:p>
        </w:tc>
        <w:tc>
          <w:tcPr>
            <w:tcW w:w="5041" w:type="dxa"/>
          </w:tcPr>
          <w:p w:rsidR="00881794" w:rsidRPr="00F13601" w:rsidRDefault="00881794" w:rsidP="00881794">
            <w:pPr>
              <w:cnfStyle w:val="000000000000" w:firstRow="0" w:lastRow="0" w:firstColumn="0" w:lastColumn="0" w:oddVBand="0" w:evenVBand="0" w:oddHBand="0" w:evenHBand="0" w:firstRowFirstColumn="0" w:firstRowLastColumn="0" w:lastRowFirstColumn="0" w:lastRowLastColumn="0"/>
            </w:pPr>
            <w:r>
              <w:t>National Energy Retail Law</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NERR</w:t>
            </w:r>
          </w:p>
        </w:tc>
        <w:tc>
          <w:tcPr>
            <w:tcW w:w="5041" w:type="dxa"/>
          </w:tcPr>
          <w:p w:rsidR="00881794" w:rsidRDefault="00881794" w:rsidP="00881794">
            <w:pPr>
              <w:numPr>
                <w:ilvl w:val="0"/>
                <w:numId w:val="24"/>
              </w:numPr>
              <w:cnfStyle w:val="000000010000" w:firstRow="0" w:lastRow="0" w:firstColumn="0" w:lastColumn="0" w:oddVBand="0" w:evenVBand="0" w:oddHBand="0" w:evenHBand="1" w:firstRowFirstColumn="0" w:firstRowLastColumn="0" w:lastRowFirstColumn="0" w:lastRowLastColumn="0"/>
            </w:pPr>
            <w:r>
              <w:t>National Energy Retail Rules</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NGL</w:t>
            </w:r>
          </w:p>
        </w:tc>
        <w:tc>
          <w:tcPr>
            <w:tcW w:w="5041" w:type="dxa"/>
          </w:tcPr>
          <w:p w:rsidR="00881794" w:rsidRDefault="00881794" w:rsidP="00881794">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NGO</w:t>
            </w:r>
          </w:p>
        </w:tc>
        <w:tc>
          <w:tcPr>
            <w:tcW w:w="5041" w:type="dxa"/>
          </w:tcPr>
          <w:p w:rsidR="00881794" w:rsidRDefault="00881794" w:rsidP="00881794">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NGR</w:t>
            </w:r>
          </w:p>
        </w:tc>
        <w:tc>
          <w:tcPr>
            <w:tcW w:w="5041" w:type="dxa"/>
          </w:tcPr>
          <w:p w:rsidR="00881794" w:rsidRDefault="00881794" w:rsidP="00881794">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NIS</w:t>
            </w:r>
          </w:p>
        </w:tc>
        <w:tc>
          <w:tcPr>
            <w:tcW w:w="5041" w:type="dxa"/>
          </w:tcPr>
          <w:p w:rsidR="00881794" w:rsidRPr="00F13601" w:rsidRDefault="00881794" w:rsidP="00881794">
            <w:pPr>
              <w:cnfStyle w:val="000000010000" w:firstRow="0" w:lastRow="0" w:firstColumn="0" w:lastColumn="0" w:oddVBand="0" w:evenVBand="0" w:oddHBand="0" w:evenHBand="1" w:firstRowFirstColumn="0" w:firstRowLastColumn="0" w:lastRowFirstColumn="0" w:lastRowLastColumn="0"/>
            </w:pPr>
            <w:r>
              <w:t>Network Incentive Scheme</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NPV</w:t>
            </w:r>
          </w:p>
        </w:tc>
        <w:tc>
          <w:tcPr>
            <w:tcW w:w="5041" w:type="dxa"/>
          </w:tcPr>
          <w:p w:rsidR="00881794" w:rsidRPr="00F13601" w:rsidRDefault="00881794" w:rsidP="00881794">
            <w:pPr>
              <w:cnfStyle w:val="000000000000" w:firstRow="0" w:lastRow="0" w:firstColumn="0" w:lastColumn="0" w:oddVBand="0" w:evenVBand="0" w:oddHBand="0" w:evenHBand="0" w:firstRowFirstColumn="0" w:firstRowLastColumn="0" w:lastRowFirstColumn="0" w:lastRowLastColumn="0"/>
            </w:pPr>
            <w:r>
              <w:t>net present value</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opex</w:t>
            </w:r>
          </w:p>
        </w:tc>
        <w:tc>
          <w:tcPr>
            <w:tcW w:w="5041" w:type="dxa"/>
          </w:tcPr>
          <w:p w:rsidR="00881794" w:rsidRDefault="00881794" w:rsidP="00881794">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PFP</w:t>
            </w:r>
          </w:p>
        </w:tc>
        <w:tc>
          <w:tcPr>
            <w:tcW w:w="5041" w:type="dxa"/>
          </w:tcPr>
          <w:p w:rsidR="00881794" w:rsidRPr="00F13601" w:rsidRDefault="00881794" w:rsidP="00881794">
            <w:pPr>
              <w:cnfStyle w:val="000000000000" w:firstRow="0" w:lastRow="0" w:firstColumn="0" w:lastColumn="0" w:oddVBand="0" w:evenVBand="0" w:oddHBand="0" w:evenHBand="0" w:firstRowFirstColumn="0" w:firstRowLastColumn="0" w:lastRowFirstColumn="0" w:lastRowLastColumn="0"/>
            </w:pPr>
            <w:r>
              <w:t>partial factor productivity</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PPI</w:t>
            </w:r>
          </w:p>
        </w:tc>
        <w:tc>
          <w:tcPr>
            <w:tcW w:w="5041" w:type="dxa"/>
          </w:tcPr>
          <w:p w:rsidR="00881794" w:rsidRDefault="00881794" w:rsidP="00881794">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lastRenderedPageBreak/>
              <w:t>PTRM</w:t>
            </w:r>
          </w:p>
        </w:tc>
        <w:tc>
          <w:tcPr>
            <w:tcW w:w="5041" w:type="dxa"/>
          </w:tcPr>
          <w:p w:rsidR="00881794" w:rsidRDefault="00881794" w:rsidP="00881794">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RBA</w:t>
            </w:r>
          </w:p>
        </w:tc>
        <w:tc>
          <w:tcPr>
            <w:tcW w:w="5041" w:type="dxa"/>
          </w:tcPr>
          <w:p w:rsidR="00881794" w:rsidRDefault="00881794" w:rsidP="00881794">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RFM</w:t>
            </w:r>
          </w:p>
        </w:tc>
        <w:tc>
          <w:tcPr>
            <w:tcW w:w="5041" w:type="dxa"/>
          </w:tcPr>
          <w:p w:rsidR="00881794" w:rsidRDefault="00881794" w:rsidP="00881794">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RIN</w:t>
            </w:r>
          </w:p>
        </w:tc>
        <w:tc>
          <w:tcPr>
            <w:tcW w:w="5041" w:type="dxa"/>
          </w:tcPr>
          <w:p w:rsidR="00881794" w:rsidRDefault="00881794" w:rsidP="00881794">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RoLR</w:t>
            </w:r>
          </w:p>
        </w:tc>
        <w:tc>
          <w:tcPr>
            <w:tcW w:w="5041" w:type="dxa"/>
          </w:tcPr>
          <w:p w:rsidR="00881794" w:rsidRPr="00F13601" w:rsidRDefault="00881794" w:rsidP="00881794">
            <w:pPr>
              <w:cnfStyle w:val="000000000000" w:firstRow="0" w:lastRow="0" w:firstColumn="0" w:lastColumn="0" w:oddVBand="0" w:evenVBand="0" w:oddHBand="0" w:evenHBand="0" w:firstRowFirstColumn="0" w:firstRowLastColumn="0" w:lastRowFirstColumn="0" w:lastRowLastColumn="0"/>
            </w:pPr>
            <w:r>
              <w:t>retailer of last resort</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RPP</w:t>
            </w:r>
          </w:p>
        </w:tc>
        <w:tc>
          <w:tcPr>
            <w:tcW w:w="5041" w:type="dxa"/>
          </w:tcPr>
          <w:p w:rsidR="00881794" w:rsidRDefault="00881794" w:rsidP="00881794">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SLCAPM</w:t>
            </w:r>
          </w:p>
        </w:tc>
        <w:tc>
          <w:tcPr>
            <w:tcW w:w="5041" w:type="dxa"/>
          </w:tcPr>
          <w:p w:rsidR="00881794" w:rsidRDefault="00881794" w:rsidP="00881794">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STPIS</w:t>
            </w:r>
          </w:p>
        </w:tc>
        <w:tc>
          <w:tcPr>
            <w:tcW w:w="5041" w:type="dxa"/>
          </w:tcPr>
          <w:p w:rsidR="00881794" w:rsidRPr="00F13601" w:rsidRDefault="00881794" w:rsidP="00881794">
            <w:pPr>
              <w:cnfStyle w:val="000000010000" w:firstRow="0" w:lastRow="0" w:firstColumn="0" w:lastColumn="0" w:oddVBand="0" w:evenVBand="0" w:oddHBand="0" w:evenHBand="1" w:firstRowFirstColumn="0" w:firstRowLastColumn="0" w:lastRowFirstColumn="0" w:lastRowLastColumn="0"/>
            </w:pPr>
            <w:r>
              <w:t>Service Target</w:t>
            </w:r>
            <w:r w:rsidRPr="00F13601">
              <w:t xml:space="preserve"> Performance Incentive Scheme</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TAB</w:t>
            </w:r>
          </w:p>
        </w:tc>
        <w:tc>
          <w:tcPr>
            <w:tcW w:w="5041" w:type="dxa"/>
          </w:tcPr>
          <w:p w:rsidR="00881794" w:rsidRPr="00F13601" w:rsidRDefault="00881794" w:rsidP="00881794">
            <w:pPr>
              <w:cnfStyle w:val="000000000000" w:firstRow="0" w:lastRow="0" w:firstColumn="0" w:lastColumn="0" w:oddVBand="0" w:evenVBand="0" w:oddHBand="0" w:evenHBand="0" w:firstRowFirstColumn="0" w:firstRowLastColumn="0" w:lastRowFirstColumn="0" w:lastRowLastColumn="0"/>
            </w:pPr>
            <w:r>
              <w:t>tax asset base</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UAFG</w:t>
            </w:r>
          </w:p>
        </w:tc>
        <w:tc>
          <w:tcPr>
            <w:tcW w:w="5041" w:type="dxa"/>
          </w:tcPr>
          <w:p w:rsidR="00881794" w:rsidRPr="00F13601" w:rsidRDefault="00881794" w:rsidP="00881794">
            <w:pPr>
              <w:cnfStyle w:val="000000010000" w:firstRow="0" w:lastRow="0" w:firstColumn="0" w:lastColumn="0" w:oddVBand="0" w:evenVBand="0" w:oddHBand="0" w:evenHBand="1" w:firstRowFirstColumn="0" w:firstRowLastColumn="0" w:lastRowFirstColumn="0" w:lastRowLastColumn="0"/>
            </w:pPr>
            <w:r>
              <w:t>unaccounted for gas</w:t>
            </w:r>
          </w:p>
        </w:tc>
      </w:tr>
      <w:tr w:rsidR="00881794" w:rsidTr="00881794">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WACC</w:t>
            </w:r>
          </w:p>
        </w:tc>
        <w:tc>
          <w:tcPr>
            <w:tcW w:w="5041" w:type="dxa"/>
          </w:tcPr>
          <w:p w:rsidR="00881794" w:rsidRDefault="00881794" w:rsidP="00881794">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881794" w:rsidTr="008817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81794" w:rsidRDefault="00881794" w:rsidP="00881794">
            <w:pPr>
              <w:numPr>
                <w:ilvl w:val="0"/>
                <w:numId w:val="24"/>
              </w:numPr>
            </w:pPr>
            <w:r>
              <w:t>WPI</w:t>
            </w:r>
          </w:p>
        </w:tc>
        <w:tc>
          <w:tcPr>
            <w:tcW w:w="5041" w:type="dxa"/>
          </w:tcPr>
          <w:p w:rsidR="00881794" w:rsidRPr="00F13601" w:rsidRDefault="00881794" w:rsidP="00881794">
            <w:pPr>
              <w:cnfStyle w:val="000000010000" w:firstRow="0" w:lastRow="0" w:firstColumn="0" w:lastColumn="0" w:oddVBand="0" w:evenVBand="0" w:oddHBand="0" w:evenHBand="1" w:firstRowFirstColumn="0" w:firstRowLastColumn="0" w:lastRowFirstColumn="0" w:lastRowLastColumn="0"/>
            </w:pPr>
            <w:r>
              <w:t>Wage Price Index</w:t>
            </w:r>
          </w:p>
        </w:tc>
      </w:tr>
    </w:tbl>
    <w:p w:rsidR="00881794" w:rsidRPr="00881794" w:rsidRDefault="00881794" w:rsidP="00881794"/>
    <w:p w:rsidR="00DE563D" w:rsidRDefault="00F2740A" w:rsidP="00F2740A">
      <w:pPr>
        <w:pStyle w:val="Heading1"/>
      </w:pPr>
      <w:bookmarkStart w:id="10" w:name="_Toc451928261"/>
      <w:r>
        <w:lastRenderedPageBreak/>
        <w:t>Value of imputation credits</w:t>
      </w:r>
      <w:bookmarkEnd w:id="10"/>
    </w:p>
    <w:p w:rsidR="003A197F" w:rsidRDefault="009749A0" w:rsidP="003A197F">
      <w:pPr>
        <w:numPr>
          <w:ilvl w:val="0"/>
          <w:numId w:val="24"/>
        </w:numPr>
      </w:pPr>
      <w:r>
        <w:t>Imputation</w:t>
      </w:r>
      <w:r w:rsidRPr="00A3318E">
        <w:t xml:space="preserve"> credits are </w:t>
      </w:r>
      <w:r>
        <w:t>valuable to investors and are</w:t>
      </w:r>
      <w:r w:rsidR="00B460B7">
        <w:t xml:space="preserve"> therefore</w:t>
      </w:r>
      <w:r>
        <w:t xml:space="preserve"> </w:t>
      </w:r>
      <w:r w:rsidRPr="00A3318E">
        <w:t xml:space="preserve">a benefit in addition to any cash dividend or capital gains </w:t>
      </w:r>
      <w:r>
        <w:t xml:space="preserve">they receive </w:t>
      </w:r>
      <w:r w:rsidRPr="00A3318E">
        <w:t>from owning shares.</w:t>
      </w:r>
      <w:r>
        <w:t xml:space="preserve"> </w:t>
      </w:r>
      <w:r w:rsidR="003A197F" w:rsidRPr="00A3318E">
        <w:t xml:space="preserve">Under the Australian imputation tax system, investors </w:t>
      </w:r>
      <w:r w:rsidR="003A197F">
        <w:t xml:space="preserve">can </w:t>
      </w:r>
      <w:r w:rsidR="003A197F" w:rsidRPr="00A3318E">
        <w:t>receive an imputation credit for income t</w:t>
      </w:r>
      <w:r w:rsidR="003A197F">
        <w:t>ax paid at the company level.</w:t>
      </w:r>
      <w:r w:rsidR="003A197F">
        <w:rPr>
          <w:rStyle w:val="FootnoteReference"/>
        </w:rPr>
        <w:footnoteReference w:id="1"/>
      </w:r>
      <w:r w:rsidR="003A197F" w:rsidRPr="00A3318E">
        <w:t xml:space="preserve"> For eligible investors, this credit offsets their Australian income tax liabilities. If the </w:t>
      </w:r>
      <w:r w:rsidR="003A197F">
        <w:t>amount</w:t>
      </w:r>
      <w:r w:rsidR="003A197F" w:rsidRPr="00A3318E">
        <w:t xml:space="preserve"> of imputation credits </w:t>
      </w:r>
      <w:r w:rsidR="003A197F">
        <w:t xml:space="preserve">received </w:t>
      </w:r>
      <w:r w:rsidR="003A197F" w:rsidRPr="00A3318E">
        <w:t xml:space="preserve">exceeds an investor's tax liability, that investor can receive a cash refund for the balance. </w:t>
      </w:r>
    </w:p>
    <w:p w:rsidR="000C7DEC" w:rsidRDefault="003A197F" w:rsidP="003A197F">
      <w:pPr>
        <w:numPr>
          <w:ilvl w:val="0"/>
          <w:numId w:val="24"/>
        </w:numPr>
      </w:pPr>
      <w:r>
        <w:t xml:space="preserve">The </w:t>
      </w:r>
      <w:r w:rsidR="00962128">
        <w:t>National Electricity Rules/National Gas Rules (</w:t>
      </w:r>
      <w:r>
        <w:t>NER/NGR</w:t>
      </w:r>
      <w:r w:rsidR="00962128">
        <w:t>)</w:t>
      </w:r>
      <w:r>
        <w:t xml:space="preserve"> </w:t>
      </w:r>
      <w:r w:rsidR="00AF0EE0">
        <w:t>recognises</w:t>
      </w:r>
      <w:r>
        <w:t xml:space="preserve"> that a service provider's allowed revenue does not need to include the value of imputation credits. Under the NER/NGR, service providers are to recover revenue that compensates them for their efficient costs in providing regulated services. This includes, among other things, a return to be provided to investors (return on equity) that is required to promote efficient levels of investment. The more that imputation credits are valuable, the less return that investors require from dividends and capital gains. However, the estimation of the return on equity does not take imputation credits into account.</w:t>
      </w:r>
      <w:r>
        <w:rPr>
          <w:rStyle w:val="FootnoteReference"/>
        </w:rPr>
        <w:footnoteReference w:id="2"/>
      </w:r>
      <w:r>
        <w:t xml:space="preserve"> Therefore, an adjustment for the value of imputation credits is required. This adjustment could take the form of a decrease in the estimated return on equity itself.</w:t>
      </w:r>
    </w:p>
    <w:p w:rsidR="003A197F" w:rsidRPr="00E356F9" w:rsidRDefault="003A197F" w:rsidP="003A197F">
      <w:pPr>
        <w:numPr>
          <w:ilvl w:val="0"/>
          <w:numId w:val="24"/>
        </w:numPr>
      </w:pPr>
      <w:r>
        <w:t xml:space="preserve">An alternative but equivalent form of adjustment, which is employed by the NER/NGR, is via the revenue granted to a service provider to cover its expected tax liability. Specifically, the NER/NGR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t>, 'gamma').</w:t>
      </w:r>
      <w:r>
        <w:rPr>
          <w:rStyle w:val="FootnoteReference"/>
        </w:rPr>
        <w:footnoteReference w:id="3"/>
      </w:r>
      <w:r>
        <w:t xml:space="preserve"> This form of adjustment recognises that it is the payment of corporate tax which is the source of the imputation credit return to investors.</w:t>
      </w:r>
    </w:p>
    <w:p w:rsidR="003A197F" w:rsidRDefault="003A197F" w:rsidP="003A197F">
      <w:pPr>
        <w:numPr>
          <w:ilvl w:val="0"/>
          <w:numId w:val="24"/>
        </w:numPr>
      </w:pPr>
      <w:r>
        <w:t xml:space="preserve">In this attachment, we set out our </w:t>
      </w:r>
      <w:r w:rsidR="00053CA0">
        <w:t xml:space="preserve">final </w:t>
      </w:r>
      <w:r>
        <w:t>decision on the value of imputation credits and our key reasons for this decision. We also consider Australian Gas Networks’</w:t>
      </w:r>
      <w:r w:rsidR="00C903A2">
        <w:t xml:space="preserve"> (AGN)</w:t>
      </w:r>
      <w:r>
        <w:t xml:space="preserve"> proposed value of imputation credits and the key reasons for its </w:t>
      </w:r>
      <w:r w:rsidR="00167B59">
        <w:t xml:space="preserve">(revised) </w:t>
      </w:r>
      <w:r>
        <w:t xml:space="preserve">proposal. In appendix A, we include further supporting detail on our position on the value of imputation credits and also respond to </w:t>
      </w:r>
      <w:r w:rsidR="00C903A2">
        <w:t xml:space="preserve">AGN's </w:t>
      </w:r>
      <w:r w:rsidR="00BE2BF7">
        <w:t xml:space="preserve">revised </w:t>
      </w:r>
      <w:r>
        <w:t xml:space="preserve">proposal in detail. </w:t>
      </w:r>
    </w:p>
    <w:p w:rsidR="00883125" w:rsidRPr="00883125" w:rsidRDefault="00883125" w:rsidP="00883125">
      <w:pPr>
        <w:pStyle w:val="Heading2"/>
      </w:pPr>
      <w:bookmarkStart w:id="11" w:name="_Toc408404320"/>
      <w:bookmarkStart w:id="12" w:name="_Toc419366913"/>
      <w:bookmarkStart w:id="13" w:name="_Ref451246970"/>
      <w:bookmarkStart w:id="14" w:name="_Ref451789904"/>
      <w:bookmarkStart w:id="15" w:name="_Ref451793040"/>
      <w:bookmarkStart w:id="16" w:name="_Ref451816453"/>
      <w:bookmarkStart w:id="17" w:name="_Toc451928262"/>
      <w:r w:rsidRPr="00883125">
        <w:t>Final decision</w:t>
      </w:r>
      <w:bookmarkEnd w:id="11"/>
      <w:bookmarkEnd w:id="12"/>
      <w:bookmarkEnd w:id="13"/>
      <w:bookmarkEnd w:id="14"/>
      <w:bookmarkEnd w:id="15"/>
      <w:bookmarkEnd w:id="16"/>
      <w:bookmarkEnd w:id="17"/>
    </w:p>
    <w:p w:rsidR="00883125" w:rsidRPr="00C94AE8" w:rsidRDefault="00883125" w:rsidP="00C94AE8">
      <w:pPr>
        <w:numPr>
          <w:ilvl w:val="0"/>
          <w:numId w:val="24"/>
        </w:numPr>
      </w:pPr>
      <w:r w:rsidRPr="00883125">
        <w:t xml:space="preserve">We do not accept </w:t>
      </w:r>
      <w:r w:rsidR="00C903A2">
        <w:t>AGN</w:t>
      </w:r>
      <w:r w:rsidRPr="00883125">
        <w:t>'</w:t>
      </w:r>
      <w:r w:rsidR="00C903A2">
        <w:t>s</w:t>
      </w:r>
      <w:r w:rsidRPr="00883125">
        <w:t xml:space="preserve"> proposed value of imputation credits</w:t>
      </w:r>
      <w:r w:rsidR="00100507">
        <w:t xml:space="preserve"> (or gamma)</w:t>
      </w:r>
      <w:r w:rsidRPr="00883125">
        <w:t xml:space="preserve"> of 0.25. Instead, we adopt a value of imputation credits of 0.4.</w:t>
      </w:r>
      <w:r w:rsidR="00BE2BF7">
        <w:t xml:space="preserve"> </w:t>
      </w:r>
      <w:r w:rsidRPr="00C94AE8">
        <w:t xml:space="preserve">We consider that the use of a value for imputation credits of 0.4 will result in equity investors in the benchmark efficient entity </w:t>
      </w:r>
      <w:r w:rsidRPr="00C94AE8">
        <w:lastRenderedPageBreak/>
        <w:t xml:space="preserve">receiving an ex ante total return (inclusive of the value of imputation credits) commensurate with the efficient equity financing costs of </w:t>
      </w:r>
      <w:r w:rsidR="007F6B1C">
        <w:t>a</w:t>
      </w:r>
      <w:r w:rsidRPr="00C94AE8">
        <w:t xml:space="preserve"> benchmark efficient entity.</w:t>
      </w:r>
    </w:p>
    <w:p w:rsidR="00883125" w:rsidRPr="00883125" w:rsidRDefault="00883125" w:rsidP="00883125">
      <w:pPr>
        <w:numPr>
          <w:ilvl w:val="0"/>
          <w:numId w:val="24"/>
        </w:numPr>
      </w:pPr>
      <w:r w:rsidRPr="00883125">
        <w:t>Estimating the value of imputation credits is a complex and imprecise task. There is no consensus among experts on the appropriate value or estimation techniques to use.</w:t>
      </w:r>
      <w:r w:rsidRPr="00E82D06">
        <w:rPr>
          <w:rStyle w:val="FootnoteReference"/>
        </w:rPr>
        <w:footnoteReference w:id="4"/>
      </w:r>
      <w:r w:rsidRPr="00E82D06">
        <w:rPr>
          <w:rStyle w:val="FootnoteReference"/>
        </w:rPr>
        <w:t xml:space="preserve"> </w:t>
      </w:r>
      <w:r w:rsidRPr="00883125">
        <w:t>Further, with each estimation technique there are often a number of ways these may be applied resulting in different outcomes. Conceptually, the value of imputation credits must be between 0 and 1, and the range of expert views on the value of imputation credits is almost this wide.</w:t>
      </w:r>
      <w:r w:rsidRPr="00E82D06">
        <w:rPr>
          <w:rStyle w:val="FootnoteReference"/>
        </w:rPr>
        <w:footnoteReference w:id="5"/>
      </w:r>
    </w:p>
    <w:p w:rsidR="007F6B1C" w:rsidRPr="005942A6" w:rsidRDefault="00883125" w:rsidP="005942A6">
      <w:pPr>
        <w:rPr>
          <w:rStyle w:val="AERbody"/>
        </w:rPr>
      </w:pPr>
      <w:r w:rsidRPr="005942A6">
        <w:rPr>
          <w:rStyle w:val="AERbody"/>
        </w:rPr>
        <w:t>In coming to a value of imputation credits</w:t>
      </w:r>
      <w:r w:rsidR="00DD4252" w:rsidRPr="005942A6">
        <w:rPr>
          <w:rStyle w:val="AERbody"/>
        </w:rPr>
        <w:t xml:space="preserve"> </w:t>
      </w:r>
      <w:r w:rsidRPr="005942A6">
        <w:rPr>
          <w:rStyle w:val="AERbody"/>
        </w:rPr>
        <w:t>of 0.4</w:t>
      </w:r>
      <w:r w:rsidR="007F6B1C" w:rsidRPr="005942A6">
        <w:rPr>
          <w:rStyle w:val="AERbody"/>
        </w:rPr>
        <w:t>:</w:t>
      </w:r>
    </w:p>
    <w:p w:rsidR="007F6B1C" w:rsidRPr="00DD1139" w:rsidRDefault="007F6B1C" w:rsidP="00583683">
      <w:pPr>
        <w:pStyle w:val="AERbulletlistfirststyle"/>
      </w:pPr>
      <w:r w:rsidRPr="00DD1139">
        <w:t>We a</w:t>
      </w:r>
      <w:r w:rsidR="00B87684" w:rsidRPr="00DD1139">
        <w:t>dopt</w:t>
      </w:r>
      <w:r w:rsidRPr="00DD1139">
        <w:t xml:space="preserve"> a conceptual approach consistent with the Officer framework,</w:t>
      </w:r>
      <w:r w:rsidRPr="00437E7F">
        <w:rPr>
          <w:rStyle w:val="FootnoteReference"/>
        </w:rPr>
        <w:footnoteReference w:id="6"/>
      </w:r>
      <w:r w:rsidRPr="00DD1139">
        <w:t xml:space="preserve"> which we consider best promotes the objectives and requirements of the NER/NGR.</w:t>
      </w:r>
      <w:r w:rsidR="001945A3" w:rsidRPr="00DD1139">
        <w:t xml:space="preserve"> This approach </w:t>
      </w:r>
      <w:r w:rsidR="00032998" w:rsidRPr="00DD1139">
        <w:t>considers the value of imputation credits is a post-tax value before the impact of personal taxes and transaction costs. As such, we view</w:t>
      </w:r>
      <w:r w:rsidR="001945A3" w:rsidRPr="00DD1139">
        <w:t xml:space="preserve"> </w:t>
      </w:r>
      <w:r w:rsidR="00100507" w:rsidRPr="00DD1139">
        <w:t>the value of imputation credits</w:t>
      </w:r>
      <w:r w:rsidR="001945A3" w:rsidRPr="00DD1139">
        <w:t xml:space="preserve"> as the proportion of company tax returned to investors through the utilisation of imputation credits.</w:t>
      </w:r>
      <w:r w:rsidR="00484B0E" w:rsidRPr="00583683">
        <w:rPr>
          <w:rStyle w:val="FootnoteReference"/>
        </w:rPr>
        <w:footnoteReference w:id="7"/>
      </w:r>
    </w:p>
    <w:p w:rsidR="00B01454" w:rsidRPr="00DD1139" w:rsidRDefault="00100507">
      <w:pPr>
        <w:pStyle w:val="AERbulletlistfirststyle"/>
      </w:pPr>
      <w:r w:rsidRPr="00DD1139">
        <w:t>We consider our</w:t>
      </w:r>
      <w:r w:rsidR="00B87684" w:rsidRPr="00DD1139">
        <w:t xml:space="preserve"> conceptual approach</w:t>
      </w:r>
      <w:r w:rsidRPr="00DD1139">
        <w:t xml:space="preserve"> allows for the value of imputation credits</w:t>
      </w:r>
      <w:r w:rsidR="00B87684" w:rsidRPr="00DD1139">
        <w:t xml:space="preserve"> </w:t>
      </w:r>
      <w:r w:rsidRPr="00DD1139">
        <w:t xml:space="preserve">to be estimated </w:t>
      </w:r>
      <w:r w:rsidR="00D5420C" w:rsidRPr="00DD1139">
        <w:t xml:space="preserve">on a consistent basis </w:t>
      </w:r>
      <w:r w:rsidR="00DD4252" w:rsidRPr="00DD1139">
        <w:t xml:space="preserve">with </w:t>
      </w:r>
      <w:r w:rsidRPr="00DD1139">
        <w:t>the</w:t>
      </w:r>
      <w:r w:rsidR="00DD4252" w:rsidRPr="00DD1139">
        <w:t xml:space="preserve"> </w:t>
      </w:r>
      <w:r w:rsidR="00D5420C" w:rsidRPr="00DD1139">
        <w:t xml:space="preserve">allowed </w:t>
      </w:r>
      <w:r w:rsidR="00DD4252" w:rsidRPr="00DD1139">
        <w:t>rate of return</w:t>
      </w:r>
      <w:r w:rsidR="00B01454" w:rsidRPr="00DD1139">
        <w:t xml:space="preserve"> </w:t>
      </w:r>
      <w:r w:rsidR="00DD4252" w:rsidRPr="00DD1139">
        <w:t xml:space="preserve">and </w:t>
      </w:r>
      <w:r w:rsidR="00D5420C" w:rsidRPr="00DD1139">
        <w:t xml:space="preserve">allowed </w:t>
      </w:r>
      <w:r w:rsidRPr="00DD1139">
        <w:t xml:space="preserve">revenues </w:t>
      </w:r>
      <w:r w:rsidR="00B01454" w:rsidRPr="00DD1139">
        <w:t xml:space="preserve">under </w:t>
      </w:r>
      <w:r w:rsidR="00032998" w:rsidRPr="00DD1139">
        <w:t>the post-tax framework in the NER/NGR</w:t>
      </w:r>
      <w:r w:rsidR="00B01454" w:rsidRPr="00DD1139">
        <w:t>.</w:t>
      </w:r>
      <w:r w:rsidR="00A50DB1" w:rsidRPr="00583683">
        <w:rPr>
          <w:rStyle w:val="FootnoteReference"/>
        </w:rPr>
        <w:footnoteReference w:id="8"/>
      </w:r>
      <w:r w:rsidR="00DD4252" w:rsidRPr="00DD1139">
        <w:t xml:space="preserve"> </w:t>
      </w:r>
    </w:p>
    <w:p w:rsidR="00B87684" w:rsidRPr="00DD1139" w:rsidRDefault="00B87684">
      <w:pPr>
        <w:pStyle w:val="AERbulletlistfirststyle"/>
      </w:pPr>
      <w:r w:rsidRPr="00DD1139">
        <w:t xml:space="preserve">We use the widely accepted approach of estimating the value of imputation credits as the product of two sub-parameters: the 'distribution rate' and the 'utilisation </w:t>
      </w:r>
      <w:r w:rsidR="00C8658C" w:rsidRPr="00DD1139">
        <w:t>rate'</w:t>
      </w:r>
      <w:r w:rsidRPr="00DD1139">
        <w:t>.</w:t>
      </w:r>
      <w:r w:rsidRPr="00583683">
        <w:rPr>
          <w:rStyle w:val="FootnoteReference"/>
        </w:rPr>
        <w:footnoteReference w:id="9"/>
      </w:r>
      <w:r w:rsidR="00100507" w:rsidRPr="00DD1139">
        <w:t xml:space="preserve"> </w:t>
      </w:r>
      <w:r w:rsidR="006E6D04" w:rsidRPr="00DD1139">
        <w:t xml:space="preserve">Our definition of, and estimation approach for, these sub-parameters is set out in </w:t>
      </w:r>
      <w:r w:rsidR="00DE0F6A" w:rsidRPr="00DD1139">
        <w:fldChar w:fldCharType="begin"/>
      </w:r>
      <w:r w:rsidR="00DE0F6A" w:rsidRPr="00DD1139">
        <w:instrText xml:space="preserve"> REF  _Ref450662555 \* Lower \h </w:instrText>
      </w:r>
      <w:r w:rsidR="00825430" w:rsidRPr="00DD1139">
        <w:instrText xml:space="preserve"> \* MERGEFORMAT </w:instrText>
      </w:r>
      <w:r w:rsidR="00DE0F6A" w:rsidRPr="00DD1139">
        <w:fldChar w:fldCharType="separate"/>
      </w:r>
      <w:r w:rsidR="00881794">
        <w:t>table 4</w:t>
      </w:r>
      <w:r w:rsidR="00881794">
        <w:noBreakHyphen/>
        <w:t>1</w:t>
      </w:r>
      <w:r w:rsidR="00DE0F6A" w:rsidRPr="00DD1139">
        <w:fldChar w:fldCharType="end"/>
      </w:r>
      <w:r w:rsidR="006E6D04" w:rsidRPr="00DD1139">
        <w:t>.</w:t>
      </w:r>
    </w:p>
    <w:p w:rsidR="006E6D04" w:rsidRDefault="006E6D04" w:rsidP="00881794">
      <w:pPr>
        <w:pStyle w:val="Caption"/>
      </w:pPr>
      <w:bookmarkStart w:id="18" w:name="_Ref450662555"/>
      <w:r>
        <w:lastRenderedPageBreak/>
        <w:t xml:space="preserve">Table </w:t>
      </w:r>
      <w:r w:rsidR="004B4BF3">
        <w:fldChar w:fldCharType="begin"/>
      </w:r>
      <w:r w:rsidR="004B4BF3">
        <w:instrText xml:space="preserve"> STYLEREF 1 \s </w:instrText>
      </w:r>
      <w:r w:rsidR="004B4BF3">
        <w:fldChar w:fldCharType="separate"/>
      </w:r>
      <w:r w:rsidR="00881794">
        <w:rPr>
          <w:noProof/>
        </w:rPr>
        <w:t>4</w:t>
      </w:r>
      <w:r w:rsidR="004B4BF3">
        <w:rPr>
          <w:noProof/>
        </w:rPr>
        <w:fldChar w:fldCharType="end"/>
      </w:r>
      <w:r>
        <w:noBreakHyphen/>
      </w:r>
      <w:r w:rsidR="004B4BF3">
        <w:fldChar w:fldCharType="begin"/>
      </w:r>
      <w:r w:rsidR="004B4BF3">
        <w:instrText xml:space="preserve"> SEQ Table \* ARABIC \s 1 </w:instrText>
      </w:r>
      <w:r w:rsidR="004B4BF3">
        <w:fldChar w:fldCharType="separate"/>
      </w:r>
      <w:r w:rsidR="00881794">
        <w:rPr>
          <w:noProof/>
        </w:rPr>
        <w:t>1</w:t>
      </w:r>
      <w:r w:rsidR="004B4BF3">
        <w:rPr>
          <w:noProof/>
        </w:rPr>
        <w:fldChar w:fldCharType="end"/>
      </w:r>
      <w:bookmarkEnd w:id="18"/>
      <w:r>
        <w:tab/>
        <w:t>Gamma sub-parameters: definition and estimation approach</w:t>
      </w:r>
    </w:p>
    <w:tbl>
      <w:tblPr>
        <w:tblStyle w:val="AERtable-text0"/>
        <w:tblW w:w="0" w:type="auto"/>
        <w:tblLook w:val="04A0" w:firstRow="1" w:lastRow="0" w:firstColumn="1" w:lastColumn="0" w:noHBand="0" w:noVBand="1"/>
      </w:tblPr>
      <w:tblGrid>
        <w:gridCol w:w="2518"/>
        <w:gridCol w:w="2977"/>
        <w:gridCol w:w="3747"/>
      </w:tblGrid>
      <w:tr w:rsidR="004746B6" w:rsidTr="00E82D06">
        <w:trPr>
          <w:cnfStyle w:val="100000000000" w:firstRow="1" w:lastRow="0" w:firstColumn="0" w:lastColumn="0" w:oddVBand="0" w:evenVBand="0" w:oddHBand="0" w:evenHBand="0" w:firstRowFirstColumn="0" w:firstRowLastColumn="0" w:lastRowFirstColumn="0" w:lastRowLastColumn="0"/>
        </w:trPr>
        <w:tc>
          <w:tcPr>
            <w:tcW w:w="2518" w:type="dxa"/>
          </w:tcPr>
          <w:p w:rsidR="004746B6" w:rsidRDefault="004746B6" w:rsidP="00881794">
            <w:pPr>
              <w:keepNext/>
              <w:numPr>
                <w:ilvl w:val="0"/>
                <w:numId w:val="24"/>
              </w:numPr>
            </w:pPr>
            <w:r>
              <w:t>Sub-parameter</w:t>
            </w:r>
          </w:p>
        </w:tc>
        <w:tc>
          <w:tcPr>
            <w:tcW w:w="2977" w:type="dxa"/>
          </w:tcPr>
          <w:p w:rsidR="004746B6" w:rsidRDefault="004746B6" w:rsidP="00881794">
            <w:pPr>
              <w:keepNext/>
              <w:numPr>
                <w:ilvl w:val="0"/>
                <w:numId w:val="24"/>
              </w:numPr>
            </w:pPr>
            <w:r>
              <w:t>Definition</w:t>
            </w:r>
          </w:p>
        </w:tc>
        <w:tc>
          <w:tcPr>
            <w:tcW w:w="3747" w:type="dxa"/>
          </w:tcPr>
          <w:p w:rsidR="004746B6" w:rsidRDefault="006E6D04" w:rsidP="00881794">
            <w:pPr>
              <w:keepNext/>
              <w:numPr>
                <w:ilvl w:val="0"/>
                <w:numId w:val="24"/>
              </w:numPr>
            </w:pPr>
            <w:r>
              <w:t>Estimation a</w:t>
            </w:r>
            <w:r w:rsidR="004746B6">
              <w:t>pproach</w:t>
            </w:r>
          </w:p>
        </w:tc>
      </w:tr>
      <w:tr w:rsidR="004746B6" w:rsidTr="00E82D06">
        <w:tc>
          <w:tcPr>
            <w:tcW w:w="2518" w:type="dxa"/>
          </w:tcPr>
          <w:p w:rsidR="004746B6" w:rsidRDefault="004746B6" w:rsidP="00881794">
            <w:pPr>
              <w:keepNext/>
              <w:numPr>
                <w:ilvl w:val="0"/>
                <w:numId w:val="24"/>
              </w:numPr>
            </w:pPr>
            <w:r>
              <w:t>Distribution rate (or payout ratio)</w:t>
            </w:r>
          </w:p>
        </w:tc>
        <w:tc>
          <w:tcPr>
            <w:tcW w:w="2977" w:type="dxa"/>
          </w:tcPr>
          <w:p w:rsidR="004746B6" w:rsidRDefault="004746B6" w:rsidP="00881794">
            <w:pPr>
              <w:keepNext/>
              <w:numPr>
                <w:ilvl w:val="0"/>
                <w:numId w:val="24"/>
              </w:numPr>
            </w:pPr>
            <w:r>
              <w:t>T</w:t>
            </w:r>
            <w:r w:rsidRPr="004746B6">
              <w:t>he proportion of imputation credits generated that is distributed to investors</w:t>
            </w:r>
          </w:p>
        </w:tc>
        <w:tc>
          <w:tcPr>
            <w:tcW w:w="3747" w:type="dxa"/>
          </w:tcPr>
          <w:p w:rsidR="004746B6" w:rsidRDefault="00C331F2" w:rsidP="00881794">
            <w:pPr>
              <w:keepNext/>
              <w:numPr>
                <w:ilvl w:val="0"/>
                <w:numId w:val="24"/>
              </w:numPr>
            </w:pPr>
            <w:r>
              <w:t xml:space="preserve">Primary </w:t>
            </w:r>
            <w:r w:rsidR="0060763E">
              <w:t>reliance placed on</w:t>
            </w:r>
            <w:r>
              <w:t xml:space="preserve"> t</w:t>
            </w:r>
            <w:r w:rsidR="004746B6">
              <w:t xml:space="preserve">he </w:t>
            </w:r>
            <w:r w:rsidR="004746B6" w:rsidRPr="004746B6">
              <w:t xml:space="preserve">widely accepted </w:t>
            </w:r>
            <w:r w:rsidR="00A16B11">
              <w:t>cumulative payout ratio approach</w:t>
            </w:r>
            <w:r>
              <w:t xml:space="preserve">. </w:t>
            </w:r>
            <w:r w:rsidR="0060763E">
              <w:t>S</w:t>
            </w:r>
            <w:r>
              <w:t xml:space="preserve">ome regard is </w:t>
            </w:r>
            <w:r w:rsidR="0060763E">
              <w:t xml:space="preserve">also </w:t>
            </w:r>
            <w:r>
              <w:t xml:space="preserve">given to Lally's estimate for listed equity from financial reports of the 20 largest </w:t>
            </w:r>
            <w:r w:rsidR="003B7658">
              <w:t>listed firms.</w:t>
            </w:r>
          </w:p>
        </w:tc>
      </w:tr>
      <w:tr w:rsidR="004746B6" w:rsidTr="00E82D06">
        <w:trPr>
          <w:cnfStyle w:val="000000010000" w:firstRow="0" w:lastRow="0" w:firstColumn="0" w:lastColumn="0" w:oddVBand="0" w:evenVBand="0" w:oddHBand="0" w:evenHBand="1" w:firstRowFirstColumn="0" w:firstRowLastColumn="0" w:lastRowFirstColumn="0" w:lastRowLastColumn="0"/>
        </w:trPr>
        <w:tc>
          <w:tcPr>
            <w:tcW w:w="2518" w:type="dxa"/>
          </w:tcPr>
          <w:p w:rsidR="004746B6" w:rsidRDefault="004746B6" w:rsidP="00881794">
            <w:pPr>
              <w:keepNext/>
              <w:numPr>
                <w:ilvl w:val="0"/>
                <w:numId w:val="24"/>
              </w:numPr>
            </w:pPr>
            <w:r>
              <w:t xml:space="preserve">Utilisation </w:t>
            </w:r>
            <w:r w:rsidR="00C8658C">
              <w:t>rate</w:t>
            </w:r>
            <w:r w:rsidR="00CB38D8">
              <w:t xml:space="preserve"> </w:t>
            </w:r>
            <w:r>
              <w:t>(or theta)</w:t>
            </w:r>
          </w:p>
        </w:tc>
        <w:tc>
          <w:tcPr>
            <w:tcW w:w="2977" w:type="dxa"/>
          </w:tcPr>
          <w:p w:rsidR="004746B6" w:rsidRDefault="004746B6" w:rsidP="00881794">
            <w:pPr>
              <w:keepNext/>
              <w:numPr>
                <w:ilvl w:val="0"/>
                <w:numId w:val="24"/>
              </w:numPr>
            </w:pPr>
            <w:r>
              <w:t>T</w:t>
            </w:r>
            <w:r w:rsidRPr="004746B6">
              <w:t>he utilisation value to investors in the market per dollar of imputation credits distributed</w:t>
            </w:r>
            <w:r w:rsidR="00F20147">
              <w:rPr>
                <w:rStyle w:val="FootnoteReference"/>
              </w:rPr>
              <w:footnoteReference w:id="10"/>
            </w:r>
          </w:p>
        </w:tc>
        <w:tc>
          <w:tcPr>
            <w:tcW w:w="3747" w:type="dxa"/>
          </w:tcPr>
          <w:p w:rsidR="004746B6" w:rsidRDefault="004746B6" w:rsidP="00881794">
            <w:pPr>
              <w:keepNext/>
              <w:numPr>
                <w:ilvl w:val="0"/>
                <w:numId w:val="24"/>
              </w:numPr>
            </w:pPr>
            <w:r>
              <w:t>A range of approaches, with due regard to the merit of each approach</w:t>
            </w:r>
            <w:r w:rsidR="006E6D04">
              <w:t>:</w:t>
            </w:r>
          </w:p>
          <w:p w:rsidR="004746B6" w:rsidRDefault="006E6D04" w:rsidP="00881794">
            <w:pPr>
              <w:pStyle w:val="AERbulletlistfirststyle"/>
              <w:keepNext/>
            </w:pPr>
            <w:r>
              <w:t>equity ownership approach</w:t>
            </w:r>
          </w:p>
          <w:p w:rsidR="006E6D04" w:rsidRDefault="006E6D04" w:rsidP="00881794">
            <w:pPr>
              <w:pStyle w:val="AERbulletlistfirststyle"/>
              <w:keepNext/>
            </w:pPr>
            <w:r>
              <w:t>tax statistics</w:t>
            </w:r>
          </w:p>
          <w:p w:rsidR="006E6D04" w:rsidRDefault="006E6D04" w:rsidP="00881794">
            <w:pPr>
              <w:pStyle w:val="AERbulletlistfirststyle"/>
              <w:keepNext/>
            </w:pPr>
            <w:r>
              <w:t>implied market value studies</w:t>
            </w:r>
          </w:p>
        </w:tc>
      </w:tr>
    </w:tbl>
    <w:p w:rsidR="004746B6" w:rsidRDefault="006E6D04" w:rsidP="00881794">
      <w:pPr>
        <w:pStyle w:val="AERtablesource"/>
        <w:keepNext/>
      </w:pPr>
      <w:r>
        <w:t>Source:</w:t>
      </w:r>
      <w:r>
        <w:tab/>
        <w:t xml:space="preserve">AER analysis, see section </w:t>
      </w:r>
      <w:r w:rsidR="005D3A9A">
        <w:fldChar w:fldCharType="begin"/>
      </w:r>
      <w:r w:rsidR="005D3A9A">
        <w:instrText xml:space="preserve"> REF _Ref401133206 \r \h </w:instrText>
      </w:r>
      <w:r w:rsidR="005D3A9A">
        <w:fldChar w:fldCharType="separate"/>
      </w:r>
      <w:r w:rsidR="00881794">
        <w:t>A.10</w:t>
      </w:r>
      <w:r w:rsidR="005D3A9A">
        <w:fldChar w:fldCharType="end"/>
      </w:r>
      <w:r w:rsidR="005D3A9A">
        <w:t xml:space="preserve">, </w:t>
      </w:r>
      <w:r w:rsidR="005D3A9A">
        <w:fldChar w:fldCharType="begin"/>
      </w:r>
      <w:r w:rsidR="005D3A9A">
        <w:instrText xml:space="preserve"> REF _Ref415049811 \r \h </w:instrText>
      </w:r>
      <w:r w:rsidR="005D3A9A">
        <w:fldChar w:fldCharType="separate"/>
      </w:r>
      <w:r w:rsidR="00881794">
        <w:t>A.12</w:t>
      </w:r>
      <w:r w:rsidR="005D3A9A">
        <w:fldChar w:fldCharType="end"/>
      </w:r>
      <w:r w:rsidR="005D3A9A">
        <w:t xml:space="preserve">, </w:t>
      </w:r>
      <w:r w:rsidR="005D3A9A">
        <w:fldChar w:fldCharType="begin"/>
      </w:r>
      <w:r w:rsidR="005D3A9A">
        <w:instrText xml:space="preserve"> REF _Ref402179420 \r \h </w:instrText>
      </w:r>
      <w:r w:rsidR="005D3A9A">
        <w:fldChar w:fldCharType="separate"/>
      </w:r>
      <w:r w:rsidR="00881794">
        <w:t>A.13</w:t>
      </w:r>
      <w:r w:rsidR="005D3A9A">
        <w:fldChar w:fldCharType="end"/>
      </w:r>
      <w:r w:rsidR="005D3A9A">
        <w:t xml:space="preserve"> and </w:t>
      </w:r>
      <w:r w:rsidR="005D3A9A">
        <w:fldChar w:fldCharType="begin"/>
      </w:r>
      <w:r w:rsidR="005D3A9A">
        <w:instrText xml:space="preserve"> REF _Ref451184082 \r \h </w:instrText>
      </w:r>
      <w:r w:rsidR="005D3A9A">
        <w:fldChar w:fldCharType="separate"/>
      </w:r>
      <w:r w:rsidR="00881794">
        <w:t>A.15</w:t>
      </w:r>
      <w:r w:rsidR="005D3A9A">
        <w:fldChar w:fldCharType="end"/>
      </w:r>
      <w:r>
        <w:t>.</w:t>
      </w:r>
    </w:p>
    <w:p w:rsidR="00883125" w:rsidRPr="00883125" w:rsidRDefault="00883125" w:rsidP="00883125">
      <w:pPr>
        <w:numPr>
          <w:ilvl w:val="0"/>
          <w:numId w:val="24"/>
        </w:numPr>
      </w:pPr>
      <w:r w:rsidRPr="00883125">
        <w:t xml:space="preserve">Overall, </w:t>
      </w:r>
      <w:r w:rsidR="00100507">
        <w:t>the</w:t>
      </w:r>
      <w:r w:rsidR="00100507" w:rsidRPr="00883125">
        <w:t xml:space="preserve"> </w:t>
      </w:r>
      <w:r w:rsidRPr="00883125">
        <w:t>evidence suggests a range of estimates for the value of imputation credits might be reasonable. With regard to the merits of the evidence before us, we choose a value of imputation credits of 0.4 from within a range of 0.3 to 0.5.</w:t>
      </w:r>
    </w:p>
    <w:p w:rsidR="00883125" w:rsidRDefault="00883125" w:rsidP="00883125">
      <w:r w:rsidRPr="00883125">
        <w:t xml:space="preserve">In considering the evidence on the distribution and utilisation rates, we have broadly maintained the approach set out in the </w:t>
      </w:r>
      <w:r w:rsidR="009029A1">
        <w:t>R</w:t>
      </w:r>
      <w:r w:rsidRPr="00883125">
        <w:t xml:space="preserve">ate of </w:t>
      </w:r>
      <w:r w:rsidR="009029A1">
        <w:t>R</w:t>
      </w:r>
      <w:r w:rsidR="009029A1" w:rsidRPr="00883125">
        <w:t xml:space="preserve">eturn </w:t>
      </w:r>
      <w:r w:rsidR="009029A1">
        <w:t>G</w:t>
      </w:r>
      <w:r w:rsidR="009029A1" w:rsidRPr="00883125">
        <w:t xml:space="preserve">uideline </w:t>
      </w:r>
      <w:r w:rsidRPr="00883125">
        <w:t>(the Guideline), but have re-examined the relevant evidence and estimates. This re-examination, and new evidence and advice considered since the Guideline, led us to depart from the 0.5 value of imputation credits we proposed in the Guideline.</w:t>
      </w:r>
    </w:p>
    <w:p w:rsidR="009029A1" w:rsidRPr="00883125" w:rsidRDefault="009029A1" w:rsidP="00E82D06">
      <w:pPr>
        <w:pStyle w:val="HeadingBoldBlue"/>
      </w:pPr>
      <w:r>
        <w:t>Recent developments</w:t>
      </w:r>
    </w:p>
    <w:p w:rsidR="00946022" w:rsidRDefault="00883125" w:rsidP="00946022">
      <w:pPr>
        <w:rPr>
          <w:rStyle w:val="AERbody"/>
        </w:rPr>
      </w:pPr>
      <w:r w:rsidRPr="005942A6">
        <w:rPr>
          <w:rStyle w:val="AERbody"/>
        </w:rPr>
        <w:t xml:space="preserve">Since the service providers submitted their revised proposals, </w:t>
      </w:r>
      <w:r w:rsidR="009029A1" w:rsidRPr="005942A6">
        <w:rPr>
          <w:rStyle w:val="AERbody"/>
        </w:rPr>
        <w:t xml:space="preserve">a number of service providers made late submissions. These late submissions have asked us to take into account a range of issues identified in </w:t>
      </w:r>
      <w:r w:rsidRPr="005942A6">
        <w:rPr>
          <w:rStyle w:val="AERbody"/>
        </w:rPr>
        <w:t xml:space="preserve">the </w:t>
      </w:r>
      <w:r w:rsidR="00AD771B" w:rsidRPr="005942A6">
        <w:rPr>
          <w:rStyle w:val="AERbody"/>
        </w:rPr>
        <w:t xml:space="preserve">recent </w:t>
      </w:r>
      <w:r w:rsidR="006E6D04" w:rsidRPr="005942A6">
        <w:rPr>
          <w:rStyle w:val="AERbody"/>
        </w:rPr>
        <w:t xml:space="preserve">Australian Competition </w:t>
      </w:r>
      <w:r w:rsidRPr="005942A6">
        <w:rPr>
          <w:rStyle w:val="AERbody"/>
        </w:rPr>
        <w:t>Tribunal</w:t>
      </w:r>
      <w:r w:rsidR="006E6D04" w:rsidRPr="005942A6">
        <w:rPr>
          <w:rStyle w:val="AERbody"/>
        </w:rPr>
        <w:t xml:space="preserve"> (</w:t>
      </w:r>
      <w:r w:rsidR="00AD771B" w:rsidRPr="005942A6">
        <w:rPr>
          <w:rStyle w:val="AERbody"/>
        </w:rPr>
        <w:t xml:space="preserve">the </w:t>
      </w:r>
      <w:r w:rsidR="006E6D04" w:rsidRPr="005942A6">
        <w:rPr>
          <w:rStyle w:val="AERbody"/>
        </w:rPr>
        <w:t xml:space="preserve">Tribunal) </w:t>
      </w:r>
      <w:r w:rsidRPr="005942A6">
        <w:rPr>
          <w:rStyle w:val="AERbody"/>
        </w:rPr>
        <w:t>decisions for ActewAGL Distribution, Ausgrid, Endeavour Energy, Essential Energy and Jemena Gas Networks.</w:t>
      </w:r>
      <w:r w:rsidR="00127473" w:rsidRPr="005942A6">
        <w:rPr>
          <w:rStyle w:val="FootnoteReference"/>
        </w:rPr>
        <w:footnoteReference w:id="11"/>
      </w:r>
      <w:r w:rsidRPr="005942A6">
        <w:rPr>
          <w:rStyle w:val="AERbody"/>
        </w:rPr>
        <w:t xml:space="preserve"> The Tribunal </w:t>
      </w:r>
      <w:r w:rsidR="009029A1" w:rsidRPr="005942A6">
        <w:rPr>
          <w:rStyle w:val="AERbody"/>
        </w:rPr>
        <w:t>ordered the remittal of our final decisions for these service providers</w:t>
      </w:r>
      <w:r w:rsidR="00127473" w:rsidRPr="005942A6">
        <w:rPr>
          <w:rStyle w:val="AERbody"/>
        </w:rPr>
        <w:t>,</w:t>
      </w:r>
      <w:r w:rsidR="009029A1" w:rsidRPr="005942A6">
        <w:rPr>
          <w:rStyle w:val="AERbody"/>
        </w:rPr>
        <w:t xml:space="preserve"> </w:t>
      </w:r>
      <w:r w:rsidR="00127473" w:rsidRPr="005942A6">
        <w:rPr>
          <w:rStyle w:val="AERbody"/>
        </w:rPr>
        <w:t xml:space="preserve">with directions to remake </w:t>
      </w:r>
      <w:r w:rsidR="00574BE2" w:rsidRPr="005942A6">
        <w:rPr>
          <w:rStyle w:val="AERbody"/>
        </w:rPr>
        <w:t xml:space="preserve">our decision </w:t>
      </w:r>
      <w:r w:rsidR="00127473" w:rsidRPr="005942A6">
        <w:rPr>
          <w:rStyle w:val="AERbody"/>
        </w:rPr>
        <w:t>by reference to an estimated cost of corporate income tax based on a gamma of 0.25</w:t>
      </w:r>
      <w:r w:rsidRPr="005942A6">
        <w:rPr>
          <w:rStyle w:val="AERbody"/>
        </w:rPr>
        <w:t>.</w:t>
      </w:r>
      <w:r w:rsidR="00377B09" w:rsidRPr="005942A6">
        <w:rPr>
          <w:rStyle w:val="AERbody"/>
        </w:rPr>
        <w:t xml:space="preserve"> </w:t>
      </w:r>
      <w:r w:rsidR="00946022" w:rsidRPr="005942A6">
        <w:rPr>
          <w:rStyle w:val="AERbody"/>
        </w:rPr>
        <w:t>We consider that the Tribunal erred in reaching its conclusion and we have sought review of the Tribunal's decision in the Federal Court</w:t>
      </w:r>
      <w:r w:rsidR="00946022">
        <w:rPr>
          <w:rStyle w:val="AERbody"/>
        </w:rPr>
        <w:t>.  We take the view:</w:t>
      </w:r>
    </w:p>
    <w:p w:rsidR="00946022" w:rsidRPr="00E44473" w:rsidRDefault="00946022" w:rsidP="00946022">
      <w:pPr>
        <w:pStyle w:val="AERbulletlistfirststyle"/>
      </w:pPr>
      <w:r w:rsidRPr="00E44473">
        <w:t>there is no consensus amongst experts as to the best approach to estimating gamma</w:t>
      </w:r>
      <w:r>
        <w:t>.  The AER must therefore choose an appropriate value for gamma from amongst the alternatives.  We must reach our own view on the appropriate reliance to place upon different views and methodologies in reaching our decision</w:t>
      </w:r>
    </w:p>
    <w:p w:rsidR="00946022" w:rsidRPr="00E44473" w:rsidRDefault="00946022" w:rsidP="00946022">
      <w:pPr>
        <w:pStyle w:val="AERbulletlistfirststyle"/>
      </w:pPr>
      <w:r w:rsidRPr="00E44473">
        <w:lastRenderedPageBreak/>
        <w:t>the Tribunal</w:t>
      </w:r>
      <w:r>
        <w:t>'s</w:t>
      </w:r>
      <w:r w:rsidRPr="00E44473">
        <w:t xml:space="preserve"> view that the </w:t>
      </w:r>
      <w:r>
        <w:t>“tax statistics approach</w:t>
      </w:r>
      <w:r w:rsidRPr="00E44473">
        <w:t>” to estimating gamma could be used only as an “upper bound” for the purposes of ascertaining theta,</w:t>
      </w:r>
      <w:r>
        <w:t xml:space="preserve"> is not correct</w:t>
      </w:r>
    </w:p>
    <w:p w:rsidR="00946022" w:rsidRPr="00E44473" w:rsidRDefault="00946022" w:rsidP="00946022">
      <w:pPr>
        <w:pStyle w:val="AERbulletlistfirststyle"/>
      </w:pPr>
      <w:r w:rsidRPr="00E44473">
        <w:t xml:space="preserve">the </w:t>
      </w:r>
      <w:r>
        <w:t>Tribunal erred on the meaning of</w:t>
      </w:r>
      <w:r w:rsidRPr="00E44473">
        <w:t xml:space="preserve"> “the valuation of imputation credits” in the NER and NGR</w:t>
      </w:r>
      <w:r>
        <w:t>. T</w:t>
      </w:r>
      <w:r w:rsidRPr="001C68DB">
        <w:t xml:space="preserve">he value of gamma </w:t>
      </w:r>
      <w:r>
        <w:t>should be seen as</w:t>
      </w:r>
      <w:r w:rsidRPr="001C68DB">
        <w:t xml:space="preserve"> a post-tax value</w:t>
      </w:r>
      <w:r>
        <w:t>,</w:t>
      </w:r>
      <w:r w:rsidRPr="001C68DB">
        <w:t xml:space="preserve"> before the impact of personal taxes and transaction costs</w:t>
      </w:r>
      <w:r>
        <w:t>, with the result that</w:t>
      </w:r>
      <w:r w:rsidRPr="001C68DB">
        <w:t xml:space="preserve"> one dollar of claimed imputation credits has a post (company) tax value of one dollar to investors</w:t>
      </w:r>
      <w:r>
        <w:t>,</w:t>
      </w:r>
      <w:r w:rsidRPr="001C68DB">
        <w:t xml:space="preserve"> before personal taxes and personal transaction costs</w:t>
      </w:r>
      <w:r>
        <w:t>.</w:t>
      </w:r>
    </w:p>
    <w:p w:rsidR="00946022" w:rsidRPr="005942A6" w:rsidRDefault="00946022" w:rsidP="00946022">
      <w:pPr>
        <w:pStyle w:val="AERbulletlistfirststyle"/>
        <w:rPr>
          <w:rStyle w:val="AERbody"/>
        </w:rPr>
      </w:pPr>
      <w:r>
        <w:t>applying the Tribunal’s reasons in relation to gamma does not automatically lead to a value of 0.25 for gamma.</w:t>
      </w:r>
    </w:p>
    <w:p w:rsidR="00A62662" w:rsidRPr="005942A6" w:rsidRDefault="00A62662" w:rsidP="005942A6">
      <w:pPr>
        <w:rPr>
          <w:rStyle w:val="AERbody"/>
        </w:rPr>
      </w:pPr>
      <w:r w:rsidRPr="005942A6">
        <w:rPr>
          <w:rStyle w:val="AERbody"/>
        </w:rPr>
        <w:t xml:space="preserve">At this time we have not completed the remittal of our final decisions for ActewAGL Distribution, Ausgrid, Endeavour Energy, Essential Energy and Jemena Gas Networks. </w:t>
      </w:r>
      <w:r w:rsidR="00E44473">
        <w:rPr>
          <w:rStyle w:val="AERbody"/>
        </w:rPr>
        <w:t>I</w:t>
      </w:r>
      <w:r w:rsidRPr="005942A6">
        <w:rPr>
          <w:rStyle w:val="AERbody"/>
        </w:rPr>
        <w:t>n the time available, we have</w:t>
      </w:r>
      <w:r w:rsidR="00E44473">
        <w:rPr>
          <w:rStyle w:val="AERbody"/>
        </w:rPr>
        <w:t>, however,</w:t>
      </w:r>
      <w:r w:rsidRPr="005942A6">
        <w:rPr>
          <w:rStyle w:val="AERbody"/>
        </w:rPr>
        <w:t xml:space="preserve"> reviewed the late submissions from United Energy, </w:t>
      </w:r>
      <w:r w:rsidR="00B26643" w:rsidRPr="005942A6">
        <w:rPr>
          <w:rStyle w:val="AERbody"/>
        </w:rPr>
        <w:t xml:space="preserve">ActewAGL and </w:t>
      </w:r>
      <w:r w:rsidRPr="005942A6">
        <w:rPr>
          <w:rStyle w:val="AERbody"/>
        </w:rPr>
        <w:t>CitiPower</w:t>
      </w:r>
      <w:r w:rsidR="00B26643" w:rsidRPr="005942A6">
        <w:rPr>
          <w:rStyle w:val="AERbody"/>
        </w:rPr>
        <w:t>/</w:t>
      </w:r>
      <w:r w:rsidRPr="005942A6">
        <w:rPr>
          <w:rStyle w:val="AERbody"/>
        </w:rPr>
        <w:t>Powercor.</w:t>
      </w:r>
      <w:r w:rsidR="00622485" w:rsidRPr="005942A6">
        <w:rPr>
          <w:rStyle w:val="FootnoteReference"/>
        </w:rPr>
        <w:footnoteReference w:id="12"/>
      </w:r>
      <w:r w:rsidRPr="005942A6">
        <w:rPr>
          <w:rStyle w:val="AERbody"/>
        </w:rPr>
        <w:t xml:space="preserve"> </w:t>
      </w:r>
      <w:r w:rsidR="004777CC" w:rsidRPr="005942A6">
        <w:rPr>
          <w:rStyle w:val="AERbody"/>
        </w:rPr>
        <w:t>To the extent time has permitted w</w:t>
      </w:r>
      <w:r w:rsidRPr="005942A6">
        <w:rPr>
          <w:rStyle w:val="AERbody"/>
        </w:rPr>
        <w:t>e have updated this decision to include a response to the key issues raised in the late submissions</w:t>
      </w:r>
      <w:r w:rsidR="00856171" w:rsidRPr="005942A6">
        <w:rPr>
          <w:rStyle w:val="AERbody"/>
        </w:rPr>
        <w:t>, with reference to the Tribunal's reasoning on these specific issues</w:t>
      </w:r>
      <w:r w:rsidRPr="005942A6">
        <w:rPr>
          <w:rStyle w:val="AERbody"/>
        </w:rPr>
        <w:t>.</w:t>
      </w:r>
    </w:p>
    <w:p w:rsidR="00E9566C" w:rsidRPr="00DD1139" w:rsidRDefault="00A62662" w:rsidP="005942A6">
      <w:pPr>
        <w:rPr>
          <w:rStyle w:val="AERbody"/>
        </w:rPr>
      </w:pPr>
      <w:r w:rsidRPr="005942A6">
        <w:rPr>
          <w:rStyle w:val="AERbody"/>
        </w:rPr>
        <w:t>Of the late submissions</w:t>
      </w:r>
      <w:r w:rsidR="00883125" w:rsidRPr="005942A6">
        <w:rPr>
          <w:rStyle w:val="AERbody"/>
        </w:rPr>
        <w:t>,</w:t>
      </w:r>
      <w:r w:rsidRPr="005942A6">
        <w:rPr>
          <w:rStyle w:val="AERbody"/>
        </w:rPr>
        <w:t xml:space="preserve"> the most comprehensive was provided by</w:t>
      </w:r>
      <w:r w:rsidR="00883125" w:rsidRPr="005942A6">
        <w:rPr>
          <w:rStyle w:val="AERbody"/>
        </w:rPr>
        <w:t xml:space="preserve"> United Energy. </w:t>
      </w:r>
      <w:r w:rsidRPr="005942A6">
        <w:rPr>
          <w:rStyle w:val="AERbody"/>
        </w:rPr>
        <w:t xml:space="preserve">By addressing United Energy's submission, we have addressed all of the issues raised in </w:t>
      </w:r>
      <w:r w:rsidR="00622485" w:rsidRPr="005942A6">
        <w:rPr>
          <w:rStyle w:val="AERbody"/>
        </w:rPr>
        <w:t xml:space="preserve">the </w:t>
      </w:r>
      <w:r w:rsidRPr="005942A6">
        <w:rPr>
          <w:rStyle w:val="AERbody"/>
        </w:rPr>
        <w:t>late submissions</w:t>
      </w:r>
      <w:r w:rsidR="00622485" w:rsidRPr="005942A6">
        <w:rPr>
          <w:rStyle w:val="AERbody"/>
        </w:rPr>
        <w:t xml:space="preserve"> by service providers (on gamma)</w:t>
      </w:r>
      <w:r w:rsidRPr="005942A6">
        <w:rPr>
          <w:rStyle w:val="AERbody"/>
        </w:rPr>
        <w:t>.</w:t>
      </w:r>
      <w:r w:rsidR="00BA21EF" w:rsidRPr="005942A6">
        <w:rPr>
          <w:rStyle w:val="FootnoteReference"/>
        </w:rPr>
        <w:footnoteReference w:id="13"/>
      </w:r>
      <w:r w:rsidRPr="00DD1139">
        <w:rPr>
          <w:rStyle w:val="AERbody"/>
        </w:rPr>
        <w:t xml:space="preserve"> </w:t>
      </w:r>
      <w:r w:rsidR="00883125" w:rsidRPr="00DD1139">
        <w:rPr>
          <w:rStyle w:val="AERbody"/>
        </w:rPr>
        <w:t xml:space="preserve">United Energy </w:t>
      </w:r>
      <w:r w:rsidR="00BA21EF" w:rsidRPr="00DD1139">
        <w:rPr>
          <w:rStyle w:val="AERbody"/>
        </w:rPr>
        <w:t>submitted we should apply a gamma of 0.25, consistent with the Tribunal decision</w:t>
      </w:r>
      <w:r w:rsidR="00E82D06" w:rsidRPr="00DD1139">
        <w:rPr>
          <w:rStyle w:val="AERbody"/>
        </w:rPr>
        <w:t>s. The key issues it raised are set out in section 4.4.2.</w:t>
      </w:r>
    </w:p>
    <w:p w:rsidR="00883125" w:rsidRPr="005764F6" w:rsidRDefault="00883125">
      <w:pPr>
        <w:rPr>
          <w:rStyle w:val="AERbody"/>
        </w:rPr>
      </w:pPr>
      <w:r w:rsidRPr="005764F6">
        <w:rPr>
          <w:rStyle w:val="AERbody"/>
        </w:rPr>
        <w:t>We have also sought expert advice from Dr Martin Lally</w:t>
      </w:r>
      <w:r w:rsidR="00574BE2" w:rsidRPr="005764F6">
        <w:rPr>
          <w:rStyle w:val="AERbody"/>
        </w:rPr>
        <w:t xml:space="preserve"> (Lally), in the context of</w:t>
      </w:r>
      <w:r w:rsidR="001C68DB">
        <w:rPr>
          <w:rStyle w:val="AERbody"/>
        </w:rPr>
        <w:t xml:space="preserve"> obtaining </w:t>
      </w:r>
      <w:r w:rsidR="004145C7">
        <w:rPr>
          <w:rStyle w:val="AERbody"/>
        </w:rPr>
        <w:t>specific</w:t>
      </w:r>
      <w:r w:rsidR="001C68DB">
        <w:rPr>
          <w:rStyle w:val="AERbody"/>
        </w:rPr>
        <w:t xml:space="preserve"> advice on the issues raised by service providers in their late submissions</w:t>
      </w:r>
      <w:r w:rsidR="004145C7">
        <w:rPr>
          <w:rStyle w:val="AERbody"/>
        </w:rPr>
        <w:t xml:space="preserve"> including</w:t>
      </w:r>
      <w:r w:rsidR="001C68DB">
        <w:rPr>
          <w:rStyle w:val="AERbody"/>
        </w:rPr>
        <w:t xml:space="preserve"> the matters raised by the Tribunal in its recent decision</w:t>
      </w:r>
      <w:r w:rsidRPr="005764F6">
        <w:rPr>
          <w:rStyle w:val="AERbody"/>
        </w:rPr>
        <w:t>.</w:t>
      </w:r>
      <w:r w:rsidR="00837CD9" w:rsidRPr="005942A6">
        <w:rPr>
          <w:rStyle w:val="FootnoteReference"/>
        </w:rPr>
        <w:footnoteReference w:id="14"/>
      </w:r>
      <w:r w:rsidR="007A7F67" w:rsidRPr="005764F6">
        <w:rPr>
          <w:rStyle w:val="AERbody"/>
        </w:rPr>
        <w:t xml:space="preserve"> </w:t>
      </w:r>
      <w:r w:rsidR="001C68DB">
        <w:rPr>
          <w:rStyle w:val="AERbody"/>
        </w:rPr>
        <w:t>W</w:t>
      </w:r>
      <w:r w:rsidR="007A7F67" w:rsidRPr="005764F6">
        <w:rPr>
          <w:rStyle w:val="AERbody"/>
        </w:rPr>
        <w:t xml:space="preserve">e recognise stakeholders have not had an opportunity to comment on </w:t>
      </w:r>
      <w:r w:rsidR="00D46D75" w:rsidRPr="005764F6">
        <w:rPr>
          <w:rStyle w:val="AERbody"/>
        </w:rPr>
        <w:t>this advice</w:t>
      </w:r>
      <w:r w:rsidR="007A7F67" w:rsidRPr="005764F6">
        <w:rPr>
          <w:rStyle w:val="AERbody"/>
        </w:rPr>
        <w:t xml:space="preserve"> </w:t>
      </w:r>
      <w:r w:rsidR="00574BE2" w:rsidRPr="005764F6">
        <w:rPr>
          <w:rStyle w:val="AERbody"/>
        </w:rPr>
        <w:t xml:space="preserve">as </w:t>
      </w:r>
      <w:r w:rsidR="007A7F67" w:rsidRPr="005764F6">
        <w:rPr>
          <w:rStyle w:val="AERbody"/>
        </w:rPr>
        <w:t xml:space="preserve">it was requested </w:t>
      </w:r>
      <w:r w:rsidR="00D46D75" w:rsidRPr="005764F6">
        <w:rPr>
          <w:rStyle w:val="AERbody"/>
        </w:rPr>
        <w:t>following</w:t>
      </w:r>
      <w:r w:rsidR="007A7F67" w:rsidRPr="005764F6">
        <w:rPr>
          <w:rStyle w:val="AERbody"/>
        </w:rPr>
        <w:t xml:space="preserve"> </w:t>
      </w:r>
      <w:r w:rsidR="00D46D75" w:rsidRPr="005764F6">
        <w:rPr>
          <w:rStyle w:val="AERbody"/>
        </w:rPr>
        <w:t>the late submissions</w:t>
      </w:r>
      <w:r w:rsidR="001C68DB">
        <w:rPr>
          <w:rStyle w:val="AERbody"/>
        </w:rPr>
        <w:t xml:space="preserve"> and only received shortly before the publication of our determination</w:t>
      </w:r>
      <w:r w:rsidR="007A7F67" w:rsidRPr="005764F6">
        <w:rPr>
          <w:rStyle w:val="AERbody"/>
        </w:rPr>
        <w:t>.</w:t>
      </w:r>
      <w:r w:rsidR="00D46D75" w:rsidRPr="005764F6">
        <w:rPr>
          <w:rStyle w:val="AERbody"/>
        </w:rPr>
        <w:t xml:space="preserve"> </w:t>
      </w:r>
      <w:r w:rsidR="00574BE2" w:rsidRPr="005764F6">
        <w:rPr>
          <w:rStyle w:val="AERbody"/>
        </w:rPr>
        <w:t>We consider the advice from Lally is directed only to the issues that have been raised for our consideration.</w:t>
      </w:r>
    </w:p>
    <w:p w:rsidR="00883125" w:rsidRPr="005764F6" w:rsidRDefault="00883125">
      <w:pPr>
        <w:rPr>
          <w:rStyle w:val="AERbody"/>
        </w:rPr>
      </w:pPr>
      <w:r w:rsidRPr="005764F6">
        <w:rPr>
          <w:rStyle w:val="AERbody"/>
        </w:rPr>
        <w:t xml:space="preserve">Following </w:t>
      </w:r>
      <w:r w:rsidR="006E2669" w:rsidRPr="005764F6">
        <w:rPr>
          <w:rStyle w:val="AERbody"/>
        </w:rPr>
        <w:t xml:space="preserve">this </w:t>
      </w:r>
      <w:r w:rsidRPr="005764F6">
        <w:rPr>
          <w:rStyle w:val="AERbody"/>
        </w:rPr>
        <w:t xml:space="preserve">review, </w:t>
      </w:r>
      <w:r w:rsidR="006E2669" w:rsidRPr="005764F6">
        <w:rPr>
          <w:rStyle w:val="AERbody"/>
        </w:rPr>
        <w:t>we consider</w:t>
      </w:r>
      <w:r w:rsidRPr="005764F6">
        <w:rPr>
          <w:rStyle w:val="AERbody"/>
        </w:rPr>
        <w:t xml:space="preserve"> the use of a gamma of 0.4 is appropriate for the reasons set out in this decision</w:t>
      </w:r>
      <w:r w:rsidR="001C68DB">
        <w:rPr>
          <w:rStyle w:val="AERbody"/>
        </w:rPr>
        <w:t xml:space="preserve"> and we therefore maintain that value from our preliminary determination</w:t>
      </w:r>
      <w:r w:rsidRPr="005764F6">
        <w:rPr>
          <w:rStyle w:val="AERbody"/>
        </w:rPr>
        <w:t xml:space="preserve">. These </w:t>
      </w:r>
      <w:r w:rsidR="006E2669" w:rsidRPr="005764F6">
        <w:rPr>
          <w:rStyle w:val="AERbody"/>
        </w:rPr>
        <w:t xml:space="preserve">reasons </w:t>
      </w:r>
      <w:r w:rsidRPr="005764F6">
        <w:rPr>
          <w:rStyle w:val="AERbody"/>
        </w:rPr>
        <w:t xml:space="preserve">are substantively </w:t>
      </w:r>
      <w:r w:rsidR="006E2669" w:rsidRPr="005764F6">
        <w:rPr>
          <w:rStyle w:val="AERbody"/>
        </w:rPr>
        <w:t xml:space="preserve">based on </w:t>
      </w:r>
      <w:r w:rsidRPr="005764F6">
        <w:rPr>
          <w:rStyle w:val="AERbody"/>
        </w:rPr>
        <w:t>the reasons we set out in prior decisions,</w:t>
      </w:r>
      <w:r w:rsidR="006E2669" w:rsidRPr="005764F6">
        <w:rPr>
          <w:rStyle w:val="AERbody"/>
        </w:rPr>
        <w:t xml:space="preserve"> but we have </w:t>
      </w:r>
      <w:r w:rsidR="00574BE2" w:rsidRPr="005764F6">
        <w:rPr>
          <w:rStyle w:val="AERbody"/>
        </w:rPr>
        <w:t>clarified our reasoning in</w:t>
      </w:r>
      <w:r w:rsidR="006E2669" w:rsidRPr="005764F6">
        <w:rPr>
          <w:rStyle w:val="AERbody"/>
        </w:rPr>
        <w:t xml:space="preserve"> response to the issues raised in the late submissions</w:t>
      </w:r>
      <w:r w:rsidR="00574BE2" w:rsidRPr="005764F6">
        <w:rPr>
          <w:rStyle w:val="AERbody"/>
        </w:rPr>
        <w:t xml:space="preserve"> following the Tribunal's recent decisions</w:t>
      </w:r>
      <w:r w:rsidR="006E2669" w:rsidRPr="005764F6">
        <w:rPr>
          <w:rStyle w:val="AERbody"/>
        </w:rPr>
        <w:t>.</w:t>
      </w:r>
      <w:r w:rsidRPr="005764F6">
        <w:rPr>
          <w:rStyle w:val="AERbody"/>
        </w:rPr>
        <w:t xml:space="preserve"> </w:t>
      </w:r>
      <w:r w:rsidR="007A7F67" w:rsidRPr="005764F6" w:rsidDel="006E2669">
        <w:rPr>
          <w:rStyle w:val="AERbody"/>
        </w:rPr>
        <w:t xml:space="preserve"> </w:t>
      </w:r>
    </w:p>
    <w:p w:rsidR="00883125" w:rsidRPr="005764F6" w:rsidRDefault="00883125" w:rsidP="00881794">
      <w:pPr>
        <w:keepNext/>
        <w:rPr>
          <w:rStyle w:val="AERbody"/>
        </w:rPr>
      </w:pPr>
      <w:r w:rsidRPr="005764F6">
        <w:rPr>
          <w:rStyle w:val="AERbody"/>
        </w:rPr>
        <w:lastRenderedPageBreak/>
        <w:t xml:space="preserve">With </w:t>
      </w:r>
      <w:r w:rsidR="00E82D06" w:rsidRPr="005764F6">
        <w:rPr>
          <w:rStyle w:val="AERbody"/>
        </w:rPr>
        <w:t>regard to</w:t>
      </w:r>
      <w:r w:rsidRPr="005764F6">
        <w:rPr>
          <w:rStyle w:val="AERbody"/>
        </w:rPr>
        <w:t xml:space="preserve"> United </w:t>
      </w:r>
      <w:r w:rsidR="00E82D06" w:rsidRPr="005764F6">
        <w:rPr>
          <w:rStyle w:val="AERbody"/>
        </w:rPr>
        <w:t>Energy's</w:t>
      </w:r>
      <w:r w:rsidRPr="005764F6">
        <w:rPr>
          <w:rStyle w:val="AERbody"/>
        </w:rPr>
        <w:t xml:space="preserve"> </w:t>
      </w:r>
      <w:r w:rsidR="006E2669" w:rsidRPr="005764F6">
        <w:rPr>
          <w:rStyle w:val="AERbody"/>
        </w:rPr>
        <w:t xml:space="preserve">late </w:t>
      </w:r>
      <w:r w:rsidRPr="005764F6">
        <w:rPr>
          <w:rStyle w:val="AERbody"/>
        </w:rPr>
        <w:t>submission</w:t>
      </w:r>
      <w:r w:rsidR="006E2669" w:rsidRPr="005764F6">
        <w:rPr>
          <w:rStyle w:val="AERbody"/>
        </w:rPr>
        <w:t>,</w:t>
      </w:r>
      <w:r w:rsidRPr="005764F6">
        <w:rPr>
          <w:rStyle w:val="AERbody"/>
        </w:rPr>
        <w:t xml:space="preserve"> we </w:t>
      </w:r>
      <w:r w:rsidR="006E2669" w:rsidRPr="005764F6">
        <w:rPr>
          <w:rStyle w:val="AERbody"/>
        </w:rPr>
        <w:t>consider</w:t>
      </w:r>
      <w:r w:rsidRPr="005764F6">
        <w:rPr>
          <w:rStyle w:val="AERbody"/>
        </w:rPr>
        <w:t>:</w:t>
      </w:r>
    </w:p>
    <w:p w:rsidR="0033381B" w:rsidRPr="005764F6" w:rsidRDefault="00E82D06" w:rsidP="00881794">
      <w:pPr>
        <w:pStyle w:val="AERbulletlistfirststyle"/>
        <w:keepNext/>
      </w:pPr>
      <w:r w:rsidRPr="005764F6">
        <w:t xml:space="preserve">Our conceptual approach considers the value of gamma is a post-tax value before the impact of personal taxes and transaction costs. This means one dollar of claimed imputation credits has a post (company) tax value of one dollar to investors before personal taxes and personal transaction costs. Our approach considers gamma to be equal to the product of the </w:t>
      </w:r>
      <w:r w:rsidR="003F2330" w:rsidRPr="005764F6">
        <w:t>distribution rate</w:t>
      </w:r>
      <w:r w:rsidRPr="005764F6">
        <w:t xml:space="preserve"> multiplied by the utilisation value to investors in the market per dollar of imputation credits distributed</w:t>
      </w:r>
      <w:r w:rsidR="003F2330" w:rsidRPr="005764F6">
        <w:t xml:space="preserve"> (</w:t>
      </w:r>
      <w:r w:rsidR="00AD771B" w:rsidRPr="005764F6">
        <w:t xml:space="preserve">the </w:t>
      </w:r>
      <w:r w:rsidR="003F2330" w:rsidRPr="005764F6">
        <w:t>utilisation rate)</w:t>
      </w:r>
      <w:r w:rsidRPr="005764F6">
        <w:t xml:space="preserve">. </w:t>
      </w:r>
      <w:r w:rsidR="003F2330" w:rsidRPr="005764F6">
        <w:t xml:space="preserve">We consider the utilisation value reflects the weighted average, by wealth and risk aversion, of the utilisation rates of investors—some of whom will have a utilisation rate of 1 and others who will have utilisation rate of 0. This is covered in section </w:t>
      </w:r>
      <w:r w:rsidR="001A6B5D" w:rsidRPr="005764F6">
        <w:fldChar w:fldCharType="begin"/>
      </w:r>
      <w:r w:rsidR="001A6B5D" w:rsidRPr="005764F6">
        <w:instrText xml:space="preserve"> REF _Ref415144114 \r \h </w:instrText>
      </w:r>
      <w:r w:rsidR="00570733" w:rsidRPr="005764F6">
        <w:instrText xml:space="preserve"> \* MERGEFORMAT </w:instrText>
      </w:r>
      <w:r w:rsidR="001A6B5D" w:rsidRPr="005764F6">
        <w:fldChar w:fldCharType="separate"/>
      </w:r>
      <w:r w:rsidR="00881794">
        <w:t>A.5</w:t>
      </w:r>
      <w:r w:rsidR="001A6B5D" w:rsidRPr="005764F6">
        <w:fldChar w:fldCharType="end"/>
      </w:r>
      <w:r w:rsidR="001A6B5D" w:rsidRPr="005764F6">
        <w:t xml:space="preserve"> and </w:t>
      </w:r>
      <w:r w:rsidR="001A6B5D" w:rsidRPr="005764F6">
        <w:fldChar w:fldCharType="begin"/>
      </w:r>
      <w:r w:rsidR="001A6B5D" w:rsidRPr="005764F6">
        <w:instrText xml:space="preserve"> REF _Ref400965182 \r \h </w:instrText>
      </w:r>
      <w:r w:rsidR="00570733" w:rsidRPr="005764F6">
        <w:instrText xml:space="preserve"> \* MERGEFORMAT </w:instrText>
      </w:r>
      <w:r w:rsidR="001A6B5D" w:rsidRPr="005764F6">
        <w:fldChar w:fldCharType="separate"/>
      </w:r>
      <w:r w:rsidR="00881794">
        <w:t>A.6</w:t>
      </w:r>
      <w:r w:rsidR="001A6B5D" w:rsidRPr="005764F6">
        <w:fldChar w:fldCharType="end"/>
      </w:r>
      <w:r w:rsidR="003F2330" w:rsidRPr="005764F6">
        <w:t>.</w:t>
      </w:r>
    </w:p>
    <w:p w:rsidR="0033381B" w:rsidRPr="005764F6" w:rsidRDefault="0033381B">
      <w:pPr>
        <w:pStyle w:val="AERbulletlistfirststyle"/>
      </w:pPr>
      <w:r w:rsidRPr="005764F6">
        <w:t>O</w:t>
      </w:r>
      <w:r w:rsidR="00E82D06" w:rsidRPr="005764F6">
        <w:t xml:space="preserve">ur conceptual framework </w:t>
      </w:r>
      <w:r w:rsidR="00886A9A" w:rsidRPr="005764F6">
        <w:t>is</w:t>
      </w:r>
      <w:r w:rsidR="00E82D06" w:rsidRPr="005764F6">
        <w:t xml:space="preserve"> consistent with the Officer framework</w:t>
      </w:r>
      <w:r w:rsidR="00886A9A" w:rsidRPr="005764F6">
        <w:t xml:space="preserve">, </w:t>
      </w:r>
      <w:r w:rsidR="00AD771B" w:rsidRPr="005764F6">
        <w:t>our</w:t>
      </w:r>
      <w:r w:rsidR="00E82D06" w:rsidRPr="005764F6">
        <w:t xml:space="preserve"> </w:t>
      </w:r>
      <w:r w:rsidR="00886A9A" w:rsidRPr="005764F6">
        <w:t xml:space="preserve">allowed </w:t>
      </w:r>
      <w:r w:rsidR="00E82D06" w:rsidRPr="005764F6">
        <w:t>rate of return</w:t>
      </w:r>
      <w:r w:rsidR="00886A9A" w:rsidRPr="005764F6">
        <w:t xml:space="preserve"> and </w:t>
      </w:r>
      <w:r w:rsidR="00AD771B" w:rsidRPr="005764F6">
        <w:t xml:space="preserve">our </w:t>
      </w:r>
      <w:r w:rsidR="00886A9A" w:rsidRPr="005764F6">
        <w:t>allowed revenues</w:t>
      </w:r>
      <w:r w:rsidR="00E82D06" w:rsidRPr="005764F6">
        <w:t xml:space="preserve">. </w:t>
      </w:r>
      <w:r w:rsidRPr="005764F6">
        <w:t xml:space="preserve">For example, </w:t>
      </w:r>
      <w:r w:rsidR="00B26643" w:rsidRPr="005764F6">
        <w:t xml:space="preserve">the allowed rate of return is a post-company tax pre-personal tax weighted average cost of capital (WACC). We estimate the allowed revenue, including the corporate tax allowance (and the value of imputation credits), on the same basis. </w:t>
      </w:r>
      <w:r w:rsidR="00540E4D" w:rsidRPr="005764F6">
        <w:t>Moreover</w:t>
      </w:r>
      <w:r w:rsidR="00B26643" w:rsidRPr="005764F6">
        <w:t xml:space="preserve">, </w:t>
      </w:r>
      <w:r w:rsidRPr="005764F6">
        <w:t>when calculating the yield to maturity on debt (for the return o</w:t>
      </w:r>
      <w:r w:rsidR="00540E4D" w:rsidRPr="005764F6">
        <w:t>n</w:t>
      </w:r>
      <w:r w:rsidRPr="005764F6">
        <w:t xml:space="preserve"> debt and risk free rate) and market risk premium (MRP)</w:t>
      </w:r>
      <w:r w:rsidR="00540E4D" w:rsidRPr="005764F6">
        <w:t>,</w:t>
      </w:r>
      <w:r w:rsidRPr="005764F6">
        <w:t xml:space="preserve"> the face value of coupons/dividends are used (see section </w:t>
      </w:r>
      <w:r w:rsidR="001A6B5D" w:rsidRPr="005764F6">
        <w:fldChar w:fldCharType="begin"/>
      </w:r>
      <w:r w:rsidR="001A6B5D" w:rsidRPr="005764F6">
        <w:instrText xml:space="preserve"> REF _Ref450298425 \r \h </w:instrText>
      </w:r>
      <w:r w:rsidR="00570733" w:rsidRPr="005764F6">
        <w:instrText xml:space="preserve"> \* MERGEFORMAT </w:instrText>
      </w:r>
      <w:r w:rsidR="001A6B5D" w:rsidRPr="005764F6">
        <w:fldChar w:fldCharType="separate"/>
      </w:r>
      <w:r w:rsidR="00881794">
        <w:t>A.8.2</w:t>
      </w:r>
      <w:r w:rsidR="001A6B5D" w:rsidRPr="005764F6">
        <w:fldChar w:fldCharType="end"/>
      </w:r>
      <w:r w:rsidRPr="005764F6">
        <w:t xml:space="preserve">). </w:t>
      </w:r>
      <w:r w:rsidR="00E82D06" w:rsidRPr="005764F6">
        <w:t xml:space="preserve">Our interpretation of the post-tax framework in the NER/NGR is covered in section </w:t>
      </w:r>
      <w:r w:rsidR="00E82D06" w:rsidRPr="005764F6">
        <w:fldChar w:fldCharType="begin"/>
      </w:r>
      <w:r w:rsidR="00E82D06" w:rsidRPr="005764F6">
        <w:instrText xml:space="preserve"> REF _Ref400965182 \r \h </w:instrText>
      </w:r>
      <w:r w:rsidR="00825430" w:rsidRPr="005764F6">
        <w:instrText xml:space="preserve"> \* MERGEFORMAT </w:instrText>
      </w:r>
      <w:r w:rsidR="00E82D06" w:rsidRPr="005764F6">
        <w:fldChar w:fldCharType="separate"/>
      </w:r>
      <w:r w:rsidR="00881794">
        <w:t>A.6</w:t>
      </w:r>
      <w:r w:rsidR="00E82D06" w:rsidRPr="005764F6">
        <w:fldChar w:fldCharType="end"/>
      </w:r>
      <w:r w:rsidR="00E82D06" w:rsidRPr="005764F6">
        <w:t>.</w:t>
      </w:r>
      <w:r w:rsidRPr="005764F6">
        <w:t xml:space="preserve"> </w:t>
      </w:r>
    </w:p>
    <w:p w:rsidR="00886A9A" w:rsidRPr="005764F6" w:rsidRDefault="00886A9A" w:rsidP="000D4ED8">
      <w:pPr>
        <w:pStyle w:val="AERbulletlistfirststyle"/>
      </w:pPr>
      <w:r w:rsidRPr="005764F6">
        <w:t>We use a range of relevant evidence to estimate the utilisation</w:t>
      </w:r>
      <w:r w:rsidR="00AD771B" w:rsidRPr="005764F6">
        <w:t xml:space="preserve"> rate</w:t>
      </w:r>
      <w:r w:rsidRPr="005764F6">
        <w:t>. We consider:</w:t>
      </w:r>
    </w:p>
    <w:p w:rsidR="00886A9A" w:rsidRPr="005764F6" w:rsidRDefault="0033381B">
      <w:pPr>
        <w:pStyle w:val="AERbulletlistsecondstyle"/>
      </w:pPr>
      <w:r w:rsidRPr="005764F6">
        <w:t>The equity ownership approach provide</w:t>
      </w:r>
      <w:r w:rsidR="00284669" w:rsidRPr="005764F6">
        <w:t>s</w:t>
      </w:r>
      <w:r w:rsidRPr="005764F6">
        <w:t xml:space="preserve"> the best estimate of the utilisation value to investors in the market per dollar of imputation credits distributed</w:t>
      </w:r>
      <w:r w:rsidR="00E029F0" w:rsidRPr="005764F6">
        <w:t xml:space="preserve"> (see section </w:t>
      </w:r>
      <w:r w:rsidR="001A6B5D" w:rsidRPr="005764F6">
        <w:fldChar w:fldCharType="begin"/>
      </w:r>
      <w:r w:rsidR="001A6B5D" w:rsidRPr="005764F6">
        <w:instrText xml:space="preserve"> REF _Ref415049811 \r \h </w:instrText>
      </w:r>
      <w:r w:rsidR="00570733" w:rsidRPr="005764F6">
        <w:instrText xml:space="preserve"> \* MERGEFORMAT </w:instrText>
      </w:r>
      <w:r w:rsidR="001A6B5D" w:rsidRPr="005764F6">
        <w:fldChar w:fldCharType="separate"/>
      </w:r>
      <w:r w:rsidR="00881794">
        <w:t>A.12</w:t>
      </w:r>
      <w:r w:rsidR="001A6B5D" w:rsidRPr="005764F6">
        <w:fldChar w:fldCharType="end"/>
      </w:r>
      <w:r w:rsidR="00E029F0" w:rsidRPr="005764F6">
        <w:t>)</w:t>
      </w:r>
      <w:r w:rsidRPr="005764F6">
        <w:t>.</w:t>
      </w:r>
    </w:p>
    <w:p w:rsidR="00886A9A" w:rsidRPr="005764F6" w:rsidRDefault="0033381B">
      <w:pPr>
        <w:pStyle w:val="AERbulletlistsecondstyle"/>
      </w:pPr>
      <w:r w:rsidRPr="005764F6">
        <w:t>Tax</w:t>
      </w:r>
      <w:r w:rsidR="005F5D40" w:rsidRPr="005764F6">
        <w:t>ation</w:t>
      </w:r>
      <w:r w:rsidRPr="005764F6">
        <w:t xml:space="preserve"> statistics</w:t>
      </w:r>
      <w:r w:rsidR="005F5D40" w:rsidRPr="005764F6">
        <w:t xml:space="preserve"> (tax statistics)</w:t>
      </w:r>
      <w:r w:rsidRPr="005764F6">
        <w:t xml:space="preserve"> can also provide a reasonable estimate of the utilisation value</w:t>
      </w:r>
      <w:r w:rsidR="0005260B" w:rsidRPr="005764F6">
        <w:t xml:space="preserve"> to investors in the market per dollar of imputation credits distributed</w:t>
      </w:r>
      <w:r w:rsidR="0006732D" w:rsidRPr="005764F6">
        <w:t>, if the data upon which those statistics are based is reliable</w:t>
      </w:r>
      <w:r w:rsidRPr="005764F6">
        <w:t xml:space="preserve">. However, there are </w:t>
      </w:r>
      <w:r w:rsidR="003B7658" w:rsidRPr="005764F6">
        <w:t xml:space="preserve">potential </w:t>
      </w:r>
      <w:r w:rsidRPr="005764F6">
        <w:t>issues with the quality of the underlying taxation data</w:t>
      </w:r>
      <w:r w:rsidR="008F0DF1" w:rsidRPr="005764F6">
        <w:t xml:space="preserve">. </w:t>
      </w:r>
      <w:r w:rsidR="00540E4D" w:rsidRPr="005764F6">
        <w:t xml:space="preserve">For example, </w:t>
      </w:r>
      <w:r w:rsidR="009762B1" w:rsidRPr="005764F6">
        <w:t>Lally has advised that the tax</w:t>
      </w:r>
      <w:r w:rsidR="005F5D40" w:rsidRPr="005764F6">
        <w:t>ation</w:t>
      </w:r>
      <w:r w:rsidR="009762B1" w:rsidRPr="005764F6">
        <w:t xml:space="preserve"> data is unreliable.</w:t>
      </w:r>
      <w:r w:rsidR="000202B7" w:rsidRPr="00583683">
        <w:rPr>
          <w:rStyle w:val="FootnoteReference"/>
        </w:rPr>
        <w:footnoteReference w:id="15"/>
      </w:r>
      <w:r w:rsidR="009762B1" w:rsidRPr="005764F6">
        <w:t xml:space="preserve"> </w:t>
      </w:r>
      <w:r w:rsidR="00AD771B" w:rsidRPr="005764F6">
        <w:t xml:space="preserve">Having regard to the </w:t>
      </w:r>
      <w:r w:rsidR="003B7658" w:rsidRPr="005764F6">
        <w:t xml:space="preserve">potential </w:t>
      </w:r>
      <w:r w:rsidR="00AD771B" w:rsidRPr="005764F6">
        <w:t>data limitations and alternate estimates</w:t>
      </w:r>
      <w:r w:rsidR="008F0DF1" w:rsidRPr="005764F6">
        <w:t>, the evidence from tax statistics is not inconsistent with the evidence from the equity ownership approach</w:t>
      </w:r>
      <w:r w:rsidR="0006732D" w:rsidRPr="005764F6">
        <w:t>, but we place less reliance upon it.</w:t>
      </w:r>
      <w:r w:rsidR="00E029F0" w:rsidRPr="005764F6">
        <w:t xml:space="preserve"> (see section </w:t>
      </w:r>
      <w:r w:rsidR="001A6B5D" w:rsidRPr="005764F6">
        <w:fldChar w:fldCharType="begin"/>
      </w:r>
      <w:r w:rsidR="001A6B5D" w:rsidRPr="005764F6">
        <w:instrText xml:space="preserve"> REF _Ref402179420 \r \h </w:instrText>
      </w:r>
      <w:r w:rsidR="00570733" w:rsidRPr="005764F6">
        <w:instrText xml:space="preserve"> \* MERGEFORMAT </w:instrText>
      </w:r>
      <w:r w:rsidR="001A6B5D" w:rsidRPr="005764F6">
        <w:fldChar w:fldCharType="separate"/>
      </w:r>
      <w:r w:rsidR="00881794">
        <w:t>A.13</w:t>
      </w:r>
      <w:r w:rsidR="001A6B5D" w:rsidRPr="005764F6">
        <w:fldChar w:fldCharType="end"/>
      </w:r>
      <w:r w:rsidR="00E029F0" w:rsidRPr="005764F6">
        <w:t>)</w:t>
      </w:r>
      <w:r w:rsidRPr="005764F6">
        <w:t>.</w:t>
      </w:r>
      <w:r w:rsidR="003B7658" w:rsidRPr="005764F6">
        <w:t>We also note, regardless of any issues of taxation data reliability, an estimate of gamma of approximately 0.4 is obtained when combining a utilisation rate of 0.48 (</w:t>
      </w:r>
      <w:r w:rsidR="0094780C" w:rsidRPr="005764F6">
        <w:t>consistent with</w:t>
      </w:r>
      <w:r w:rsidR="003B7658" w:rsidRPr="005764F6">
        <w:t xml:space="preserve"> FAB data) with Lally's preferred estimate of the distribution rate for </w:t>
      </w:r>
      <w:r w:rsidR="00297495" w:rsidRPr="005764F6">
        <w:t>a</w:t>
      </w:r>
      <w:r w:rsidR="003B7658" w:rsidRPr="005764F6">
        <w:t xml:space="preserve"> benchmark efficient entity of 0.83.</w:t>
      </w:r>
      <w:r w:rsidR="00297495" w:rsidRPr="00583683">
        <w:rPr>
          <w:rStyle w:val="FootnoteReference"/>
        </w:rPr>
        <w:footnoteReference w:id="16"/>
      </w:r>
    </w:p>
    <w:p w:rsidR="00E029F0" w:rsidRPr="005764F6" w:rsidRDefault="0033381B">
      <w:pPr>
        <w:pStyle w:val="AERbulletlistsecondstyle"/>
      </w:pPr>
      <w:r w:rsidRPr="005764F6">
        <w:t>On the other hand, implied market value studies are affected by factors such as differential personal taxation and other personal costs</w:t>
      </w:r>
      <w:r w:rsidR="009A4771" w:rsidRPr="005764F6">
        <w:t xml:space="preserve">. </w:t>
      </w:r>
      <w:r w:rsidRPr="005764F6">
        <w:t xml:space="preserve">This means they </w:t>
      </w:r>
      <w:r w:rsidR="003F2330" w:rsidRPr="005764F6">
        <w:t>do not</w:t>
      </w:r>
      <w:r w:rsidRPr="005764F6">
        <w:t xml:space="preserve"> provide an estimate of the utilisation value </w:t>
      </w:r>
      <w:r w:rsidR="0005260B" w:rsidRPr="005764F6">
        <w:t xml:space="preserve">to investors in the market per dollar of imputation credits distributed </w:t>
      </w:r>
      <w:r w:rsidRPr="005764F6">
        <w:t xml:space="preserve">on a </w:t>
      </w:r>
      <w:r w:rsidR="008F2BC6" w:rsidRPr="005764F6">
        <w:t>post-tax (p</w:t>
      </w:r>
      <w:r w:rsidRPr="005764F6">
        <w:t>re-personal tax and costs basis</w:t>
      </w:r>
      <w:r w:rsidR="008F2BC6" w:rsidRPr="005764F6">
        <w:t>)</w:t>
      </w:r>
      <w:r w:rsidR="0005260B" w:rsidRPr="005764F6">
        <w:t>.</w:t>
      </w:r>
      <w:r w:rsidR="009762B1" w:rsidRPr="005764F6">
        <w:t xml:space="preserve"> </w:t>
      </w:r>
      <w:r w:rsidR="0005260B" w:rsidRPr="005764F6">
        <w:t>T</w:t>
      </w:r>
      <w:r w:rsidR="009762B1" w:rsidRPr="005764F6">
        <w:t>herefore</w:t>
      </w:r>
      <w:r w:rsidR="0005260B" w:rsidRPr="005764F6">
        <w:t>, they are</w:t>
      </w:r>
      <w:r w:rsidR="003F2330" w:rsidRPr="005764F6">
        <w:t xml:space="preserve"> </w:t>
      </w:r>
      <w:r w:rsidR="009762B1" w:rsidRPr="005764F6">
        <w:t>in</w:t>
      </w:r>
      <w:r w:rsidR="008F2BC6" w:rsidRPr="005764F6">
        <w:t xml:space="preserve">consistent with the Officer </w:t>
      </w:r>
      <w:r w:rsidR="000202B7" w:rsidRPr="005764F6">
        <w:t>f</w:t>
      </w:r>
      <w:r w:rsidR="008F2BC6" w:rsidRPr="005764F6">
        <w:t xml:space="preserve">ramework </w:t>
      </w:r>
      <w:r w:rsidR="003F2330" w:rsidRPr="005764F6">
        <w:t>unless they are adjusted.</w:t>
      </w:r>
      <w:r w:rsidRPr="005764F6">
        <w:t xml:space="preserve"> </w:t>
      </w:r>
      <w:r w:rsidR="003F2330" w:rsidRPr="005764F6">
        <w:t xml:space="preserve">Even when adjusted, </w:t>
      </w:r>
      <w:r w:rsidR="008F2BC6" w:rsidRPr="005764F6">
        <w:t>implied market value studies</w:t>
      </w:r>
      <w:r w:rsidR="003F2330" w:rsidRPr="005764F6">
        <w:t xml:space="preserve"> are subject to many </w:t>
      </w:r>
      <w:r w:rsidR="003F2330" w:rsidRPr="005764F6">
        <w:lastRenderedPageBreak/>
        <w:t xml:space="preserve">limitations and do not clearly measure the value to </w:t>
      </w:r>
      <w:r w:rsidR="007460CB" w:rsidRPr="005764F6">
        <w:t>the aggregate investors who provide long term capital to a benchmark efficient entity</w:t>
      </w:r>
      <w:r w:rsidR="003F2330" w:rsidRPr="005764F6">
        <w:t>.</w:t>
      </w:r>
      <w:r w:rsidR="00E029F0" w:rsidRPr="005764F6">
        <w:t xml:space="preserve"> Lally stated </w:t>
      </w:r>
      <w:r w:rsidR="003B7658" w:rsidRPr="005764F6">
        <w:t xml:space="preserve">his views on </w:t>
      </w:r>
      <w:r w:rsidR="00E029F0" w:rsidRPr="005764F6">
        <w:t xml:space="preserve">dividend drop off studies are 'highly adverse' and considers it appropriate to place </w:t>
      </w:r>
      <w:r w:rsidR="003B7658" w:rsidRPr="005764F6">
        <w:t xml:space="preserve">the </w:t>
      </w:r>
      <w:r w:rsidR="00E029F0" w:rsidRPr="005764F6">
        <w:t>lowest reliance on their results</w:t>
      </w:r>
      <w:r w:rsidR="00886A9A" w:rsidRPr="005764F6">
        <w:t xml:space="preserve"> (see section </w:t>
      </w:r>
      <w:r w:rsidR="001A6B5D" w:rsidRPr="005764F6">
        <w:fldChar w:fldCharType="begin"/>
      </w:r>
      <w:r w:rsidR="001A6B5D" w:rsidRPr="005764F6">
        <w:instrText xml:space="preserve"> REF _Ref451186079 \r \h </w:instrText>
      </w:r>
      <w:r w:rsidR="00570733" w:rsidRPr="005764F6">
        <w:instrText xml:space="preserve"> \* MERGEFORMAT </w:instrText>
      </w:r>
      <w:r w:rsidR="001A6B5D" w:rsidRPr="005764F6">
        <w:fldChar w:fldCharType="separate"/>
      </w:r>
      <w:r w:rsidR="00881794">
        <w:t>A.15</w:t>
      </w:r>
      <w:r w:rsidR="001A6B5D" w:rsidRPr="005764F6">
        <w:fldChar w:fldCharType="end"/>
      </w:r>
      <w:r w:rsidR="00886A9A" w:rsidRPr="005764F6">
        <w:t>)</w:t>
      </w:r>
      <w:r w:rsidR="00427EE5" w:rsidRPr="005764F6">
        <w:t>.</w:t>
      </w:r>
      <w:r w:rsidR="00427EE5" w:rsidRPr="00583683">
        <w:rPr>
          <w:rStyle w:val="FootnoteReference"/>
        </w:rPr>
        <w:footnoteReference w:id="17"/>
      </w:r>
    </w:p>
    <w:p w:rsidR="00883125" w:rsidRPr="005764F6" w:rsidRDefault="00883125">
      <w:pPr>
        <w:pStyle w:val="AERbulletlistfirststyle"/>
      </w:pPr>
      <w:r w:rsidRPr="005764F6">
        <w:t xml:space="preserve">Tax statistics do not </w:t>
      </w:r>
      <w:r w:rsidR="006B5E8D" w:rsidRPr="005764F6">
        <w:t>provide</w:t>
      </w:r>
      <w:r w:rsidRPr="005764F6">
        <w:t xml:space="preserve"> an upper bound estimate for gamma</w:t>
      </w:r>
      <w:r w:rsidR="00E23D8D" w:rsidRPr="005764F6">
        <w:t>, as the Tribunal found</w:t>
      </w:r>
      <w:r w:rsidRPr="005764F6">
        <w:t>.</w:t>
      </w:r>
      <w:r w:rsidR="00E23D8D" w:rsidRPr="005764F6">
        <w:footnoteReference w:id="18"/>
      </w:r>
      <w:r w:rsidRPr="005764F6">
        <w:t xml:space="preserve"> </w:t>
      </w:r>
      <w:r w:rsidR="00E23D8D" w:rsidRPr="005764F6">
        <w:t>Lally support</w:t>
      </w:r>
      <w:r w:rsidR="005F5D40" w:rsidRPr="005764F6">
        <w:t>s</w:t>
      </w:r>
      <w:r w:rsidR="00E23D8D" w:rsidRPr="005764F6">
        <w:t xml:space="preserve"> this view.</w:t>
      </w:r>
      <w:r w:rsidR="00E23D8D" w:rsidRPr="00583683">
        <w:rPr>
          <w:rStyle w:val="FootnoteReference"/>
        </w:rPr>
        <w:footnoteReference w:id="19"/>
      </w:r>
      <w:r w:rsidR="00E23D8D" w:rsidRPr="005764F6">
        <w:t xml:space="preserve"> We consider </w:t>
      </w:r>
      <w:r w:rsidRPr="005764F6">
        <w:t xml:space="preserve">tax statistics provide </w:t>
      </w:r>
      <w:r w:rsidR="00284669" w:rsidRPr="005764F6">
        <w:t xml:space="preserve">a </w:t>
      </w:r>
      <w:r w:rsidRPr="005764F6">
        <w:t xml:space="preserve">point estimate </w:t>
      </w:r>
      <w:r w:rsidR="00284669" w:rsidRPr="005764F6">
        <w:t xml:space="preserve">of the utilisation </w:t>
      </w:r>
      <w:r w:rsidR="0005260B" w:rsidRPr="005764F6">
        <w:t>rate</w:t>
      </w:r>
      <w:r w:rsidR="009762B1" w:rsidRPr="005764F6">
        <w:t>.</w:t>
      </w:r>
      <w:r w:rsidRPr="005764F6">
        <w:t xml:space="preserve"> </w:t>
      </w:r>
      <w:r w:rsidR="0033381B" w:rsidRPr="005764F6">
        <w:t>Th</w:t>
      </w:r>
      <w:r w:rsidR="008F2BC6" w:rsidRPr="005764F6">
        <w:t>e</w:t>
      </w:r>
      <w:r w:rsidR="0033381B" w:rsidRPr="005764F6">
        <w:t xml:space="preserve"> uncertainty </w:t>
      </w:r>
      <w:r w:rsidR="008F2BC6" w:rsidRPr="005764F6">
        <w:t xml:space="preserve">associated with redemption estimates from taxation data </w:t>
      </w:r>
      <w:r w:rsidR="0033381B" w:rsidRPr="005764F6">
        <w:t>means</w:t>
      </w:r>
      <w:r w:rsidRPr="005764F6">
        <w:t xml:space="preserve"> the true </w:t>
      </w:r>
      <w:r w:rsidR="008F2BC6" w:rsidRPr="005764F6">
        <w:t xml:space="preserve">(unobservable) redemption </w:t>
      </w:r>
      <w:r w:rsidR="00284669" w:rsidRPr="005764F6">
        <w:t xml:space="preserve">value </w:t>
      </w:r>
      <w:r w:rsidRPr="005764F6">
        <w:t>could be above or below the mean estimate.</w:t>
      </w:r>
      <w:r w:rsidR="00E23D8D" w:rsidRPr="005764F6">
        <w:t xml:space="preserve"> </w:t>
      </w:r>
      <w:r w:rsidRPr="005764F6">
        <w:t xml:space="preserve">This is covered in section </w:t>
      </w:r>
      <w:r w:rsidR="00837CD9" w:rsidRPr="005764F6">
        <w:fldChar w:fldCharType="begin"/>
      </w:r>
      <w:r w:rsidR="00837CD9" w:rsidRPr="005764F6">
        <w:instrText xml:space="preserve"> REF _Ref402179420 \r \h </w:instrText>
      </w:r>
      <w:r w:rsidR="00825430" w:rsidRPr="005764F6">
        <w:instrText xml:space="preserve"> \* MERGEFORMAT </w:instrText>
      </w:r>
      <w:r w:rsidR="00837CD9" w:rsidRPr="005764F6">
        <w:fldChar w:fldCharType="separate"/>
      </w:r>
      <w:r w:rsidR="00881794">
        <w:t>A.13</w:t>
      </w:r>
      <w:r w:rsidR="00837CD9" w:rsidRPr="005764F6">
        <w:fldChar w:fldCharType="end"/>
      </w:r>
      <w:r w:rsidR="006B5E8D" w:rsidRPr="005764F6">
        <w:t>.</w:t>
      </w:r>
      <w:r w:rsidR="003B7658" w:rsidRPr="005764F6">
        <w:t xml:space="preserve"> However, we note that even if we do use an estimate of the utilisation rate of 0.48 from taxation statistics (</w:t>
      </w:r>
      <w:r w:rsidR="0094780C" w:rsidRPr="005764F6">
        <w:t>consistent with</w:t>
      </w:r>
      <w:r w:rsidR="003B7658" w:rsidRPr="005764F6">
        <w:t xml:space="preserve"> FAB data), this results in an estimate for gamma of approximately 0.4 when combined with Lally's preferred distribution rate </w:t>
      </w:r>
      <w:r w:rsidR="00DF4A63" w:rsidRPr="005764F6">
        <w:t xml:space="preserve">of 0.83 </w:t>
      </w:r>
      <w:r w:rsidR="003B7658" w:rsidRPr="005764F6">
        <w:t xml:space="preserve">for </w:t>
      </w:r>
      <w:r w:rsidR="00FF12F1" w:rsidRPr="005764F6">
        <w:t>a</w:t>
      </w:r>
      <w:r w:rsidR="003B7658" w:rsidRPr="005764F6">
        <w:t xml:space="preserve"> benchmark efficient entity.</w:t>
      </w:r>
    </w:p>
    <w:p w:rsidR="00883125" w:rsidRPr="005764F6" w:rsidRDefault="0033381B">
      <w:pPr>
        <w:pStyle w:val="AERbulletlistfirststyle"/>
      </w:pPr>
      <w:r w:rsidRPr="005764F6">
        <w:t xml:space="preserve">Because tax statistics are not an upper bound, there </w:t>
      </w:r>
      <w:r w:rsidR="00883125" w:rsidRPr="005764F6">
        <w:t xml:space="preserve">is no evidence the equity ownership approach </w:t>
      </w:r>
      <w:r w:rsidR="00D6117E" w:rsidRPr="005764F6">
        <w:t xml:space="preserve">materially </w:t>
      </w:r>
      <w:r w:rsidR="00883125" w:rsidRPr="005764F6">
        <w:t xml:space="preserve">overstates the true </w:t>
      </w:r>
      <w:r w:rsidR="00284669" w:rsidRPr="005764F6">
        <w:t xml:space="preserve">utilisation </w:t>
      </w:r>
      <w:r w:rsidR="0005260B" w:rsidRPr="005764F6">
        <w:t>rate</w:t>
      </w:r>
      <w:r w:rsidR="00883125" w:rsidRPr="005764F6">
        <w:t xml:space="preserve">. </w:t>
      </w:r>
      <w:r w:rsidR="00284669" w:rsidRPr="005764F6">
        <w:t xml:space="preserve">On this point, we </w:t>
      </w:r>
      <w:r w:rsidRPr="005764F6">
        <w:t>also consider:</w:t>
      </w:r>
    </w:p>
    <w:p w:rsidR="00883125" w:rsidRPr="005764F6" w:rsidRDefault="00883125">
      <w:pPr>
        <w:pStyle w:val="AERbulletlistsecondstyle"/>
      </w:pPr>
      <w:r w:rsidRPr="005764F6">
        <w:t xml:space="preserve">There is no </w:t>
      </w:r>
      <w:r w:rsidR="00512FC5" w:rsidRPr="005764F6">
        <w:t xml:space="preserve">data to suggest the redemption of imputation credits is materially lower than the estimate </w:t>
      </w:r>
      <w:r w:rsidR="00284669" w:rsidRPr="005764F6">
        <w:t xml:space="preserve">of the utilisation </w:t>
      </w:r>
      <w:r w:rsidR="0005260B" w:rsidRPr="005764F6">
        <w:t xml:space="preserve">rate </w:t>
      </w:r>
      <w:r w:rsidR="00512FC5" w:rsidRPr="005764F6">
        <w:t>derived from the equity ownership approach. In particular, there is no credible data on the impact of</w:t>
      </w:r>
      <w:r w:rsidRPr="005764F6">
        <w:t xml:space="preserve"> the 45 day holding</w:t>
      </w:r>
      <w:r w:rsidR="000B5366" w:rsidRPr="005764F6">
        <w:t xml:space="preserve"> rule</w:t>
      </w:r>
      <w:r w:rsidRPr="005764F6">
        <w:t xml:space="preserve">. This is covered in section </w:t>
      </w:r>
      <w:r w:rsidR="001A6B5D" w:rsidRPr="005764F6">
        <w:fldChar w:fldCharType="begin"/>
      </w:r>
      <w:r w:rsidR="001A6B5D" w:rsidRPr="005764F6">
        <w:instrText xml:space="preserve"> REF _Ref414099389 \r \h </w:instrText>
      </w:r>
      <w:r w:rsidR="00570733" w:rsidRPr="005764F6">
        <w:instrText xml:space="preserve"> \* MERGEFORMAT </w:instrText>
      </w:r>
      <w:r w:rsidR="001A6B5D" w:rsidRPr="005764F6">
        <w:fldChar w:fldCharType="separate"/>
      </w:r>
      <w:r w:rsidR="00881794">
        <w:t>A.8.3</w:t>
      </w:r>
      <w:r w:rsidR="001A6B5D" w:rsidRPr="005764F6">
        <w:fldChar w:fldCharType="end"/>
      </w:r>
      <w:r w:rsidRPr="005764F6">
        <w:t>.</w:t>
      </w:r>
    </w:p>
    <w:p w:rsidR="00883125" w:rsidRPr="005764F6" w:rsidRDefault="00883125">
      <w:pPr>
        <w:pStyle w:val="AERbulletlistsecondstyle"/>
      </w:pPr>
      <w:r w:rsidRPr="005764F6">
        <w:t xml:space="preserve">Estimates of </w:t>
      </w:r>
      <w:r w:rsidR="00454EF8" w:rsidRPr="005764F6">
        <w:t xml:space="preserve">the </w:t>
      </w:r>
      <w:r w:rsidR="006D4B92" w:rsidRPr="005764F6">
        <w:t xml:space="preserve">gamma </w:t>
      </w:r>
      <w:r w:rsidR="008F2BC6" w:rsidRPr="005764F6">
        <w:t xml:space="preserve">value </w:t>
      </w:r>
      <w:r w:rsidRPr="005764F6">
        <w:t>from the equity ownership approach range from 0.28 to 0.47 if the ranges from both listed equity (0.28 to 0.41) and all equity (0.</w:t>
      </w:r>
      <w:r w:rsidR="00873764" w:rsidRPr="005764F6">
        <w:t>40</w:t>
      </w:r>
      <w:r w:rsidRPr="005764F6">
        <w:t xml:space="preserve"> to 0.47)</w:t>
      </w:r>
      <w:r w:rsidR="00454EF8" w:rsidRPr="005764F6">
        <w:t xml:space="preserve"> are considered</w:t>
      </w:r>
      <w:r w:rsidR="00964631" w:rsidRPr="005764F6">
        <w:t xml:space="preserve"> and where estimates of gamma are based on matching cumulative distribution rate data</w:t>
      </w:r>
      <w:r w:rsidRPr="005764F6">
        <w:t>.</w:t>
      </w:r>
      <w:r w:rsidR="00964631" w:rsidRPr="005764F6">
        <w:t xml:space="preserve"> </w:t>
      </w:r>
      <w:r w:rsidR="00454EF8" w:rsidRPr="005764F6">
        <w:t>W</w:t>
      </w:r>
      <w:r w:rsidRPr="005764F6">
        <w:t xml:space="preserve">e </w:t>
      </w:r>
      <w:r w:rsidR="00454EF8" w:rsidRPr="005764F6">
        <w:t>use</w:t>
      </w:r>
      <w:r w:rsidRPr="005764F6">
        <w:t xml:space="preserve"> an estimate well below the top of th</w:t>
      </w:r>
      <w:r w:rsidR="00964631" w:rsidRPr="005764F6">
        <w:t>e</w:t>
      </w:r>
      <w:r w:rsidRPr="005764F6">
        <w:t xml:space="preserve"> range</w:t>
      </w:r>
      <w:r w:rsidR="00964631" w:rsidRPr="005764F6">
        <w:t xml:space="preserve"> for all equity</w:t>
      </w:r>
      <w:r w:rsidR="00886A9A" w:rsidRPr="005764F6">
        <w:t>.</w:t>
      </w:r>
    </w:p>
    <w:p w:rsidR="005942A6" w:rsidRPr="005764F6" w:rsidRDefault="00AB0625" w:rsidP="005764F6">
      <w:pPr>
        <w:pStyle w:val="AERbulletlistfirststyle"/>
      </w:pPr>
      <w:r w:rsidRPr="005764F6">
        <w:t xml:space="preserve">It is open to us to </w:t>
      </w:r>
      <w:r w:rsidR="00411470" w:rsidRPr="005764F6">
        <w:t>have regard to</w:t>
      </w:r>
      <w:r w:rsidRPr="005764F6">
        <w:t xml:space="preserve"> a listed equity measure of the distribution rate</w:t>
      </w:r>
      <w:r w:rsidR="00D538D1" w:rsidRPr="005764F6">
        <w:t>,</w:t>
      </w:r>
      <w:r w:rsidR="00714353" w:rsidRPr="005764F6">
        <w:t xml:space="preserve"> </w:t>
      </w:r>
      <w:r w:rsidR="00D538D1" w:rsidRPr="005764F6">
        <w:t xml:space="preserve">which we </w:t>
      </w:r>
      <w:r w:rsidR="00CA44B8" w:rsidRPr="005764F6">
        <w:t>consider is reasonably reflective of</w:t>
      </w:r>
      <w:r w:rsidR="009C554D" w:rsidRPr="005764F6">
        <w:t xml:space="preserve"> a benchmark efficient entity</w:t>
      </w:r>
      <w:r w:rsidR="001B2D3D" w:rsidRPr="005764F6">
        <w:t xml:space="preserve"> given the trade-offs associated with choosing an appropriate dataset (see section </w:t>
      </w:r>
      <w:r w:rsidR="001B2D3D" w:rsidRPr="005764F6">
        <w:fldChar w:fldCharType="begin"/>
      </w:r>
      <w:r w:rsidR="001B2D3D" w:rsidRPr="005764F6">
        <w:instrText xml:space="preserve"> REF _Ref401133206 \r \h  \* MERGEFORMAT </w:instrText>
      </w:r>
      <w:r w:rsidR="001B2D3D" w:rsidRPr="005764F6">
        <w:fldChar w:fldCharType="separate"/>
      </w:r>
      <w:r w:rsidR="00881794">
        <w:t>A.10</w:t>
      </w:r>
      <w:r w:rsidR="001B2D3D" w:rsidRPr="005764F6">
        <w:fldChar w:fldCharType="end"/>
      </w:r>
      <w:r w:rsidR="001B2D3D" w:rsidRPr="005764F6">
        <w:t>)</w:t>
      </w:r>
      <w:r w:rsidRPr="005764F6">
        <w:t>.</w:t>
      </w:r>
      <w:r w:rsidR="001B2D3D" w:rsidRPr="00043A0E">
        <w:rPr>
          <w:rStyle w:val="FootnoteReference"/>
        </w:rPr>
        <w:footnoteReference w:id="20"/>
      </w:r>
      <w:r w:rsidRPr="005764F6">
        <w:t xml:space="preserve"> </w:t>
      </w:r>
      <w:r w:rsidR="00411470" w:rsidRPr="005764F6">
        <w:t>In a similar vein,</w:t>
      </w:r>
      <w:r w:rsidRPr="005764F6">
        <w:t xml:space="preserve"> </w:t>
      </w:r>
      <w:r w:rsidR="00411470" w:rsidRPr="005764F6">
        <w:t>w</w:t>
      </w:r>
      <w:r w:rsidRPr="005764F6">
        <w:t xml:space="preserve">e agree with Lally that it is not essential (but 'nor is it precluded') to combine estimates of the distribution rate and utilisation </w:t>
      </w:r>
      <w:r w:rsidR="0005260B" w:rsidRPr="005764F6">
        <w:t>rate</w:t>
      </w:r>
      <w:r w:rsidRPr="005764F6">
        <w:t xml:space="preserve"> from the same dataset</w:t>
      </w:r>
      <w:r w:rsidR="001B2D3D" w:rsidRPr="005764F6">
        <w:t xml:space="preserve"> (see section </w:t>
      </w:r>
      <w:r w:rsidR="001B2D3D" w:rsidRPr="005764F6">
        <w:fldChar w:fldCharType="begin"/>
      </w:r>
      <w:r w:rsidR="001B2D3D" w:rsidRPr="005764F6">
        <w:instrText xml:space="preserve"> REF _Ref450299300 \r \h  \* MERGEFORMAT </w:instrText>
      </w:r>
      <w:r w:rsidR="001B2D3D" w:rsidRPr="005764F6">
        <w:fldChar w:fldCharType="separate"/>
      </w:r>
      <w:r w:rsidR="00881794">
        <w:t>A.9.2</w:t>
      </w:r>
      <w:r w:rsidR="001B2D3D" w:rsidRPr="005764F6">
        <w:fldChar w:fldCharType="end"/>
      </w:r>
      <w:r w:rsidR="001B2D3D" w:rsidRPr="005764F6">
        <w:t>)</w:t>
      </w:r>
      <w:r w:rsidRPr="005764F6">
        <w:t>.</w:t>
      </w:r>
      <w:r w:rsidRPr="00043A0E">
        <w:rPr>
          <w:rStyle w:val="FootnoteReference"/>
        </w:rPr>
        <w:footnoteReference w:id="21"/>
      </w:r>
      <w:r w:rsidRPr="005764F6">
        <w:t xml:space="preserve"> Given this, </w:t>
      </w:r>
      <w:r w:rsidR="001B2D3D" w:rsidRPr="005764F6">
        <w:t xml:space="preserve">while we primarily maintain our previous approach in this decision, we also </w:t>
      </w:r>
      <w:r w:rsidRPr="005764F6">
        <w:t>have</w:t>
      </w:r>
      <w:r w:rsidR="00EB57A6" w:rsidRPr="005764F6">
        <w:t xml:space="preserve"> some</w:t>
      </w:r>
      <w:r w:rsidRPr="005764F6">
        <w:t xml:space="preserve"> regard to Lally's preferred </w:t>
      </w:r>
      <w:r w:rsidR="001B2D3D" w:rsidRPr="005764F6">
        <w:t xml:space="preserve">approach. This combines a </w:t>
      </w:r>
      <w:r w:rsidR="00EB57A6" w:rsidRPr="005764F6">
        <w:t>distribution rate</w:t>
      </w:r>
      <w:r w:rsidR="00D7600C" w:rsidRPr="00043A0E">
        <w:t xml:space="preserve"> for listed equity from financial reports of the top 20 listed firms</w:t>
      </w:r>
      <w:r w:rsidR="001B2D3D" w:rsidRPr="005764F6">
        <w:t xml:space="preserve"> with </w:t>
      </w:r>
      <w:r w:rsidR="00714353" w:rsidRPr="005764F6">
        <w:t>an all equity utilisation rate from the equity ownership approach</w:t>
      </w:r>
      <w:r w:rsidR="00EB57A6" w:rsidRPr="005764F6">
        <w:t>.</w:t>
      </w:r>
      <w:r w:rsidR="00217DF9" w:rsidRPr="00043A0E">
        <w:rPr>
          <w:rStyle w:val="FootnoteReference"/>
        </w:rPr>
        <w:footnoteReference w:id="22"/>
      </w:r>
      <w:r w:rsidR="00DF4A63" w:rsidRPr="005764F6">
        <w:t xml:space="preserve"> We also have </w:t>
      </w:r>
      <w:r w:rsidR="00FF12F1" w:rsidRPr="005764F6">
        <w:t xml:space="preserve">some </w:t>
      </w:r>
      <w:r w:rsidR="00DF4A63" w:rsidRPr="005764F6">
        <w:t>regard to a gamma estimate based on the utilisation rate from taxation statistics of 0.48 (</w:t>
      </w:r>
      <w:r w:rsidR="0094780C" w:rsidRPr="005764F6">
        <w:t xml:space="preserve">consistent with </w:t>
      </w:r>
      <w:r w:rsidR="00DF4A63" w:rsidRPr="005764F6">
        <w:t xml:space="preserve">FAB </w:t>
      </w:r>
      <w:r w:rsidR="00C43CF0">
        <w:t xml:space="preserve">data </w:t>
      </w:r>
      <w:r w:rsidR="0094780C" w:rsidRPr="005764F6">
        <w:t xml:space="preserve">used to calculate </w:t>
      </w:r>
      <w:r w:rsidR="00DF4A63" w:rsidRPr="005764F6">
        <w:t xml:space="preserve">the cumulative payout ratio distribution rate) and Lally's preferred estimate of the distribution rate for </w:t>
      </w:r>
      <w:r w:rsidR="00FF12F1" w:rsidRPr="005764F6">
        <w:t>a</w:t>
      </w:r>
      <w:r w:rsidR="00DF4A63" w:rsidRPr="005764F6">
        <w:t xml:space="preserve"> benchmark efficient entity of 0.83.</w:t>
      </w:r>
    </w:p>
    <w:p w:rsidR="00A55A8B" w:rsidRPr="005764F6" w:rsidRDefault="00A55A8B" w:rsidP="00A55A8B">
      <w:pPr>
        <w:rPr>
          <w:rStyle w:val="AERbody"/>
        </w:rPr>
      </w:pPr>
      <w:r w:rsidRPr="005764F6">
        <w:rPr>
          <w:rStyle w:val="AERbody"/>
        </w:rPr>
        <w:lastRenderedPageBreak/>
        <w:t>Lally</w:t>
      </w:r>
      <w:r w:rsidR="00F14413">
        <w:rPr>
          <w:rStyle w:val="AERbody"/>
        </w:rPr>
        <w:t xml:space="preserve"> (in his latest report)</w:t>
      </w:r>
      <w:r w:rsidRPr="005764F6">
        <w:rPr>
          <w:rStyle w:val="AERbody"/>
        </w:rPr>
        <w:t xml:space="preserve"> support</w:t>
      </w:r>
      <w:r w:rsidR="00854BCC">
        <w:rPr>
          <w:rStyle w:val="AERbody"/>
        </w:rPr>
        <w:t>s</w:t>
      </w:r>
      <w:r w:rsidR="00F14413">
        <w:rPr>
          <w:rStyle w:val="AERbody"/>
        </w:rPr>
        <w:t>, among other things,</w:t>
      </w:r>
      <w:r w:rsidRPr="005764F6">
        <w:rPr>
          <w:rStyle w:val="AERbody"/>
        </w:rPr>
        <w:t xml:space="preserve"> our conceptual approach to estimating gamma and the relative reliance we place on different sources of evidence to estimate the utilisation </w:t>
      </w:r>
      <w:r w:rsidR="0005260B">
        <w:rPr>
          <w:rStyle w:val="AERbody"/>
        </w:rPr>
        <w:t>rate</w:t>
      </w:r>
      <w:r w:rsidRPr="005764F6">
        <w:rPr>
          <w:rStyle w:val="AERbody"/>
        </w:rPr>
        <w:t>.</w:t>
      </w:r>
      <w:r w:rsidR="00F14413">
        <w:rPr>
          <w:rStyle w:val="FootnoteReference"/>
        </w:rPr>
        <w:footnoteReference w:id="23"/>
      </w:r>
      <w:r w:rsidRPr="005764F6">
        <w:rPr>
          <w:rStyle w:val="AERbody"/>
        </w:rPr>
        <w:t xml:space="preserve"> However, he recommended an implementation of the equity ownership approach which resulted in an estimate of gamma </w:t>
      </w:r>
      <w:r w:rsidR="008E70DD">
        <w:rPr>
          <w:rStyle w:val="AERbody"/>
        </w:rPr>
        <w:t xml:space="preserve">of at least </w:t>
      </w:r>
      <w:r w:rsidRPr="005764F6">
        <w:rPr>
          <w:rStyle w:val="AERbody"/>
        </w:rPr>
        <w:t>0.5. This is higher than the estimate of 0.4 we adopt in this decision. We maintain our approach and final estimate because we consider it meets the requirements of the NER/NGR</w:t>
      </w:r>
      <w:r w:rsidR="000C3267">
        <w:rPr>
          <w:rStyle w:val="AERbody"/>
        </w:rPr>
        <w:t xml:space="preserve"> and takes into account the importance of regulatory certainty and predictability</w:t>
      </w:r>
      <w:r w:rsidRPr="005764F6">
        <w:rPr>
          <w:rStyle w:val="AERbody"/>
        </w:rPr>
        <w:t xml:space="preserve">. </w:t>
      </w:r>
    </w:p>
    <w:p w:rsidR="00A55A8B" w:rsidRDefault="00A55A8B" w:rsidP="005764F6">
      <w:pPr>
        <w:pStyle w:val="HeadingBoldBlue"/>
      </w:pPr>
      <w:r>
        <w:t>The use of taxation statistics</w:t>
      </w:r>
    </w:p>
    <w:p w:rsidR="00A55A8B" w:rsidRDefault="00A55A8B" w:rsidP="00243100">
      <w:r>
        <w:t xml:space="preserve">In </w:t>
      </w:r>
      <w:r w:rsidR="002D2EC4">
        <w:t>response</w:t>
      </w:r>
      <w:r>
        <w:t xml:space="preserve"> </w:t>
      </w:r>
      <w:r w:rsidR="002D2EC4">
        <w:t>to</w:t>
      </w:r>
      <w:r>
        <w:t xml:space="preserve"> the recent submissions on the Tribunal decision</w:t>
      </w:r>
      <w:r w:rsidR="005F5D40">
        <w:t>s</w:t>
      </w:r>
      <w:r>
        <w:t xml:space="preserve">, we have again considered the reliability </w:t>
      </w:r>
      <w:r w:rsidR="000F00B4">
        <w:t>of</w:t>
      </w:r>
      <w:r>
        <w:t xml:space="preserve"> </w:t>
      </w:r>
      <w:r w:rsidR="000F00B4">
        <w:t xml:space="preserve">utilisation </w:t>
      </w:r>
      <w:r w:rsidR="0005260B">
        <w:t>rate</w:t>
      </w:r>
      <w:r w:rsidR="000F00B4">
        <w:t xml:space="preserve"> and gamma </w:t>
      </w:r>
      <w:r>
        <w:t>estimates based on tax stat</w:t>
      </w:r>
      <w:r w:rsidR="001B20F2">
        <w:t>istics</w:t>
      </w:r>
      <w:r w:rsidR="005F5D40">
        <w:t xml:space="preserve">. We have also considered </w:t>
      </w:r>
      <w:r w:rsidR="001B20F2">
        <w:t>what</w:t>
      </w:r>
      <w:r>
        <w:t xml:space="preserve"> can </w:t>
      </w:r>
      <w:r w:rsidR="001B20F2">
        <w:t xml:space="preserve">reasonably </w:t>
      </w:r>
      <w:r>
        <w:t xml:space="preserve">be concluded </w:t>
      </w:r>
      <w:r w:rsidR="001B20F2">
        <w:t xml:space="preserve">about the appropriate estimate of gamma for </w:t>
      </w:r>
      <w:r w:rsidR="005F5D40">
        <w:t>a</w:t>
      </w:r>
      <w:r w:rsidR="001B20F2">
        <w:t xml:space="preserve"> benchmark efficient entity </w:t>
      </w:r>
      <w:r>
        <w:t xml:space="preserve">based on these statistics. This section briefly summarises our </w:t>
      </w:r>
      <w:r w:rsidR="001B20F2">
        <w:t>views on these matters</w:t>
      </w:r>
      <w:r>
        <w:t xml:space="preserve">. </w:t>
      </w:r>
    </w:p>
    <w:p w:rsidR="00243100" w:rsidRPr="00243100" w:rsidRDefault="00243100" w:rsidP="00243100">
      <w:r w:rsidRPr="00243100">
        <w:t xml:space="preserve">In this final decision, </w:t>
      </w:r>
      <w:r w:rsidR="0069094A">
        <w:t>we</w:t>
      </w:r>
      <w:r w:rsidRPr="00243100">
        <w:t xml:space="preserve"> consider there are </w:t>
      </w:r>
      <w:r w:rsidR="006A5107">
        <w:t xml:space="preserve">potential </w:t>
      </w:r>
      <w:r w:rsidRPr="00243100">
        <w:t>underlying data issues with tax statistics and as a result</w:t>
      </w:r>
      <w:r w:rsidR="005F5D40">
        <w:t>,</w:t>
      </w:r>
      <w:r w:rsidRPr="00243100">
        <w:t xml:space="preserve"> the utilisation </w:t>
      </w:r>
      <w:r w:rsidR="0005260B">
        <w:t>rate</w:t>
      </w:r>
      <w:r w:rsidRPr="00243100">
        <w:t xml:space="preserve"> cannot be estimated reliably f</w:t>
      </w:r>
      <w:r w:rsidR="00964631">
        <w:t>rom this data</w:t>
      </w:r>
      <w:r w:rsidRPr="00243100">
        <w:t xml:space="preserve">. As outlined by Lally, the data issues with tax statistics </w:t>
      </w:r>
      <w:r w:rsidR="00F51C27">
        <w:t>are</w:t>
      </w:r>
      <w:r w:rsidRPr="00243100">
        <w:t xml:space="preserve"> generally accepted by service providers, </w:t>
      </w:r>
      <w:r w:rsidR="00964631">
        <w:t>t</w:t>
      </w:r>
      <w:r w:rsidRPr="00243100">
        <w:t>he Tribunal, Hathaway, NERA, Handley and Frontier.</w:t>
      </w:r>
      <w:r>
        <w:rPr>
          <w:rStyle w:val="FootnoteReference"/>
        </w:rPr>
        <w:footnoteReference w:id="24"/>
      </w:r>
      <w:r w:rsidR="009A340F">
        <w:t xml:space="preserve"> For this reason, in this decision</w:t>
      </w:r>
      <w:r w:rsidR="005F5D40">
        <w:t>,</w:t>
      </w:r>
      <w:r w:rsidR="009A340F">
        <w:t xml:space="preserve"> we have placed limited weight on tax statistics.</w:t>
      </w:r>
    </w:p>
    <w:p w:rsidR="009A340F" w:rsidRDefault="00243100" w:rsidP="00243100">
      <w:r w:rsidRPr="00243100">
        <w:t xml:space="preserve">Lally considers tax statistics </w:t>
      </w:r>
      <w:r w:rsidR="00147042">
        <w:t>do</w:t>
      </w:r>
      <w:r w:rsidR="00964631">
        <w:t xml:space="preserve"> not provide a reliable </w:t>
      </w:r>
      <w:r w:rsidRPr="00243100">
        <w:t>estimate of the utilisation rate.</w:t>
      </w:r>
      <w:r w:rsidR="00205477">
        <w:rPr>
          <w:rStyle w:val="FootnoteReference"/>
        </w:rPr>
        <w:footnoteReference w:id="25"/>
      </w:r>
      <w:r w:rsidRPr="00243100">
        <w:t xml:space="preserve"> Lally </w:t>
      </w:r>
      <w:r w:rsidR="00147042">
        <w:t xml:space="preserve">also </w:t>
      </w:r>
      <w:r w:rsidRPr="00243100">
        <w:t>consider</w:t>
      </w:r>
      <w:r w:rsidR="005F5D40">
        <w:t>s</w:t>
      </w:r>
      <w:r w:rsidRPr="00243100">
        <w:t xml:space="preserve"> </w:t>
      </w:r>
      <w:r w:rsidR="00854BCC">
        <w:t>our</w:t>
      </w:r>
      <w:r w:rsidRPr="00243100">
        <w:t xml:space="preserve"> </w:t>
      </w:r>
      <w:r w:rsidR="00205477">
        <w:t xml:space="preserve">tax statistic </w:t>
      </w:r>
      <w:r w:rsidRPr="00243100">
        <w:t>estimate of 0.48 is</w:t>
      </w:r>
      <w:r w:rsidR="00854BCC">
        <w:t xml:space="preserve"> </w:t>
      </w:r>
      <w:r w:rsidR="00854BCC" w:rsidRPr="005764F6">
        <w:rPr>
          <w:rStyle w:val="AERtextunderline"/>
        </w:rPr>
        <w:t>not</w:t>
      </w:r>
      <w:r w:rsidRPr="00243100">
        <w:t xml:space="preserve"> an upper bound</w:t>
      </w:r>
      <w:r>
        <w:t xml:space="preserve">. </w:t>
      </w:r>
      <w:r w:rsidR="00854BCC">
        <w:t xml:space="preserve">As </w:t>
      </w:r>
      <w:r w:rsidRPr="00243100">
        <w:t>Lally</w:t>
      </w:r>
      <w:r w:rsidR="00854BCC">
        <w:t xml:space="preserve"> explains,</w:t>
      </w:r>
      <w:r w:rsidRPr="00243100">
        <w:t xml:space="preserve"> the fact that Hathaway also considered 0.6</w:t>
      </w:r>
      <w:r w:rsidR="005A3708">
        <w:t>2</w:t>
      </w:r>
      <w:r w:rsidRPr="00243100">
        <w:t xml:space="preserve"> </w:t>
      </w:r>
      <w:r w:rsidR="00854BCC">
        <w:t xml:space="preserve">a </w:t>
      </w:r>
      <w:r w:rsidRPr="00243100">
        <w:t>possible estimate of the utilisation rate</w:t>
      </w:r>
      <w:r w:rsidR="00147042">
        <w:t xml:space="preserve"> demonstrates </w:t>
      </w:r>
      <w:r w:rsidRPr="00243100">
        <w:t xml:space="preserve">the </w:t>
      </w:r>
      <w:r w:rsidR="00147042">
        <w:t>utilisation rate</w:t>
      </w:r>
      <w:r w:rsidR="00854BCC">
        <w:t xml:space="preserve"> estimate</w:t>
      </w:r>
      <w:r w:rsidR="00147042">
        <w:t xml:space="preserve"> of </w:t>
      </w:r>
      <w:r w:rsidRPr="00243100">
        <w:t>0.48 is not an upper bound.</w:t>
      </w:r>
      <w:r w:rsidR="00AB0B17" w:rsidRPr="00AB0B17">
        <w:rPr>
          <w:rStyle w:val="FootnoteReference"/>
        </w:rPr>
        <w:footnoteReference w:id="26"/>
      </w:r>
      <w:r w:rsidR="006A5107">
        <w:t xml:space="preserve"> We consider that any uncertain estimate is not an upper bound.</w:t>
      </w:r>
    </w:p>
    <w:p w:rsidR="00136BC8" w:rsidRDefault="009A340F" w:rsidP="00243100">
      <w:r w:rsidRPr="00243100">
        <w:t xml:space="preserve">Putting </w:t>
      </w:r>
      <w:r>
        <w:t xml:space="preserve">aside the data reliability issues with tax statistics, all the evidence before </w:t>
      </w:r>
      <w:r w:rsidR="00854BCC">
        <w:t>us</w:t>
      </w:r>
      <w:r>
        <w:t xml:space="preserve"> on tax statistics does</w:t>
      </w:r>
      <w:r w:rsidRPr="00243100">
        <w:t xml:space="preserve"> not demonstrate </w:t>
      </w:r>
      <w:r>
        <w:t>our</w:t>
      </w:r>
      <w:r w:rsidRPr="00243100">
        <w:t xml:space="preserve"> gamma estimate for </w:t>
      </w:r>
      <w:r w:rsidR="00854BCC">
        <w:t>a</w:t>
      </w:r>
      <w:r w:rsidRPr="00243100">
        <w:t xml:space="preserve"> benchmark effi</w:t>
      </w:r>
      <w:r w:rsidR="00136BC8">
        <w:t>cient entity of 0.4 is too high</w:t>
      </w:r>
      <w:r w:rsidR="000F00B4">
        <w:t>.</w:t>
      </w:r>
      <w:r w:rsidR="00136BC8">
        <w:t xml:space="preserve"> </w:t>
      </w:r>
      <w:r w:rsidR="000F00B4">
        <w:t>This</w:t>
      </w:r>
      <w:r w:rsidR="00136BC8">
        <w:t xml:space="preserve"> is evident in </w:t>
      </w:r>
      <w:r w:rsidR="00136BC8">
        <w:fldChar w:fldCharType="begin"/>
      </w:r>
      <w:r w:rsidR="00136BC8">
        <w:instrText xml:space="preserve"> REF _Ref451627331 \h </w:instrText>
      </w:r>
      <w:r w:rsidR="00136BC8">
        <w:fldChar w:fldCharType="separate"/>
      </w:r>
      <w:r w:rsidR="00881794" w:rsidRPr="00883125">
        <w:t xml:space="preserve">Table </w:t>
      </w:r>
      <w:r w:rsidR="00881794">
        <w:rPr>
          <w:noProof/>
        </w:rPr>
        <w:t>4</w:t>
      </w:r>
      <w:r w:rsidR="00881794">
        <w:noBreakHyphen/>
      </w:r>
      <w:r w:rsidR="00881794">
        <w:rPr>
          <w:noProof/>
        </w:rPr>
        <w:t>2</w:t>
      </w:r>
      <w:r w:rsidR="00136BC8">
        <w:fldChar w:fldCharType="end"/>
      </w:r>
      <w:r w:rsidR="00136BC8">
        <w:t>.</w:t>
      </w:r>
    </w:p>
    <w:p w:rsidR="00962162" w:rsidRPr="00883125" w:rsidRDefault="00962162" w:rsidP="00881794">
      <w:pPr>
        <w:pStyle w:val="Caption"/>
      </w:pPr>
      <w:bookmarkStart w:id="19" w:name="_Ref451627331"/>
      <w:r w:rsidRPr="00883125">
        <w:lastRenderedPageBreak/>
        <w:t xml:space="preserve">Table </w:t>
      </w:r>
      <w:r w:rsidRPr="00962162">
        <w:fldChar w:fldCharType="begin"/>
      </w:r>
      <w:r>
        <w:instrText xml:space="preserve"> STYLEREF 1 \s </w:instrText>
      </w:r>
      <w:r w:rsidRPr="00962162">
        <w:fldChar w:fldCharType="separate"/>
      </w:r>
      <w:r w:rsidR="00881794">
        <w:rPr>
          <w:noProof/>
        </w:rPr>
        <w:t>4</w:t>
      </w:r>
      <w:r w:rsidRPr="00962162">
        <w:fldChar w:fldCharType="end"/>
      </w:r>
      <w:r>
        <w:noBreakHyphen/>
      </w:r>
      <w:r w:rsidRPr="00962162">
        <w:fldChar w:fldCharType="begin"/>
      </w:r>
      <w:r>
        <w:instrText xml:space="preserve"> SEQ Table \* ARABIC \s 1 </w:instrText>
      </w:r>
      <w:r w:rsidRPr="00962162">
        <w:fldChar w:fldCharType="separate"/>
      </w:r>
      <w:r w:rsidR="00881794">
        <w:rPr>
          <w:noProof/>
        </w:rPr>
        <w:t>2</w:t>
      </w:r>
      <w:r w:rsidRPr="00962162">
        <w:fldChar w:fldCharType="end"/>
      </w:r>
      <w:bookmarkEnd w:id="19"/>
      <w:r w:rsidRPr="00883125">
        <w:tab/>
        <w:t xml:space="preserve">Estimates of the value of imputation credits—evidence from </w:t>
      </w:r>
      <w:r>
        <w:t>taxation statistics</w:t>
      </w:r>
    </w:p>
    <w:tbl>
      <w:tblPr>
        <w:tblStyle w:val="AERtable-numbers"/>
        <w:tblW w:w="0" w:type="auto"/>
        <w:tblLook w:val="04A0" w:firstRow="1" w:lastRow="0" w:firstColumn="1" w:lastColumn="0" w:noHBand="0" w:noVBand="1"/>
      </w:tblPr>
      <w:tblGrid>
        <w:gridCol w:w="3085"/>
        <w:gridCol w:w="2052"/>
        <w:gridCol w:w="2052"/>
        <w:gridCol w:w="2053"/>
      </w:tblGrid>
      <w:tr w:rsidR="00962162" w:rsidTr="008C3FA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962162" w:rsidRPr="00883125" w:rsidRDefault="00962162" w:rsidP="00164D25">
            <w:pPr>
              <w:keepNext/>
              <w:numPr>
                <w:ilvl w:val="0"/>
                <w:numId w:val="24"/>
              </w:numPr>
            </w:pPr>
          </w:p>
        </w:tc>
        <w:tc>
          <w:tcPr>
            <w:tcW w:w="2052" w:type="dxa"/>
          </w:tcPr>
          <w:p w:rsidR="00962162" w:rsidRPr="00883125" w:rsidRDefault="00962162" w:rsidP="00164D25">
            <w:pPr>
              <w:keepNext/>
              <w:cnfStyle w:val="100000000000" w:firstRow="1" w:lastRow="0" w:firstColumn="0" w:lastColumn="0" w:oddVBand="0" w:evenVBand="0" w:oddHBand="0" w:evenHBand="0" w:firstRowFirstColumn="0" w:firstRowLastColumn="0" w:lastRowFirstColumn="0" w:lastRowLastColumn="0"/>
            </w:pPr>
            <w:r w:rsidRPr="00883125">
              <w:t xml:space="preserve">Utilisation </w:t>
            </w:r>
            <w:r w:rsidR="0005260B">
              <w:t>rate</w:t>
            </w:r>
          </w:p>
        </w:tc>
        <w:tc>
          <w:tcPr>
            <w:tcW w:w="2052" w:type="dxa"/>
          </w:tcPr>
          <w:p w:rsidR="00962162" w:rsidRPr="00883125" w:rsidRDefault="00962162" w:rsidP="00164D25">
            <w:pPr>
              <w:keepNext/>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053" w:type="dxa"/>
          </w:tcPr>
          <w:p w:rsidR="00962162" w:rsidRPr="00883125" w:rsidRDefault="00962162" w:rsidP="00164D25">
            <w:pPr>
              <w:keepNext/>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962162" w:rsidTr="008C3FA2">
        <w:trPr>
          <w:cantSplit/>
        </w:trPr>
        <w:tc>
          <w:tcPr>
            <w:cnfStyle w:val="001000000000" w:firstRow="0" w:lastRow="0" w:firstColumn="1" w:lastColumn="0" w:oddVBand="0" w:evenVBand="0" w:oddHBand="0" w:evenHBand="0" w:firstRowFirstColumn="0" w:firstRowLastColumn="0" w:lastRowFirstColumn="0" w:lastRowLastColumn="0"/>
            <w:tcW w:w="3085" w:type="dxa"/>
          </w:tcPr>
          <w:p w:rsidR="00962162" w:rsidRPr="00883125" w:rsidRDefault="00962162" w:rsidP="00164D25">
            <w:pPr>
              <w:keepNext/>
              <w:numPr>
                <w:ilvl w:val="0"/>
                <w:numId w:val="24"/>
              </w:numPr>
            </w:pPr>
            <w:r>
              <w:t>All equity</w:t>
            </w:r>
          </w:p>
        </w:tc>
        <w:tc>
          <w:tcPr>
            <w:tcW w:w="2052" w:type="dxa"/>
          </w:tcPr>
          <w:p w:rsidR="00962162" w:rsidRPr="00883125" w:rsidRDefault="00962162" w:rsidP="00164D25">
            <w:pPr>
              <w:keepNext/>
              <w:cnfStyle w:val="000000000000" w:firstRow="0" w:lastRow="0" w:firstColumn="0" w:lastColumn="0" w:oddVBand="0" w:evenVBand="0" w:oddHBand="0" w:evenHBand="0" w:firstRowFirstColumn="0" w:firstRowLastColumn="0" w:lastRowFirstColumn="0" w:lastRowLastColumn="0"/>
            </w:pPr>
            <w:r w:rsidRPr="00883125">
              <w:t>0.</w:t>
            </w:r>
            <w:r>
              <w:t>48</w:t>
            </w:r>
          </w:p>
        </w:tc>
        <w:tc>
          <w:tcPr>
            <w:tcW w:w="2052" w:type="dxa"/>
          </w:tcPr>
          <w:p w:rsidR="00962162" w:rsidRPr="00883125" w:rsidRDefault="00962162" w:rsidP="00164D25">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r w:rsidR="00385731">
              <w:rPr>
                <w:rStyle w:val="FootnoteReference"/>
              </w:rPr>
              <w:footnoteReference w:id="27"/>
            </w:r>
          </w:p>
        </w:tc>
        <w:tc>
          <w:tcPr>
            <w:tcW w:w="2053" w:type="dxa"/>
          </w:tcPr>
          <w:p w:rsidR="00962162" w:rsidRPr="00883125" w:rsidRDefault="00136BC8" w:rsidP="00164D25">
            <w:pPr>
              <w:keepNext/>
              <w:numPr>
                <w:ilvl w:val="0"/>
                <w:numId w:val="24"/>
              </w:numPr>
              <w:cnfStyle w:val="000000000000" w:firstRow="0" w:lastRow="0" w:firstColumn="0" w:lastColumn="0" w:oddVBand="0" w:evenVBand="0" w:oddHBand="0" w:evenHBand="0" w:firstRowFirstColumn="0" w:firstRowLastColumn="0" w:lastRowFirstColumn="0" w:lastRowLastColumn="0"/>
            </w:pPr>
            <w:r>
              <w:t>0.34</w:t>
            </w:r>
          </w:p>
        </w:tc>
      </w:tr>
      <w:tr w:rsidR="00962162" w:rsidTr="008C3FA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962162" w:rsidRPr="00883125" w:rsidRDefault="00962162" w:rsidP="00164D25">
            <w:pPr>
              <w:keepNext/>
              <w:numPr>
                <w:ilvl w:val="0"/>
                <w:numId w:val="24"/>
              </w:numPr>
            </w:pPr>
            <w:r>
              <w:t>Listed equity</w:t>
            </w:r>
          </w:p>
        </w:tc>
        <w:tc>
          <w:tcPr>
            <w:tcW w:w="2052" w:type="dxa"/>
          </w:tcPr>
          <w:p w:rsidR="00962162" w:rsidRPr="00883125" w:rsidRDefault="00962162" w:rsidP="00164D25">
            <w:pPr>
              <w:keepNext/>
              <w:cnfStyle w:val="000000010000" w:firstRow="0" w:lastRow="0" w:firstColumn="0" w:lastColumn="0" w:oddVBand="0" w:evenVBand="0" w:oddHBand="0" w:evenHBand="1" w:firstRowFirstColumn="0" w:firstRowLastColumn="0" w:lastRowFirstColumn="0" w:lastRowLastColumn="0"/>
            </w:pPr>
            <w:r w:rsidRPr="00883125">
              <w:t>0.</w:t>
            </w:r>
            <w:r w:rsidRPr="00962162">
              <w:t>48</w:t>
            </w:r>
          </w:p>
        </w:tc>
        <w:tc>
          <w:tcPr>
            <w:tcW w:w="2052" w:type="dxa"/>
          </w:tcPr>
          <w:p w:rsidR="00962162" w:rsidRPr="00883125" w:rsidRDefault="00962162" w:rsidP="00164D25">
            <w:pPr>
              <w:keepNext/>
              <w:cnfStyle w:val="000000010000" w:firstRow="0" w:lastRow="0" w:firstColumn="0" w:lastColumn="0" w:oddVBand="0" w:evenVBand="0" w:oddHBand="0" w:evenHBand="1" w:firstRowFirstColumn="0" w:firstRowLastColumn="0" w:lastRowFirstColumn="0" w:lastRowLastColumn="0"/>
            </w:pPr>
            <w:r w:rsidRPr="00883125">
              <w:t>0.7</w:t>
            </w:r>
            <w:r>
              <w:t>5</w:t>
            </w:r>
            <w:r w:rsidR="00385731">
              <w:rPr>
                <w:rStyle w:val="FootnoteReference"/>
              </w:rPr>
              <w:footnoteReference w:id="28"/>
            </w:r>
          </w:p>
        </w:tc>
        <w:tc>
          <w:tcPr>
            <w:tcW w:w="2053" w:type="dxa"/>
          </w:tcPr>
          <w:p w:rsidR="00962162" w:rsidRPr="00883125" w:rsidRDefault="00136BC8" w:rsidP="00164D25">
            <w:pPr>
              <w:keepNext/>
              <w:cnfStyle w:val="000000010000" w:firstRow="0" w:lastRow="0" w:firstColumn="0" w:lastColumn="0" w:oddVBand="0" w:evenVBand="0" w:oddHBand="0" w:evenHBand="1" w:firstRowFirstColumn="0" w:firstRowLastColumn="0" w:lastRowFirstColumn="0" w:lastRowLastColumn="0"/>
            </w:pPr>
            <w:r>
              <w:t>0.36</w:t>
            </w:r>
          </w:p>
        </w:tc>
      </w:tr>
      <w:tr w:rsidR="00962162" w:rsidTr="008C3FA2">
        <w:trPr>
          <w:cantSplit/>
        </w:trPr>
        <w:tc>
          <w:tcPr>
            <w:cnfStyle w:val="001000000000" w:firstRow="0" w:lastRow="0" w:firstColumn="1" w:lastColumn="0" w:oddVBand="0" w:evenVBand="0" w:oddHBand="0" w:evenHBand="0" w:firstRowFirstColumn="0" w:firstRowLastColumn="0" w:lastRowFirstColumn="0" w:lastRowLastColumn="0"/>
            <w:tcW w:w="3085" w:type="dxa"/>
          </w:tcPr>
          <w:p w:rsidR="00962162" w:rsidRPr="00883125" w:rsidRDefault="00962162" w:rsidP="00164D25">
            <w:pPr>
              <w:keepNext/>
              <w:numPr>
                <w:ilvl w:val="0"/>
                <w:numId w:val="24"/>
              </w:numPr>
            </w:pPr>
            <w:r>
              <w:t>ASX top 20 firms</w:t>
            </w:r>
          </w:p>
        </w:tc>
        <w:tc>
          <w:tcPr>
            <w:tcW w:w="2052" w:type="dxa"/>
          </w:tcPr>
          <w:p w:rsidR="00962162" w:rsidRPr="00883125" w:rsidRDefault="00962162" w:rsidP="00164D25">
            <w:pPr>
              <w:keepNext/>
              <w:cnfStyle w:val="000000000000" w:firstRow="0" w:lastRow="0" w:firstColumn="0" w:lastColumn="0" w:oddVBand="0" w:evenVBand="0" w:oddHBand="0" w:evenHBand="0" w:firstRowFirstColumn="0" w:firstRowLastColumn="0" w:lastRowFirstColumn="0" w:lastRowLastColumn="0"/>
            </w:pPr>
            <w:r w:rsidRPr="00883125">
              <w:t>0.</w:t>
            </w:r>
            <w:r w:rsidRPr="00962162">
              <w:t>48 to 0.6</w:t>
            </w:r>
            <w:r w:rsidR="005A3708">
              <w:t>2</w:t>
            </w:r>
          </w:p>
        </w:tc>
        <w:tc>
          <w:tcPr>
            <w:tcW w:w="2052" w:type="dxa"/>
          </w:tcPr>
          <w:p w:rsidR="00962162" w:rsidRPr="00962162" w:rsidRDefault="00962162" w:rsidP="00164D25">
            <w:pPr>
              <w:keepNext/>
              <w:cnfStyle w:val="000000000000" w:firstRow="0" w:lastRow="0" w:firstColumn="0" w:lastColumn="0" w:oddVBand="0" w:evenVBand="0" w:oddHBand="0" w:evenHBand="0" w:firstRowFirstColumn="0" w:firstRowLastColumn="0" w:lastRowFirstColumn="0" w:lastRowLastColumn="0"/>
            </w:pPr>
            <w:r>
              <w:t>0.83</w:t>
            </w:r>
            <w:r w:rsidR="00385731">
              <w:rPr>
                <w:rStyle w:val="FootnoteReference"/>
              </w:rPr>
              <w:footnoteReference w:id="29"/>
            </w:r>
          </w:p>
        </w:tc>
        <w:tc>
          <w:tcPr>
            <w:tcW w:w="2053" w:type="dxa"/>
          </w:tcPr>
          <w:p w:rsidR="00962162" w:rsidRPr="00962162" w:rsidRDefault="00962162" w:rsidP="00164D25">
            <w:pPr>
              <w:keepNext/>
              <w:cnfStyle w:val="000000000000" w:firstRow="0" w:lastRow="0" w:firstColumn="0" w:lastColumn="0" w:oddVBand="0" w:evenVBand="0" w:oddHBand="0" w:evenHBand="0" w:firstRowFirstColumn="0" w:firstRowLastColumn="0" w:lastRowFirstColumn="0" w:lastRowLastColumn="0"/>
            </w:pPr>
            <w:r>
              <w:t>0.40</w:t>
            </w:r>
            <w:r w:rsidR="00136BC8">
              <w:t xml:space="preserve"> to 0.51</w:t>
            </w:r>
            <w:r w:rsidR="002357E5">
              <w:rPr>
                <w:rStyle w:val="FootnoteReference"/>
              </w:rPr>
              <w:footnoteReference w:id="30"/>
            </w:r>
          </w:p>
        </w:tc>
      </w:tr>
    </w:tbl>
    <w:p w:rsidR="00962162" w:rsidRPr="00883125" w:rsidRDefault="00962162" w:rsidP="00164D25">
      <w:pPr>
        <w:pStyle w:val="AERtablesource"/>
        <w:keepNext/>
      </w:pPr>
      <w:r w:rsidRPr="00883125">
        <w:t>Source:</w:t>
      </w:r>
      <w:r w:rsidRPr="00883125">
        <w:tab/>
        <w:t>AER analysis</w:t>
      </w:r>
      <w:r w:rsidR="00137893">
        <w:t xml:space="preserve">; </w:t>
      </w:r>
      <w:r w:rsidR="00137893" w:rsidRPr="00137893">
        <w:t xml:space="preserve">Lally, </w:t>
      </w:r>
      <w:r w:rsidR="00137893" w:rsidRPr="005764F6">
        <w:rPr>
          <w:rStyle w:val="AERtextitalic"/>
        </w:rPr>
        <w:t>Gamma and the ACT Decision</w:t>
      </w:r>
      <w:r w:rsidR="00223829">
        <w:t xml:space="preserve">, </w:t>
      </w:r>
      <w:r w:rsidR="00137893" w:rsidRPr="00137893">
        <w:t>May 2016, p. 6</w:t>
      </w:r>
      <w:r w:rsidRPr="00883125">
        <w:t>.</w:t>
      </w:r>
    </w:p>
    <w:p w:rsidR="00962162" w:rsidRDefault="00136BC8" w:rsidP="00243100">
      <w:r>
        <w:t xml:space="preserve">Using different distribution rates, tax statistics </w:t>
      </w:r>
      <w:r w:rsidR="0080792A">
        <w:t xml:space="preserve">can potentially </w:t>
      </w:r>
      <w:r>
        <w:t>provide a range for gamma of 0.34 to 0.51</w:t>
      </w:r>
      <w:r w:rsidR="0080792A">
        <w:t xml:space="preserve"> for the benchmark efficient entity</w:t>
      </w:r>
      <w:r>
        <w:t>. When Lally</w:t>
      </w:r>
      <w:r w:rsidR="000F00B4">
        <w:t>'s</w:t>
      </w:r>
      <w:r>
        <w:t xml:space="preserve"> preferred distribution rate is used, </w:t>
      </w:r>
      <w:r w:rsidR="00437E7F">
        <w:t>this implies a gamma of at least 0.4</w:t>
      </w:r>
      <w:r>
        <w:t>.</w:t>
      </w:r>
    </w:p>
    <w:p w:rsidR="000A66C3" w:rsidRPr="00243100" w:rsidRDefault="000A66C3" w:rsidP="000A66C3">
      <w:r w:rsidRPr="00243100">
        <w:t xml:space="preserve">In earlier decisions </w:t>
      </w:r>
      <w:r>
        <w:t>we</w:t>
      </w:r>
      <w:r w:rsidRPr="00243100">
        <w:t xml:space="preserve"> did not </w:t>
      </w:r>
      <w:r>
        <w:t>rely on</w:t>
      </w:r>
      <w:r w:rsidR="005A3708">
        <w:t xml:space="preserve"> the 0.62</w:t>
      </w:r>
      <w:r w:rsidRPr="00243100">
        <w:t xml:space="preserve"> utilisation rate estimate in the Hathaway 2013 paper.</w:t>
      </w:r>
      <w:r w:rsidR="004E65F8">
        <w:rPr>
          <w:rStyle w:val="FootnoteReference"/>
        </w:rPr>
        <w:footnoteReference w:id="31"/>
      </w:r>
      <w:r w:rsidRPr="00243100">
        <w:t xml:space="preserve"> This is due to the two estimates in Hathaway reflecting two alternative measures of the value of credit</w:t>
      </w:r>
      <w:r>
        <w:t>s</w:t>
      </w:r>
      <w:r w:rsidRPr="00243100">
        <w:t xml:space="preserve"> distributed, which in turn imply two alternative estimate</w:t>
      </w:r>
      <w:r>
        <w:t>s</w:t>
      </w:r>
      <w:r w:rsidRPr="00243100">
        <w:t xml:space="preserve"> of the dist</w:t>
      </w:r>
      <w:r w:rsidR="00011188">
        <w:t>ribution rate. The 0.44</w:t>
      </w:r>
      <w:r w:rsidR="005A3708">
        <w:t xml:space="preserve"> and 0.62</w:t>
      </w:r>
      <w:r w:rsidRPr="00243100">
        <w:t xml:space="preserve"> estimates of the utilisation rate correspond to estimates of the distribution rate of around 0.7 and 0.5 respectively.</w:t>
      </w:r>
      <w:r>
        <w:rPr>
          <w:rStyle w:val="FootnoteReference"/>
        </w:rPr>
        <w:footnoteReference w:id="32"/>
      </w:r>
      <w:r w:rsidRPr="00243100">
        <w:t xml:space="preserve"> Hence, since </w:t>
      </w:r>
      <w:r>
        <w:t>we</w:t>
      </w:r>
      <w:r w:rsidRPr="00243100">
        <w:t xml:space="preserve"> used a distribution rate of 0.7 </w:t>
      </w:r>
      <w:r>
        <w:t>for all equity we</w:t>
      </w:r>
      <w:r w:rsidRPr="00243100">
        <w:t xml:space="preserve"> considered it was appr</w:t>
      </w:r>
      <w:r w:rsidR="00011188">
        <w:t>opriate to use 0.44</w:t>
      </w:r>
      <w:r w:rsidR="005A3708">
        <w:t xml:space="preserve"> and not 0.62</w:t>
      </w:r>
      <w:r w:rsidRPr="00243100">
        <w:t>. However, this limitation does not apply to Lally</w:t>
      </w:r>
      <w:r>
        <w:t>'s</w:t>
      </w:r>
      <w:r w:rsidRPr="00243100">
        <w:t xml:space="preserve"> analysis, given Lally does not use ATO data to determine the distribution rate. Rather, Lally uses financial statement data for the top 20 listed firm</w:t>
      </w:r>
      <w:r>
        <w:t>s</w:t>
      </w:r>
      <w:r w:rsidRPr="00243100">
        <w:t xml:space="preserve"> to determine </w:t>
      </w:r>
      <w:r>
        <w:t xml:space="preserve">an estimate of </w:t>
      </w:r>
      <w:r w:rsidRPr="00243100">
        <w:t>the distribution rate</w:t>
      </w:r>
      <w:r>
        <w:t xml:space="preserve"> for the benchmark efficient entity</w:t>
      </w:r>
      <w:r w:rsidRPr="00243100">
        <w:t>.</w:t>
      </w:r>
      <w:r w:rsidRPr="00AB0B17">
        <w:rPr>
          <w:rStyle w:val="FootnoteReference"/>
        </w:rPr>
        <w:footnoteReference w:id="33"/>
      </w:r>
      <w:r w:rsidRPr="00243100">
        <w:t xml:space="preserve"> Lally considers the data from financial statements is of high quality given it is audited</w:t>
      </w:r>
      <w:r>
        <w:t xml:space="preserve"> and subject to scrutiny in financial markets</w:t>
      </w:r>
      <w:r w:rsidRPr="00243100">
        <w:t>.</w:t>
      </w:r>
      <w:r w:rsidRPr="00FF4C1C">
        <w:rPr>
          <w:rStyle w:val="FootnoteReference"/>
        </w:rPr>
        <w:footnoteReference w:id="34"/>
      </w:r>
      <w:r w:rsidRPr="00243100">
        <w:t xml:space="preserve"> </w:t>
      </w:r>
      <w:r>
        <w:t>We</w:t>
      </w:r>
      <w:r w:rsidRPr="00243100">
        <w:t xml:space="preserve"> agree there is no inconsistency with combining Lally’s preferred estimate of the </w:t>
      </w:r>
      <w:r>
        <w:t>distribution rate</w:t>
      </w:r>
      <w:r w:rsidRPr="00243100">
        <w:t xml:space="preserve"> with </w:t>
      </w:r>
      <w:r w:rsidR="006A5107">
        <w:t>an estimate of the</w:t>
      </w:r>
      <w:r w:rsidRPr="00243100">
        <w:t xml:space="preserve"> </w:t>
      </w:r>
      <w:r>
        <w:t>utilisation rates from tax statistics</w:t>
      </w:r>
      <w:r w:rsidRPr="00243100">
        <w:t>.</w:t>
      </w:r>
      <w:r>
        <w:t xml:space="preserve"> This implies the taxation data can support a gamma </w:t>
      </w:r>
      <w:r w:rsidR="0080792A">
        <w:t xml:space="preserve">estimate </w:t>
      </w:r>
      <w:r>
        <w:t xml:space="preserve">of at least 0.4 based on Lally's preferred distribution rate estimate of 0.83 and the </w:t>
      </w:r>
      <w:r w:rsidR="006A5107">
        <w:t>lower</w:t>
      </w:r>
      <w:r>
        <w:t xml:space="preserve"> utilisation rate in Hat</w:t>
      </w:r>
      <w:r w:rsidR="005A3708">
        <w:t>haway's 2013 paper (</w:t>
      </w:r>
      <w:r w:rsidR="006A5107">
        <w:t xml:space="preserve">of </w:t>
      </w:r>
      <w:r w:rsidR="005A3708">
        <w:t>0.4</w:t>
      </w:r>
      <w:r w:rsidR="00432D98">
        <w:t>4</w:t>
      </w:r>
      <w:r>
        <w:t xml:space="preserve">) updated </w:t>
      </w:r>
      <w:r w:rsidR="006A5107">
        <w:t>for current</w:t>
      </w:r>
      <w:r>
        <w:t xml:space="preserve"> tax statistics </w:t>
      </w:r>
      <w:r w:rsidR="006A5107">
        <w:t>to</w:t>
      </w:r>
      <w:r>
        <w:t xml:space="preserve"> 0.48. </w:t>
      </w:r>
      <w:r w:rsidR="0080792A">
        <w:t>Given the uncertainty with the utilisation rate estimate, we also do not consider the taxation statistics would be inconsistent with a higher estimate of gamma than 0.4 for the benchmark efficient entity.</w:t>
      </w:r>
    </w:p>
    <w:p w:rsidR="008B1CA7" w:rsidRDefault="008B1CA7" w:rsidP="00E82D06">
      <w:pPr>
        <w:rPr>
          <w:rStyle w:val="AERtexthighlight"/>
        </w:rPr>
      </w:pPr>
      <w:r>
        <w:lastRenderedPageBreak/>
        <w:t>For the reasons</w:t>
      </w:r>
      <w:r w:rsidR="00372F77">
        <w:t xml:space="preserve"> explained</w:t>
      </w:r>
      <w:r>
        <w:t xml:space="preserve"> above</w:t>
      </w:r>
      <w:r w:rsidR="00372F77">
        <w:t xml:space="preserve"> (and in section </w:t>
      </w:r>
      <w:r w:rsidR="009B1B83">
        <w:fldChar w:fldCharType="begin"/>
      </w:r>
      <w:r w:rsidR="009B1B83">
        <w:instrText xml:space="preserve"> REF _Ref451774702 \r \h </w:instrText>
      </w:r>
      <w:r w:rsidR="009B1B83">
        <w:fldChar w:fldCharType="separate"/>
      </w:r>
      <w:r w:rsidR="00881794">
        <w:t>4.4</w:t>
      </w:r>
      <w:r w:rsidR="009B1B83">
        <w:fldChar w:fldCharType="end"/>
      </w:r>
      <w:r w:rsidR="009B1B83">
        <w:t xml:space="preserve"> and section </w:t>
      </w:r>
      <w:r w:rsidR="009B1B83">
        <w:fldChar w:fldCharType="begin"/>
      </w:r>
      <w:r w:rsidR="009B1B83">
        <w:instrText xml:space="preserve"> REF _Ref402179420 \r \h </w:instrText>
      </w:r>
      <w:r w:rsidR="009B1B83">
        <w:fldChar w:fldCharType="separate"/>
      </w:r>
      <w:r w:rsidR="00881794">
        <w:t>A.13</w:t>
      </w:r>
      <w:r w:rsidR="009B1B83">
        <w:fldChar w:fldCharType="end"/>
      </w:r>
      <w:r w:rsidR="00372F77">
        <w:t>)</w:t>
      </w:r>
      <w:r>
        <w:t xml:space="preserve">, we consider tax statistics do not </w:t>
      </w:r>
      <w:r w:rsidR="00372F77">
        <w:t>demonstrate</w:t>
      </w:r>
      <w:r>
        <w:t xml:space="preserve"> </w:t>
      </w:r>
      <w:r w:rsidR="0069094A">
        <w:t>our</w:t>
      </w:r>
      <w:r>
        <w:t xml:space="preserve"> gamma value of 0.4 is </w:t>
      </w:r>
      <w:r w:rsidR="0069094A">
        <w:t>un</w:t>
      </w:r>
      <w:r>
        <w:t>reasonable.</w:t>
      </w:r>
    </w:p>
    <w:p w:rsidR="00883125" w:rsidRPr="00883125" w:rsidRDefault="00883125" w:rsidP="00883125">
      <w:pPr>
        <w:pStyle w:val="Heading2"/>
      </w:pPr>
      <w:bookmarkStart w:id="20" w:name="_Toc419366914"/>
      <w:bookmarkStart w:id="21" w:name="_Ref451709428"/>
      <w:bookmarkStart w:id="22" w:name="_Toc451928263"/>
      <w:r w:rsidRPr="00883125">
        <w:t>AGN's revised proposal</w:t>
      </w:r>
      <w:bookmarkEnd w:id="20"/>
      <w:bookmarkEnd w:id="21"/>
      <w:bookmarkEnd w:id="22"/>
    </w:p>
    <w:p w:rsidR="00883125" w:rsidRPr="00883125" w:rsidRDefault="00883125" w:rsidP="00883125">
      <w:pPr>
        <w:numPr>
          <w:ilvl w:val="0"/>
          <w:numId w:val="24"/>
        </w:numPr>
      </w:pPr>
      <w:r w:rsidRPr="00883125">
        <w:t xml:space="preserve">In its revised proposal, </w:t>
      </w:r>
      <w:r w:rsidR="00C903A2">
        <w:t>AGN</w:t>
      </w:r>
      <w:r w:rsidR="00C903A2" w:rsidRPr="00883125">
        <w:t xml:space="preserve"> </w:t>
      </w:r>
      <w:r w:rsidRPr="00883125">
        <w:t>did not adopt our Guideline based approach to estimating gamma as reflected in our decisions released in November 2014</w:t>
      </w:r>
      <w:r w:rsidR="00F641BE">
        <w:t>, and April, June, October and November 2015</w:t>
      </w:r>
      <w:r w:rsidR="00B611CF">
        <w:t xml:space="preserve"> (recent decisions)</w:t>
      </w:r>
      <w:r w:rsidRPr="00883125">
        <w:t>.</w:t>
      </w:r>
      <w:r w:rsidRPr="00883125">
        <w:rPr>
          <w:rStyle w:val="FootnoteReference"/>
        </w:rPr>
        <w:footnoteReference w:id="35"/>
      </w:r>
      <w:r w:rsidRPr="00883125">
        <w:t xml:space="preserve"> </w:t>
      </w:r>
    </w:p>
    <w:p w:rsidR="00B611CF" w:rsidRDefault="00883125" w:rsidP="00883125">
      <w:pPr>
        <w:numPr>
          <w:ilvl w:val="0"/>
          <w:numId w:val="24"/>
        </w:numPr>
      </w:pPr>
      <w:r w:rsidRPr="00883125">
        <w:t xml:space="preserve">In its revised proposal </w:t>
      </w:r>
      <w:r w:rsidR="00C903A2">
        <w:t>AGN's</w:t>
      </w:r>
      <w:r w:rsidR="00C903A2" w:rsidRPr="00883125">
        <w:t xml:space="preserve"> </w:t>
      </w:r>
      <w:r w:rsidRPr="00883125">
        <w:t>proposed a value of imputation credits of 0.25, calculated as the product of a distribution rate of 0.7 and a utilisation rate of 0.35.</w:t>
      </w:r>
      <w:r w:rsidRPr="00883125">
        <w:rPr>
          <w:rStyle w:val="FootnoteReference"/>
        </w:rPr>
        <w:footnoteReference w:id="36"/>
      </w:r>
      <w:r w:rsidRPr="00883125">
        <w:t xml:space="preserve"> </w:t>
      </w:r>
    </w:p>
    <w:p w:rsidR="00B611CF" w:rsidRDefault="00C903A2" w:rsidP="00883125">
      <w:pPr>
        <w:numPr>
          <w:ilvl w:val="0"/>
          <w:numId w:val="24"/>
        </w:numPr>
      </w:pPr>
      <w:r>
        <w:t>AGN's</w:t>
      </w:r>
      <w:r w:rsidRPr="00883125">
        <w:t xml:space="preserve"> </w:t>
      </w:r>
      <w:r w:rsidR="00883125" w:rsidRPr="00883125">
        <w:t xml:space="preserve">proposed distribution rate of 0.7 </w:t>
      </w:r>
      <w:r w:rsidR="00B611CF">
        <w:t>is</w:t>
      </w:r>
      <w:r w:rsidR="00B611CF" w:rsidRPr="00883125">
        <w:t xml:space="preserve"> </w:t>
      </w:r>
      <w:r w:rsidR="00883125" w:rsidRPr="00883125">
        <w:t xml:space="preserve">consistent with the value in the Guideline and </w:t>
      </w:r>
      <w:r w:rsidR="00B611CF">
        <w:t>the</w:t>
      </w:r>
      <w:r w:rsidR="00B611CF" w:rsidRPr="00883125">
        <w:t xml:space="preserve"> </w:t>
      </w:r>
      <w:r w:rsidR="00883125" w:rsidRPr="00883125">
        <w:t xml:space="preserve">value in </w:t>
      </w:r>
      <w:r w:rsidR="00B611CF">
        <w:t>our recent decisions</w:t>
      </w:r>
      <w:r w:rsidR="00883125" w:rsidRPr="00883125">
        <w:t xml:space="preserve"> when estimated over all companies</w:t>
      </w:r>
      <w:r w:rsidR="00B611CF">
        <w:t xml:space="preserve"> (all equity)</w:t>
      </w:r>
      <w:r w:rsidR="00883125" w:rsidRPr="00883125">
        <w:t xml:space="preserve">. However, in our </w:t>
      </w:r>
      <w:r w:rsidR="00B611CF">
        <w:t>recent decisions</w:t>
      </w:r>
      <w:r w:rsidR="00883125" w:rsidRPr="00883125">
        <w:t xml:space="preserve"> we also relied</w:t>
      </w:r>
      <w:r w:rsidR="00B611CF">
        <w:t>,</w:t>
      </w:r>
      <w:r w:rsidR="00883125" w:rsidRPr="00883125">
        <w:t xml:space="preserve"> in part</w:t>
      </w:r>
      <w:r w:rsidR="00B611CF">
        <w:t>,</w:t>
      </w:r>
      <w:r w:rsidR="00883125" w:rsidRPr="00883125">
        <w:t xml:space="preserve"> on a distribution rate estimated over just public companies</w:t>
      </w:r>
      <w:r w:rsidR="00B611CF">
        <w:t xml:space="preserve"> (listed equity). </w:t>
      </w:r>
    </w:p>
    <w:p w:rsidR="00883125" w:rsidRPr="00883125" w:rsidRDefault="00C903A2" w:rsidP="00883125">
      <w:pPr>
        <w:numPr>
          <w:ilvl w:val="0"/>
          <w:numId w:val="24"/>
        </w:numPr>
      </w:pPr>
      <w:r>
        <w:t>AGN's</w:t>
      </w:r>
      <w:r w:rsidRPr="00883125">
        <w:t xml:space="preserve"> </w:t>
      </w:r>
      <w:r w:rsidR="00883125" w:rsidRPr="00883125">
        <w:t xml:space="preserve">proposed utilisation rate of 0.35 </w:t>
      </w:r>
      <w:r w:rsidR="00B611CF">
        <w:t>is</w:t>
      </w:r>
      <w:r w:rsidR="00B611CF" w:rsidRPr="00883125">
        <w:t xml:space="preserve"> </w:t>
      </w:r>
      <w:r w:rsidR="00883125" w:rsidRPr="00883125">
        <w:t xml:space="preserve">lower than the value in the Guideline and a number of estimates we </w:t>
      </w:r>
      <w:r w:rsidR="00B611CF">
        <w:t>relied on</w:t>
      </w:r>
      <w:r w:rsidR="00883125" w:rsidRPr="00883125">
        <w:t xml:space="preserve"> in making our </w:t>
      </w:r>
      <w:r w:rsidR="00B611CF">
        <w:t xml:space="preserve">recent </w:t>
      </w:r>
      <w:r w:rsidR="00883125" w:rsidRPr="00883125">
        <w:t xml:space="preserve">decisions. </w:t>
      </w:r>
      <w:r>
        <w:t>AGN's</w:t>
      </w:r>
      <w:r w:rsidRPr="00883125">
        <w:t xml:space="preserve"> </w:t>
      </w:r>
      <w:r w:rsidR="00883125" w:rsidRPr="00883125">
        <w:t xml:space="preserve">proposed utilisation rate </w:t>
      </w:r>
      <w:r w:rsidR="006A735B">
        <w:t>is</w:t>
      </w:r>
      <w:r w:rsidR="006A735B" w:rsidRPr="00883125">
        <w:t xml:space="preserve"> </w:t>
      </w:r>
      <w:r w:rsidR="00883125" w:rsidRPr="00883125">
        <w:t>supported by Professor Stephen Gray's</w:t>
      </w:r>
      <w:r w:rsidR="006A735B">
        <w:t xml:space="preserve"> (Gray's)</w:t>
      </w:r>
      <w:r w:rsidR="00883125" w:rsidRPr="00883125">
        <w:t xml:space="preserve"> view that the </w:t>
      </w:r>
      <w:r w:rsidR="006A735B">
        <w:t>'</w:t>
      </w:r>
      <w:r w:rsidR="00883125" w:rsidRPr="00883125">
        <w:t>best available estimate of theta is 0.35'.</w:t>
      </w:r>
      <w:r w:rsidR="00883125" w:rsidRPr="00883125">
        <w:rPr>
          <w:rStyle w:val="FootnoteReference"/>
        </w:rPr>
        <w:footnoteReference w:id="37"/>
      </w:r>
      <w:r w:rsidR="00883125" w:rsidRPr="00883125">
        <w:t xml:space="preserve"> This estimate is from a 'dividend drop off' study by SFG Consulting and co-authored by Gray.</w:t>
      </w:r>
      <w:r w:rsidR="00883125" w:rsidRPr="00883125">
        <w:rPr>
          <w:rStyle w:val="FootnoteReference"/>
        </w:rPr>
        <w:footnoteReference w:id="38"/>
      </w:r>
    </w:p>
    <w:p w:rsidR="00883125" w:rsidRPr="00883125" w:rsidRDefault="00C903A2" w:rsidP="00883125">
      <w:r>
        <w:t>AGN's</w:t>
      </w:r>
      <w:r w:rsidRPr="00883125">
        <w:t xml:space="preserve"> </w:t>
      </w:r>
      <w:r w:rsidR="00883125" w:rsidRPr="00883125">
        <w:t xml:space="preserve">proposed value of imputation credits </w:t>
      </w:r>
      <w:r w:rsidR="00B611CF">
        <w:t>(</w:t>
      </w:r>
      <w:r w:rsidR="00883125" w:rsidRPr="00883125">
        <w:t>of 0.25</w:t>
      </w:r>
      <w:r w:rsidR="00B611CF">
        <w:t>)</w:t>
      </w:r>
      <w:r w:rsidR="00883125" w:rsidRPr="00883125">
        <w:t xml:space="preserve"> and supporting reasons </w:t>
      </w:r>
      <w:r w:rsidR="006A735B">
        <w:t>are</w:t>
      </w:r>
      <w:r w:rsidR="006A735B" w:rsidRPr="00883125">
        <w:t xml:space="preserve"> </w:t>
      </w:r>
      <w:r w:rsidR="00883125" w:rsidRPr="00883125">
        <w:t xml:space="preserve">broadly consistent with the proposals we received from a number of other service providers. </w:t>
      </w:r>
      <w:r w:rsidR="006A735B">
        <w:t>17</w:t>
      </w:r>
      <w:r w:rsidR="006A735B" w:rsidRPr="00883125">
        <w:t xml:space="preserve"> </w:t>
      </w:r>
      <w:r w:rsidR="00883125" w:rsidRPr="00883125">
        <w:t xml:space="preserve">service providers over the past 23 </w:t>
      </w:r>
      <w:r w:rsidR="006A735B">
        <w:t>m</w:t>
      </w:r>
      <w:r w:rsidR="00883125" w:rsidRPr="00883125">
        <w:t>onths have now made broadly consistent proposals on the value of imputation credits</w:t>
      </w:r>
      <w:r w:rsidR="00577F31">
        <w:t>.</w:t>
      </w:r>
      <w:r w:rsidR="00577F31">
        <w:rPr>
          <w:rStyle w:val="FootnoteReference"/>
        </w:rPr>
        <w:footnoteReference w:id="39"/>
      </w:r>
      <w:r w:rsidR="00883125" w:rsidRPr="00883125">
        <w:t xml:space="preserve"> The majority of the</w:t>
      </w:r>
      <w:r w:rsidR="00577F31">
        <w:t>se</w:t>
      </w:r>
      <w:r w:rsidR="00883125" w:rsidRPr="00883125">
        <w:t xml:space="preserve"> service providers jointly commissioned two reports from SFG Consulting (SFG) and relied on these reports in their proposals. In addition, the majority of service providers have commissioned and relied on expert reports from NERA Economic Consulting (NERA) and Frontier Economics (Frontier).</w:t>
      </w:r>
      <w:r w:rsidR="00B10C01">
        <w:rPr>
          <w:rStyle w:val="FootnoteReference"/>
        </w:rPr>
        <w:footnoteReference w:id="40"/>
      </w:r>
    </w:p>
    <w:p w:rsidR="00883125" w:rsidRPr="00883125" w:rsidRDefault="00883125" w:rsidP="00883125">
      <w:pPr>
        <w:pStyle w:val="Heading2"/>
      </w:pPr>
      <w:bookmarkStart w:id="23" w:name="_Toc450119220"/>
      <w:bookmarkStart w:id="24" w:name="_Toc450119382"/>
      <w:bookmarkStart w:id="25" w:name="_Toc450119221"/>
      <w:bookmarkStart w:id="26" w:name="_Toc450119383"/>
      <w:bookmarkStart w:id="27" w:name="_Toc408404322"/>
      <w:bookmarkStart w:id="28" w:name="_Toc419366915"/>
      <w:bookmarkStart w:id="29" w:name="_Toc451928264"/>
      <w:bookmarkEnd w:id="23"/>
      <w:bookmarkEnd w:id="24"/>
      <w:bookmarkEnd w:id="25"/>
      <w:bookmarkEnd w:id="26"/>
      <w:r w:rsidRPr="00883125">
        <w:lastRenderedPageBreak/>
        <w:t>AER’s assessment approach</w:t>
      </w:r>
      <w:bookmarkEnd w:id="27"/>
      <w:bookmarkEnd w:id="28"/>
      <w:bookmarkEnd w:id="29"/>
    </w:p>
    <w:p w:rsidR="00883125" w:rsidRPr="00883125" w:rsidRDefault="00883125" w:rsidP="00883125">
      <w:pPr>
        <w:numPr>
          <w:ilvl w:val="0"/>
          <w:numId w:val="24"/>
        </w:numPr>
      </w:pPr>
      <w:r w:rsidRPr="00883125">
        <w:t>In this section we set out the approach we have taken to assessing proposals on the value of imputation credits. This approach includes consideration of:</w:t>
      </w:r>
    </w:p>
    <w:p w:rsidR="00883125" w:rsidRPr="00883125" w:rsidRDefault="00883125" w:rsidP="00883125">
      <w:pPr>
        <w:pStyle w:val="AERbulletlistfirststyle"/>
      </w:pPr>
      <w:r w:rsidRPr="00883125">
        <w:t>the requirements of the NEL/NGL and NER/NGR</w:t>
      </w:r>
    </w:p>
    <w:p w:rsidR="00883125" w:rsidRPr="00883125" w:rsidRDefault="00883125" w:rsidP="00883125">
      <w:pPr>
        <w:pStyle w:val="AERbulletlistfirststyle"/>
      </w:pPr>
      <w:r w:rsidRPr="00883125">
        <w:t>the Guideline</w:t>
      </w:r>
    </w:p>
    <w:p w:rsidR="00883125" w:rsidRPr="00883125" w:rsidRDefault="00883125" w:rsidP="00883125">
      <w:pPr>
        <w:pStyle w:val="AERbulletlistfirststyle"/>
      </w:pPr>
      <w:r w:rsidRPr="00883125">
        <w:t>our definition of the benchmark efficient entity</w:t>
      </w:r>
    </w:p>
    <w:p w:rsidR="00883125" w:rsidRPr="00883125" w:rsidRDefault="00883125" w:rsidP="00883125">
      <w:pPr>
        <w:pStyle w:val="AERbulletlistfirststyle"/>
      </w:pPr>
      <w:r w:rsidRPr="00883125">
        <w:t>interrelationships with other aspects of the decision</w:t>
      </w:r>
    </w:p>
    <w:p w:rsidR="00883125" w:rsidRPr="00883125" w:rsidRDefault="00883125" w:rsidP="00883125">
      <w:pPr>
        <w:pStyle w:val="AERbulletlistfirststyle"/>
      </w:pPr>
      <w:r w:rsidRPr="00883125">
        <w:t>expert reports</w:t>
      </w:r>
    </w:p>
    <w:p w:rsidR="00883125" w:rsidRPr="00883125" w:rsidRDefault="00883125" w:rsidP="00883125">
      <w:pPr>
        <w:pStyle w:val="AERbulletlistfirststyle"/>
      </w:pPr>
      <w:r w:rsidRPr="00883125">
        <w:t>our approach to determining the value of imputation credits.</w:t>
      </w:r>
    </w:p>
    <w:p w:rsidR="00883125" w:rsidRPr="00883125" w:rsidRDefault="00883125" w:rsidP="00883125">
      <w:pPr>
        <w:pStyle w:val="Heading3"/>
      </w:pPr>
      <w:bookmarkStart w:id="30" w:name="_Ref400272912"/>
      <w:bookmarkStart w:id="31" w:name="_Ref416802130"/>
      <w:bookmarkStart w:id="32" w:name="_Ref416802459"/>
      <w:bookmarkStart w:id="33" w:name="_Toc451928265"/>
      <w:r w:rsidRPr="00883125">
        <w:t xml:space="preserve">Requirements of the </w:t>
      </w:r>
      <w:bookmarkEnd w:id="30"/>
      <w:r w:rsidRPr="00883125">
        <w:t>NEL/NGL and NER/NGR</w:t>
      </w:r>
      <w:bookmarkEnd w:id="31"/>
      <w:bookmarkEnd w:id="32"/>
      <w:bookmarkEnd w:id="33"/>
    </w:p>
    <w:p w:rsidR="00883125" w:rsidRPr="00883125" w:rsidRDefault="00883125" w:rsidP="00883125">
      <w:pPr>
        <w:numPr>
          <w:ilvl w:val="0"/>
          <w:numId w:val="24"/>
        </w:numPr>
      </w:pPr>
      <w:r w:rsidRPr="00883125">
        <w:t>The NER/NGR require that the estimated cost of corporate income tax of a service provider for each regulatory year (</w:t>
      </w:r>
      <w:bookmarkStart w:id="34"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34"/>
      <w:r w:rsidRPr="00883125">
        <w:t>) must be estimated in accordance with the following formula:</w:t>
      </w:r>
      <w:r w:rsidR="00B10C01">
        <w:rPr>
          <w:rStyle w:val="FootnoteReference"/>
        </w:rPr>
        <w:footnoteReference w:id="41"/>
      </w:r>
    </w:p>
    <w:p w:rsidR="00883125" w:rsidRPr="00883125" w:rsidRDefault="00984055" w:rsidP="00883125">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883125" w:rsidRPr="00883125" w:rsidRDefault="00883125" w:rsidP="00883125">
      <w:pPr>
        <w:numPr>
          <w:ilvl w:val="0"/>
          <w:numId w:val="24"/>
        </w:numPr>
      </w:pPr>
      <w:r w:rsidRPr="00883125">
        <w:t>where:</w:t>
      </w:r>
    </w:p>
    <w:p w:rsidR="00883125" w:rsidRPr="00883125" w:rsidRDefault="00984055" w:rsidP="00883125">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883125" w:rsidRPr="00883125">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883125" w:rsidRPr="00883125" w:rsidRDefault="00984055" w:rsidP="00883125">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883125" w:rsidRPr="00883125">
        <w:t xml:space="preserve"> is the expected </w:t>
      </w:r>
      <w:r w:rsidR="00206EF6" w:rsidRPr="00883125">
        <w:t xml:space="preserve">statutory </w:t>
      </w:r>
      <w:r w:rsidR="00883125" w:rsidRPr="00883125">
        <w:t>income tax rate for that regulatory year as determined by the AER.</w:t>
      </w:r>
    </w:p>
    <w:p w:rsidR="00883125" w:rsidRPr="00883125" w:rsidRDefault="00883125" w:rsidP="00883125">
      <w:pPr>
        <w:pStyle w:val="AERbulletlistfirststyle"/>
      </w:pPr>
      <m:oMath>
        <m:r>
          <w:rPr>
            <w:rFonts w:ascii="Cambria Math" w:hAnsi="Cambria Math"/>
          </w:rPr>
          <m:t>γ</m:t>
        </m:r>
      </m:oMath>
      <w:r w:rsidRPr="00883125">
        <w:t> is the value of imputation credits.</w:t>
      </w:r>
    </w:p>
    <w:p w:rsidR="00883125" w:rsidRPr="00883125" w:rsidRDefault="00883125" w:rsidP="00883125">
      <w:pPr>
        <w:numPr>
          <w:ilvl w:val="0"/>
          <w:numId w:val="24"/>
        </w:numPr>
      </w:pPr>
      <w:r w:rsidRPr="00883125">
        <w:t xml:space="preserve">Unlike many other aspects of the NER/NGR, there is no specific objective we must achieve for the value of imputation credits and no specific factors we must take into account in estimating it. The </w:t>
      </w:r>
      <w:r w:rsidR="00484B0E">
        <w:t xml:space="preserve">allowed </w:t>
      </w:r>
      <w:r w:rsidRPr="00883125">
        <w:t xml:space="preserve">rate of return objective does not specifically apply to the value of imputation credits. However, the rate of return must be determined on a nominal vanilla basis </w:t>
      </w:r>
      <w:r w:rsidR="004777CC">
        <w:t xml:space="preserve">that is </w:t>
      </w:r>
      <w:r w:rsidRPr="00883125">
        <w:t xml:space="preserve">consistent with our </w:t>
      </w:r>
      <w:r w:rsidR="004777CC">
        <w:t xml:space="preserve">estimate of the </w:t>
      </w:r>
      <w:r w:rsidRPr="00883125">
        <w:t>value of imputation credits.</w:t>
      </w:r>
      <w:r w:rsidRPr="00883125">
        <w:rPr>
          <w:rStyle w:val="FootnoteReference"/>
        </w:rPr>
        <w:footnoteReference w:id="42"/>
      </w:r>
    </w:p>
    <w:p w:rsidR="00883125" w:rsidRPr="00883125" w:rsidRDefault="00883125" w:rsidP="00883125">
      <w:pPr>
        <w:numPr>
          <w:ilvl w:val="0"/>
          <w:numId w:val="24"/>
        </w:numPr>
      </w:pPr>
      <w:r w:rsidRPr="00883125">
        <w:t>In this context, the conceptual rate of return framework developed by Officer in a 1994 paper informs our approach to interpreting and estimating the value of imputation credits.</w:t>
      </w:r>
      <w:r w:rsidRPr="00883125">
        <w:rPr>
          <w:rStyle w:val="FootnoteReference"/>
        </w:rPr>
        <w:footnoteReference w:id="43"/>
      </w:r>
      <w:r w:rsidRPr="00883125">
        <w:t xml:space="preserve"> This is because:</w:t>
      </w:r>
    </w:p>
    <w:p w:rsidR="00883125" w:rsidRPr="00883125" w:rsidRDefault="00883125" w:rsidP="00883125">
      <w:pPr>
        <w:pStyle w:val="AERbulletlistfirststyle"/>
      </w:pPr>
      <w:r w:rsidRPr="00883125">
        <w:lastRenderedPageBreak/>
        <w:t>The NER/NGR's cost of corporate income tax formula (shown above) mirrors Officer's framework for the treatment of imputation credits, including through the use of the parameter denoted by the Greek letter 'gamma'.</w:t>
      </w:r>
      <w:r w:rsidRPr="00883125">
        <w:rPr>
          <w:rStyle w:val="FootnoteReference"/>
        </w:rPr>
        <w:footnoteReference w:id="44"/>
      </w:r>
    </w:p>
    <w:p w:rsidR="00883125" w:rsidRPr="00883125" w:rsidRDefault="00883125" w:rsidP="00883125">
      <w:pPr>
        <w:pStyle w:val="AERbulletlistfirststyle"/>
      </w:pPr>
      <w:r w:rsidRPr="00883125">
        <w:t>We have received expert advice that Officer's definition of the nominal vanilla rate of return provides the basis for the rate of return framework in the NER/NGR.</w:t>
      </w:r>
      <w:r w:rsidRPr="00883125">
        <w:rPr>
          <w:rStyle w:val="FootnoteReference"/>
        </w:rPr>
        <w:footnoteReference w:id="45"/>
      </w:r>
      <w:r w:rsidRPr="00883125">
        <w:t xml:space="preserve"> Previous statements by the consultant for the majority of the service providers', Gray, and their industry association appear to support this consideration:</w:t>
      </w:r>
    </w:p>
    <w:p w:rsidR="00883125" w:rsidRPr="00883125" w:rsidRDefault="00883125" w:rsidP="00883125">
      <w:pPr>
        <w:pStyle w:val="AERbulletlistsecondstyle"/>
      </w:pPr>
      <w:r w:rsidRPr="00883125">
        <w:t>During the AEMC's 2012 rule change process, Gray advised the AEMC that '…there are a number of different WACC formulas that can all be identified as post-tax nominal definitions of WACC. Officer (1994), in the paper that forms the basis for the regulatory rate of return framework, sets out four such definitions…'.</w:t>
      </w:r>
      <w:r w:rsidRPr="00883125">
        <w:rPr>
          <w:rStyle w:val="FootnoteReference"/>
        </w:rPr>
        <w:footnoteReference w:id="46"/>
      </w:r>
    </w:p>
    <w:p w:rsidR="00883125" w:rsidRPr="00883125" w:rsidRDefault="00883125" w:rsidP="00883125">
      <w:pPr>
        <w:pStyle w:val="AERbulletlistsecondstyle"/>
      </w:pPr>
      <w:r w:rsidRPr="00883125">
        <w:t>During the development of the Guideline, the Energy Networks Association (ENA) submitted '[t]he fundamental economic framework in relation to dividend imputation was set out by Officer (1994)…'.</w:t>
      </w:r>
      <w:r w:rsidRPr="00883125">
        <w:rPr>
          <w:rStyle w:val="FootnoteReference"/>
        </w:rPr>
        <w:footnoteReference w:id="47"/>
      </w:r>
      <w:r w:rsidRPr="00883125">
        <w:t xml:space="preserve"> </w:t>
      </w:r>
    </w:p>
    <w:p w:rsidR="00883125" w:rsidRPr="00883125" w:rsidRDefault="00883125" w:rsidP="00883125">
      <w:r w:rsidRPr="00883125">
        <w:t>The NER/NGR require that we determine the rate of return on a nominal vanilla basis that is consistent with our estimate of the value of imputation credits.</w:t>
      </w:r>
      <w:r w:rsidRPr="00883125">
        <w:rPr>
          <w:rStyle w:val="FootnoteReference"/>
        </w:rPr>
        <w:footnoteReference w:id="48"/>
      </w:r>
      <w:r w:rsidRPr="00883125">
        <w:t xml:space="preserve"> The Officer framework provides a means for doing this. It provides a consistent framework for determining the rate of return for a business, which takes into account the value that investors receive from imputation credits.</w:t>
      </w:r>
      <w:r w:rsidRPr="00883125">
        <w:rPr>
          <w:rStyle w:val="FootnoteReference"/>
        </w:rPr>
        <w:footnoteReference w:id="49"/>
      </w:r>
      <w:r w:rsidRPr="00883125">
        <w:t xml:space="preserve"> An important implication of this is that gamma is not a standalone concept or parameter. It is part of a broader framework, and should be interpreted and estimated accordingly.</w:t>
      </w:r>
    </w:p>
    <w:p w:rsidR="00883125" w:rsidRPr="00883125" w:rsidRDefault="00883125" w:rsidP="00883125">
      <w:pPr>
        <w:numPr>
          <w:ilvl w:val="0"/>
          <w:numId w:val="24"/>
        </w:numPr>
      </w:pPr>
      <w:r w:rsidRPr="00883125">
        <w:t xml:space="preserve">Consistent with the expert advice we have received, we consider that the Officer framework provides the basis for the rate of return framework in the NER/NGR. We therefore also consider that estimating the value of imputation credits consistent with the Officer framework will best promote the </w:t>
      </w:r>
      <w:r w:rsidR="00577F31">
        <w:t>National Electricity Objective/National Gas Objective (</w:t>
      </w:r>
      <w:r w:rsidRPr="00883125">
        <w:t>NEO/NGO</w:t>
      </w:r>
      <w:r w:rsidR="00577F31">
        <w:t>)</w:t>
      </w:r>
      <w:r w:rsidR="00787306" w:rsidRPr="00787306">
        <w:rPr>
          <w:rStyle w:val="FootnoteReference"/>
        </w:rPr>
        <w:t xml:space="preserve"> </w:t>
      </w:r>
      <w:r w:rsidR="00787306" w:rsidRPr="00883125">
        <w:rPr>
          <w:rStyle w:val="FootnoteReference"/>
        </w:rPr>
        <w:footnoteReference w:id="50"/>
      </w:r>
      <w:r w:rsidRPr="00883125">
        <w:t xml:space="preserve"> and other requirements of the NER/NGR.</w:t>
      </w:r>
    </w:p>
    <w:p w:rsidR="00883125" w:rsidRPr="00883125" w:rsidRDefault="00883125" w:rsidP="00883125">
      <w:pPr>
        <w:numPr>
          <w:ilvl w:val="0"/>
          <w:numId w:val="24"/>
        </w:numPr>
      </w:pPr>
      <w:r w:rsidRPr="00883125">
        <w:t xml:space="preserve">To this end, we have had regard to the differing expert opinions on the proper interpretation of the gamma parameter in the Officer framework. As discussed in section </w:t>
      </w:r>
      <w:r w:rsidRPr="00883125">
        <w:fldChar w:fldCharType="begin"/>
      </w:r>
      <w:r w:rsidRPr="00883125">
        <w:instrText xml:space="preserve"> REF _Ref414028398 \r \h </w:instrText>
      </w:r>
      <w:r w:rsidRPr="00883125">
        <w:fldChar w:fldCharType="separate"/>
      </w:r>
      <w:r w:rsidR="00881794">
        <w:t>A.7.3</w:t>
      </w:r>
      <w:r w:rsidRPr="00883125">
        <w:fldChar w:fldCharType="end"/>
      </w:r>
      <w:r w:rsidRPr="00883125">
        <w:t xml:space="preserve">, we accept Handley's expert advice on the Officer framework. An important aspect of this advice is that </w:t>
      </w:r>
      <w:r w:rsidRPr="00883125">
        <w:lastRenderedPageBreak/>
        <w:t>the framework is on a 'before-personal-tax and before-personal-costs' basis.</w:t>
      </w:r>
      <w:r w:rsidRPr="00883125">
        <w:rPr>
          <w:rStyle w:val="FootnoteReference"/>
        </w:rPr>
        <w:footnoteReference w:id="51"/>
      </w:r>
      <w:r w:rsidRPr="00883125">
        <w:t xml:space="preserve"> That is,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w:t>
      </w:r>
      <w:r w:rsidRPr="00883125">
        <w:rPr>
          <w:rStyle w:val="FootnoteReference"/>
        </w:rPr>
        <w:footnoteReference w:id="52"/>
      </w:r>
    </w:p>
    <w:p w:rsidR="00883125" w:rsidRPr="00883125" w:rsidRDefault="00883125" w:rsidP="00883125">
      <w:pPr>
        <w:numPr>
          <w:ilvl w:val="0"/>
          <w:numId w:val="24"/>
        </w:numPr>
      </w:pPr>
      <w:r w:rsidRPr="00883125">
        <w:t>By determining a value of imputation credits in a manner consistent with the Officer framework, we consider that we are making our decision in a manner that will or is likely to contribute to the achievement of the NEO/NGO.</w:t>
      </w:r>
      <w:r w:rsidRPr="00883125">
        <w:rPr>
          <w:rStyle w:val="FootnoteReference"/>
        </w:rPr>
        <w:footnoteReference w:id="53"/>
      </w:r>
      <w:r w:rsidRPr="00883125">
        <w:t xml:space="preserve"> Further, when exercising </w:t>
      </w:r>
      <w:r w:rsidR="00577F31">
        <w:t>our</w:t>
      </w:r>
      <w:r w:rsidRPr="00883125">
        <w:t xml:space="preserve"> discretion in making the relevant parts of a decision, we must take into account the </w:t>
      </w:r>
      <w:r w:rsidR="00577F31">
        <w:t>revenue and pricing principles (</w:t>
      </w:r>
      <w:r w:rsidRPr="00883125">
        <w:t>RPP</w:t>
      </w:r>
      <w:r w:rsidR="00577F31">
        <w:t>)</w:t>
      </w:r>
      <w:r w:rsidRPr="00883125">
        <w:t>.</w:t>
      </w:r>
      <w:r w:rsidRPr="00883125">
        <w:rPr>
          <w:rStyle w:val="FootnoteReference"/>
        </w:rPr>
        <w:footnoteReference w:id="54"/>
      </w:r>
      <w:r w:rsidRPr="00883125">
        <w:t xml:space="preserve"> The RPP provide, amongst other things, that:</w:t>
      </w:r>
      <w:r w:rsidRPr="00883125">
        <w:rPr>
          <w:rStyle w:val="FootnoteReference"/>
        </w:rPr>
        <w:footnoteReference w:id="55"/>
      </w:r>
    </w:p>
    <w:p w:rsidR="00883125" w:rsidRPr="00883125" w:rsidRDefault="00883125" w:rsidP="00883125">
      <w:pPr>
        <w:pStyle w:val="AERbulletlistfirststyle"/>
      </w:pPr>
      <w:r w:rsidRPr="00883125">
        <w:t>a service provider should be provided with a reasonable opportunity to recover at least the efficient costs the operator incurs providing regulated services and complying with regulatory obligations</w:t>
      </w:r>
    </w:p>
    <w:p w:rsidR="00883125" w:rsidRPr="00883125" w:rsidRDefault="00883125" w:rsidP="00883125">
      <w:pPr>
        <w:pStyle w:val="AERbulletlistfirststyle"/>
      </w:pPr>
      <w:r w:rsidRPr="00883125">
        <w:t xml:space="preserve">a service provider should be provided with effective incentives in order to promote economic efficiency with respect to the regulated services it provides, and </w:t>
      </w:r>
    </w:p>
    <w:p w:rsidR="00883125" w:rsidRPr="00883125" w:rsidRDefault="00883125" w:rsidP="00883125">
      <w:pPr>
        <w:pStyle w:val="AERbulletlistfirststyle"/>
      </w:pPr>
      <w:r w:rsidRPr="00883125">
        <w:t xml:space="preserve">a price, charge or tariff for the provision of a regulated service should allow for a return commensurate with the regulatory and commercial risks involved in providing the regulated service. </w:t>
      </w:r>
    </w:p>
    <w:p w:rsidR="00883125" w:rsidRPr="00883125" w:rsidRDefault="00883125" w:rsidP="00883125">
      <w:pPr>
        <w:numPr>
          <w:ilvl w:val="0"/>
          <w:numId w:val="24"/>
        </w:numPr>
      </w:pPr>
      <w:r w:rsidRPr="00883125">
        <w:t xml:space="preserve">Therefore, the value of imputation credits we adopt must ultimately promote the achievement of the NEO/NGO (via its application in the estimated cost of corporate income tax building block) and must take into account the RPP. </w:t>
      </w:r>
    </w:p>
    <w:p w:rsidR="00883125" w:rsidRPr="00883125" w:rsidRDefault="00883125" w:rsidP="00883125">
      <w:pPr>
        <w:numPr>
          <w:ilvl w:val="0"/>
          <w:numId w:val="24"/>
        </w:numPr>
      </w:pPr>
      <w:r w:rsidRPr="00883125">
        <w:t>With reference to the language of the RPP, this requires the exercise of our discretion in determining a tax building block (including the exercise of our discretion in determining the adjustment for the value of imputation credits) that is:</w:t>
      </w:r>
    </w:p>
    <w:p w:rsidR="00883125" w:rsidRPr="00883125" w:rsidRDefault="00883125" w:rsidP="00883125">
      <w:pPr>
        <w:pStyle w:val="AERbulletlistfirststyle"/>
      </w:pPr>
      <w:r w:rsidRPr="00883125">
        <w:t>not too low, in that it contributes to providing a reasonable opportunity to recover at least efficient corporate tax costs</w:t>
      </w:r>
    </w:p>
    <w:p w:rsidR="00883125" w:rsidRPr="00883125" w:rsidRDefault="00883125" w:rsidP="00883125">
      <w:pPr>
        <w:pStyle w:val="AERbulletlistfirststyle"/>
      </w:pPr>
      <w:r w:rsidRPr="00883125">
        <w:t>not too high, in that it contributes to a return that is not excessive and is commensurate with the relevant risks.</w:t>
      </w:r>
    </w:p>
    <w:p w:rsidR="00883125" w:rsidRPr="00883125" w:rsidRDefault="00883125" w:rsidP="00883125">
      <w:pPr>
        <w:numPr>
          <w:ilvl w:val="0"/>
          <w:numId w:val="24"/>
        </w:numPr>
      </w:pPr>
      <w:r w:rsidRPr="00883125">
        <w:t>We consider that finding the right balance is best served by having regard to the merits of the full range of relevant evidence. We explain our consideration of, and reliance upon, the range of relevant evidence in this attachment. We have determined a value of imputation credits that we are satisfied achieves a balance between the opportunity for service providers to recover at least efficient costs but that is commensurate with relevant risks.</w:t>
      </w:r>
    </w:p>
    <w:p w:rsidR="00883125" w:rsidRPr="00883125" w:rsidRDefault="00883125" w:rsidP="00883125">
      <w:pPr>
        <w:pStyle w:val="Heading3"/>
      </w:pPr>
      <w:bookmarkStart w:id="35" w:name="_Ref401234016"/>
      <w:bookmarkStart w:id="36" w:name="_Toc451928266"/>
      <w:r w:rsidRPr="00883125">
        <w:lastRenderedPageBreak/>
        <w:t>Rate of return Guideline</w:t>
      </w:r>
      <w:bookmarkEnd w:id="35"/>
      <w:bookmarkEnd w:id="36"/>
    </w:p>
    <w:p w:rsidR="00883125" w:rsidRPr="00883125" w:rsidRDefault="00883125" w:rsidP="00883125">
      <w:pPr>
        <w:numPr>
          <w:ilvl w:val="0"/>
          <w:numId w:val="24"/>
        </w:numPr>
      </w:pPr>
      <w:r w:rsidRPr="00883125">
        <w:t>In December 2013, we published the Guideline which is available on our website.</w:t>
      </w:r>
      <w:r w:rsidRPr="00883125">
        <w:rPr>
          <w:rStyle w:val="FootnoteReference"/>
        </w:rPr>
        <w:footnoteReference w:id="56"/>
      </w:r>
      <w:r w:rsidRPr="00883125">
        <w:t xml:space="preserve"> Within it we specified:</w:t>
      </w:r>
      <w:r w:rsidRPr="00883125">
        <w:rPr>
          <w:rStyle w:val="FootnoteReference"/>
        </w:rPr>
        <w:footnoteReference w:id="57"/>
      </w:r>
    </w:p>
    <w:p w:rsidR="00883125" w:rsidRPr="00883125" w:rsidRDefault="00B37CE1" w:rsidP="00883125">
      <w:pPr>
        <w:pStyle w:val="AERbulletlistfirststyle"/>
      </w:pPr>
      <w:r>
        <w:t>t</w:t>
      </w:r>
      <w:r w:rsidR="00883125" w:rsidRPr="00883125">
        <w:t>he methodologies we propose to use to estimate the allowed rate of return (derived from the expected return on equity and the return on debt) for electricity and gas network service providers</w:t>
      </w:r>
    </w:p>
    <w:p w:rsidR="00883125" w:rsidRPr="00883125" w:rsidRDefault="00B37CE1" w:rsidP="00883125">
      <w:pPr>
        <w:pStyle w:val="AERbulletlistfirststyle"/>
      </w:pPr>
      <w:r>
        <w:t>t</w:t>
      </w:r>
      <w:r w:rsidR="00883125" w:rsidRPr="00883125">
        <w:t>he method we propose to use to estimate the value of imputation credits</w:t>
      </w:r>
    </w:p>
    <w:p w:rsidR="00883125" w:rsidRPr="00883125" w:rsidRDefault="00B37CE1" w:rsidP="00883125">
      <w:pPr>
        <w:pStyle w:val="AERbulletlistfirststyle"/>
      </w:pPr>
      <w:r>
        <w:t>h</w:t>
      </w:r>
      <w:r w:rsidR="00883125" w:rsidRPr="00883125">
        <w:t>ow these methods will result in an allowed return on equity and return on debt which we are satisfied achieve the allowed rate of return objective.</w:t>
      </w:r>
    </w:p>
    <w:p w:rsidR="00883125" w:rsidRPr="00883125" w:rsidRDefault="00883125" w:rsidP="00883125">
      <w:pPr>
        <w:numPr>
          <w:ilvl w:val="0"/>
          <w:numId w:val="24"/>
        </w:numPr>
      </w:pPr>
      <w:r w:rsidRPr="00883125">
        <w:t>In the Guideline we also set out the estimation methods, financial models, market data and other evidence that we propose to take into account in estimating the expected return on equity, return on debt and the value of imputation credits.</w:t>
      </w:r>
      <w:r w:rsidRPr="00883125">
        <w:rPr>
          <w:rStyle w:val="FootnoteReference"/>
        </w:rPr>
        <w:footnoteReference w:id="58"/>
      </w:r>
      <w:r w:rsidRPr="00883125">
        <w:t xml:space="preserve"> We discuss </w:t>
      </w:r>
      <w:r w:rsidR="00B37CE1" w:rsidRPr="00883125">
        <w:t xml:space="preserve">our development of the Guideline </w:t>
      </w:r>
      <w:r w:rsidRPr="00883125">
        <w:t xml:space="preserve">in detail in attachment 3 of this decision.  </w:t>
      </w:r>
    </w:p>
    <w:p w:rsidR="00883125" w:rsidRPr="00883125" w:rsidRDefault="00883125" w:rsidP="00883125">
      <w:pPr>
        <w:numPr>
          <w:ilvl w:val="0"/>
          <w:numId w:val="24"/>
        </w:numPr>
      </w:pPr>
      <w:r w:rsidRPr="00883125">
        <w:t>The Guideline is not binding in determining the value of imputation credits. However, should we decide to depart from the Guideline we must provide reasons for doing so.</w:t>
      </w:r>
      <w:r w:rsidRPr="00883125">
        <w:rPr>
          <w:rStyle w:val="FootnoteReference"/>
        </w:rPr>
        <w:footnoteReference w:id="59"/>
      </w:r>
      <w:r w:rsidRPr="00883125">
        <w:t xml:space="preserve"> Equally, it is open to service providers to propose departures from the Guideline, so long as they provide reasons.</w:t>
      </w:r>
      <w:r w:rsidRPr="00883125">
        <w:rPr>
          <w:rStyle w:val="FootnoteReference"/>
        </w:rPr>
        <w:footnoteReference w:id="60"/>
      </w:r>
      <w:r w:rsidRPr="00883125">
        <w:t xml:space="preserve"> </w:t>
      </w:r>
    </w:p>
    <w:p w:rsidR="00883125" w:rsidRPr="00883125" w:rsidRDefault="00883125" w:rsidP="00883125">
      <w:pPr>
        <w:pStyle w:val="Heading3"/>
      </w:pPr>
      <w:bookmarkStart w:id="37" w:name="_Ref404065332"/>
      <w:bookmarkStart w:id="38" w:name="_Toc451928267"/>
      <w:r w:rsidRPr="00883125">
        <w:t xml:space="preserve">Definition of </w:t>
      </w:r>
      <w:r w:rsidR="00BE44CC">
        <w:t xml:space="preserve">a </w:t>
      </w:r>
      <w:r w:rsidRPr="00883125">
        <w:t>benchmark efficient entity</w:t>
      </w:r>
      <w:bookmarkEnd w:id="37"/>
      <w:bookmarkEnd w:id="38"/>
    </w:p>
    <w:p w:rsidR="00883125" w:rsidRPr="00883125" w:rsidRDefault="00883125" w:rsidP="00883125">
      <w:pPr>
        <w:numPr>
          <w:ilvl w:val="0"/>
          <w:numId w:val="24"/>
        </w:numPr>
      </w:pPr>
      <w:r w:rsidRPr="00883125">
        <w:t xml:space="preserve">As shown in section </w:t>
      </w:r>
      <w:r w:rsidRPr="00883125">
        <w:fldChar w:fldCharType="begin"/>
      </w:r>
      <w:r w:rsidRPr="00883125">
        <w:instrText xml:space="preserve"> REF _Ref400272912 \r \h </w:instrText>
      </w:r>
      <w:r w:rsidRPr="00883125">
        <w:fldChar w:fldCharType="separate"/>
      </w:r>
      <w:r w:rsidR="00881794">
        <w:t>4.3.1</w:t>
      </w:r>
      <w:r w:rsidRPr="00883125">
        <w:fldChar w:fldCharType="end"/>
      </w:r>
      <w:r w:rsidRPr="00883125">
        <w:t xml:space="preserve">, the NER/NGR refer to a 'benchmark efficient entity'. </w:t>
      </w:r>
      <w:r w:rsidR="00B37CE1">
        <w:t>W</w:t>
      </w:r>
      <w:r w:rsidRPr="00883125">
        <w:t>e have adopted:</w:t>
      </w:r>
    </w:p>
    <w:p w:rsidR="00883125" w:rsidRPr="00883125" w:rsidRDefault="00883125" w:rsidP="00883125">
      <w:pPr>
        <w:pStyle w:val="AERbulletlistfirststyle"/>
      </w:pPr>
      <w:r w:rsidRPr="00883125">
        <w:t>a single benchmark across gas, electricity, transmission and distribution</w:t>
      </w:r>
    </w:p>
    <w:p w:rsidR="00883125" w:rsidRPr="00883125" w:rsidRDefault="00883125" w:rsidP="00883125">
      <w:pPr>
        <w:pStyle w:val="AERbulletlistfirststyle"/>
      </w:pPr>
      <w:r w:rsidRPr="00883125">
        <w:t>a conceptual definition of the benchmark efficient entity as 'a 'pure play', regulated energy network business operating within Australia'.</w:t>
      </w:r>
      <w:r w:rsidRPr="00883125">
        <w:rPr>
          <w:rStyle w:val="FootnoteReference"/>
        </w:rPr>
        <w:footnoteReference w:id="61"/>
      </w:r>
    </w:p>
    <w:p w:rsidR="00B37CE1" w:rsidRDefault="00B37CE1" w:rsidP="00883125">
      <w:pPr>
        <w:numPr>
          <w:ilvl w:val="0"/>
          <w:numId w:val="24"/>
        </w:numPr>
      </w:pPr>
      <w:r>
        <w:t>We provide a detailed discussion of our definition of a benchmark efficient entity in attachment 3 of this decision. This includes a response to service providers</w:t>
      </w:r>
      <w:r w:rsidR="00830E47">
        <w:t>'</w:t>
      </w:r>
      <w:r>
        <w:t xml:space="preserve"> submissions that a benchmark efficient entity should </w:t>
      </w:r>
      <w:r w:rsidR="00830E47">
        <w:t>not be a regulated entity</w:t>
      </w:r>
      <w:r>
        <w:t>.</w:t>
      </w:r>
      <w:r w:rsidR="009427C6">
        <w:t xml:space="preserve"> The definition of</w:t>
      </w:r>
      <w:r w:rsidR="001D28F5">
        <w:t xml:space="preserve"> a</w:t>
      </w:r>
      <w:r w:rsidR="009427C6">
        <w:t xml:space="preserve"> benchmark efficient entity we use for determining the rate of return is identical to the definition </w:t>
      </w:r>
      <w:r w:rsidR="001D28F5">
        <w:t>we use</w:t>
      </w:r>
      <w:r w:rsidR="009427C6">
        <w:t xml:space="preserve"> for determining the value of imputation credits in this decision.</w:t>
      </w:r>
    </w:p>
    <w:p w:rsidR="001806B7" w:rsidRPr="00883125" w:rsidRDefault="00830E47" w:rsidP="001806B7">
      <w:pPr>
        <w:numPr>
          <w:ilvl w:val="0"/>
          <w:numId w:val="24"/>
        </w:numPr>
      </w:pPr>
      <w:r w:rsidRPr="00830E47">
        <w:t xml:space="preserve">However, we discuss one element of the definition in this attachment: 'operating within Australia'. We consider </w:t>
      </w:r>
      <w:r w:rsidR="001806B7">
        <w:t>the</w:t>
      </w:r>
      <w:r w:rsidR="001806B7" w:rsidRPr="001806B7">
        <w:t xml:space="preserve"> rate of return should be estimated on a basis that is consistent </w:t>
      </w:r>
      <w:r w:rsidR="001806B7" w:rsidRPr="001806B7">
        <w:lastRenderedPageBreak/>
        <w:t>with our estimate of gamma. The rate of return should also be commensurate with the efficient financing costs of a benchmark efficient entity with a similar degree of risk to the relevant service provider in the provision of its regulated services. The degree of risk a service provider faces in the provision of its services is significantly affected by location. This is because the location of a business determines the conditions under which the business operates. This includes the regulatory regime, tax laws, industry structure and broader economic environment that impact the risks faced by the service provider in its provision of regulated services.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w:t>
      </w:r>
      <w:r w:rsidRPr="00830E47">
        <w:t>.</w:t>
      </w:r>
      <w:r w:rsidR="00883125" w:rsidRPr="00883125">
        <w:t xml:space="preserve"> </w:t>
      </w:r>
    </w:p>
    <w:p w:rsidR="00883125" w:rsidRPr="00883125" w:rsidRDefault="00883125" w:rsidP="00883125">
      <w:pPr>
        <w:pStyle w:val="Heading3"/>
      </w:pPr>
      <w:bookmarkStart w:id="39" w:name="_Ref415070818"/>
      <w:bookmarkStart w:id="40" w:name="_Toc451928268"/>
      <w:r w:rsidRPr="00883125">
        <w:t>Interrelationships</w:t>
      </w:r>
      <w:bookmarkEnd w:id="39"/>
      <w:bookmarkEnd w:id="40"/>
    </w:p>
    <w:p w:rsidR="00883125" w:rsidRPr="00883125" w:rsidRDefault="00883125" w:rsidP="00883125">
      <w:r w:rsidRPr="00883125">
        <w:t>The NER/NGR recognise that a service provider's allowed revenue does not need to include the value of imputation credits. The NER/NGR adjust for the value of imputation credits via the revenue granted to a service provider to cover its expected tax liability. This form of adjustment recognises that it is the payment of corporate tax which is the source of the imputation credit return to investors.</w:t>
      </w:r>
    </w:p>
    <w:p w:rsidR="00883125" w:rsidRPr="00883125" w:rsidRDefault="00883125" w:rsidP="00883125">
      <w:r w:rsidRPr="00883125">
        <w:t>The CCP's view suggests that we should take into account the interrelationship with the corporate tax allowance when determining the value of imputation credits. The CCP submitted evidence that our benchmark tax allowance was substantially higher than the corporate tax actually paid by service providers.</w:t>
      </w:r>
      <w:r w:rsidRPr="00883125">
        <w:rPr>
          <w:rStyle w:val="FootnoteReference"/>
        </w:rPr>
        <w:footnoteReference w:id="62"/>
      </w:r>
      <w:r w:rsidRPr="00883125">
        <w:t xml:space="preserve"> The CCP then concluded:</w:t>
      </w:r>
      <w:r w:rsidRPr="00883125">
        <w:rPr>
          <w:rStyle w:val="FootnoteReference"/>
        </w:rPr>
        <w:footnoteReference w:id="63"/>
      </w:r>
    </w:p>
    <w:p w:rsidR="00883125" w:rsidRPr="00883125" w:rsidRDefault="00883125" w:rsidP="00883125">
      <w:pPr>
        <w:pStyle w:val="AERquote"/>
      </w:pPr>
      <w:r w:rsidRPr="00883125">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883125" w:rsidRPr="00883125" w:rsidRDefault="00883125" w:rsidP="00883125">
      <w:r w:rsidRPr="00883125">
        <w:t>We agree with the CCP's suggestion that it would be reasonable to consider the tax building block as a whole when determining the value of imputation credits. Under this approach, a tendency toward a higher value of imputation credits (and therefore greater reduction in the tax building block) might be reasonable if the benchmark tax allowance is above the efficient cost of tax. However, in the Guideline and this draft decision our determination of the value of imputation credits is guided by</w:t>
      </w:r>
      <w:r w:rsidRPr="00883125" w:rsidDel="00AF1A4A">
        <w:t xml:space="preserve"> the relevant theoretical framework and </w:t>
      </w:r>
      <w:r w:rsidRPr="00883125">
        <w:t>associated</w:t>
      </w:r>
      <w:r w:rsidRPr="00883125" w:rsidDel="00AF1A4A">
        <w:t xml:space="preserve"> evidence.</w:t>
      </w:r>
    </w:p>
    <w:p w:rsidR="00883125" w:rsidRPr="00883125" w:rsidRDefault="00883125" w:rsidP="00883125">
      <w:r w:rsidRPr="00883125">
        <w:lastRenderedPageBreak/>
        <w:t xml:space="preserve">The value of imputation credits is also interrelated with the </w:t>
      </w:r>
      <w:r w:rsidR="00CA5038">
        <w:t>market risk premium (</w:t>
      </w:r>
      <w:r w:rsidRPr="00883125">
        <w:t>MRP</w:t>
      </w:r>
      <w:r w:rsidR="00CA5038">
        <w:t>)</w:t>
      </w:r>
      <w:r w:rsidRPr="00883125">
        <w:t>. As discussed in attachment 3, the definition of the MRP in the S</w:t>
      </w:r>
      <w:r w:rsidR="00830E47">
        <w:t>harpe-</w:t>
      </w:r>
      <w:r w:rsidRPr="00883125">
        <w:t>L</w:t>
      </w:r>
      <w:r w:rsidR="00830E47">
        <w:t>intner capital asset pricing model (</w:t>
      </w:r>
      <w:r w:rsidRPr="00883125">
        <w:t>CAPM</w:t>
      </w:r>
      <w:r w:rsidR="00830E47">
        <w:t>)</w:t>
      </w:r>
      <w:r w:rsidRPr="00883125">
        <w:t xml:space="preserve"> should account for the capitalised value of imputation credits. Accordingly, in our determination of the return on equity in attachment 3 we adjust estimates of the MRP in a manner consistent with our determination of the value of imputation credits in this attachment. This is also required by the NER/NGR.</w:t>
      </w:r>
      <w:r w:rsidRPr="00883125">
        <w:rPr>
          <w:rStyle w:val="FootnoteReference"/>
        </w:rPr>
        <w:footnoteReference w:id="64"/>
      </w:r>
    </w:p>
    <w:p w:rsidR="00883125" w:rsidRPr="00883125" w:rsidRDefault="00883125" w:rsidP="00883125">
      <w:pPr>
        <w:pStyle w:val="Heading3"/>
      </w:pPr>
      <w:bookmarkStart w:id="41" w:name="_Toc451928269"/>
      <w:r w:rsidRPr="00883125">
        <w:t>Expert reports</w:t>
      </w:r>
      <w:bookmarkEnd w:id="41"/>
    </w:p>
    <w:p w:rsidR="00883125" w:rsidRPr="00883125" w:rsidRDefault="00883125" w:rsidP="00883125">
      <w:pPr>
        <w:numPr>
          <w:ilvl w:val="0"/>
          <w:numId w:val="24"/>
        </w:numPr>
      </w:pPr>
      <w:r w:rsidRPr="00883125">
        <w:t>During the development of the Guideline, we commissioned expert advice on the value of imputation credits from Dr Martin Lally of the Victoria University of Wellington.</w:t>
      </w:r>
      <w:r w:rsidRPr="00883125">
        <w:rPr>
          <w:rStyle w:val="FootnoteReference"/>
        </w:rPr>
        <w:footnoteReference w:id="65"/>
      </w:r>
    </w:p>
    <w:p w:rsidR="00883125" w:rsidRPr="00883125" w:rsidRDefault="00883125" w:rsidP="00883125">
      <w:pPr>
        <w:numPr>
          <w:ilvl w:val="0"/>
          <w:numId w:val="24"/>
        </w:numPr>
      </w:pPr>
      <w:r w:rsidRPr="00883125">
        <w:t>Since the Guideline, we commissioned further expert advice from Associate Professor John Handley of the University of Melbourne and Dr Martin Lally.</w:t>
      </w:r>
      <w:r w:rsidRPr="00883125">
        <w:rPr>
          <w:rStyle w:val="FootnoteReference"/>
        </w:rPr>
        <w:footnoteReference w:id="66"/>
      </w:r>
      <w:r w:rsidRPr="00883125">
        <w:t xml:space="preserve"> We have also had regard to, among other things:</w:t>
      </w:r>
    </w:p>
    <w:p w:rsidR="00883125" w:rsidRPr="00883125" w:rsidRDefault="00883125" w:rsidP="00883125">
      <w:pPr>
        <w:pStyle w:val="AERbulletlistfirststyle"/>
      </w:pPr>
      <w:r w:rsidRPr="00883125">
        <w:t>the May 2014, February 2015,</w:t>
      </w:r>
      <w:r w:rsidR="00C8658C">
        <w:t xml:space="preserve"> </w:t>
      </w:r>
      <w:r w:rsidRPr="00883125">
        <w:t>June 2015 and January 2016 reports by Professor Stephen Gray that were commissioned by service providers.</w:t>
      </w:r>
      <w:r w:rsidRPr="00883125">
        <w:rPr>
          <w:rStyle w:val="FootnoteReference"/>
        </w:rPr>
        <w:footnoteReference w:id="67"/>
      </w:r>
    </w:p>
    <w:p w:rsidR="00883125" w:rsidRPr="00883125" w:rsidRDefault="00883125" w:rsidP="00883125">
      <w:pPr>
        <w:pStyle w:val="AERbulletlistfirststyle"/>
      </w:pPr>
      <w:r w:rsidRPr="00883125">
        <w:t>the March 2015, April 2015 and June 2015 reports by NERA Economic Consulting (NERA) that were commissioned by service providers.</w:t>
      </w:r>
      <w:r w:rsidRPr="00883125">
        <w:rPr>
          <w:rStyle w:val="FootnoteReference"/>
        </w:rPr>
        <w:footnoteReference w:id="68"/>
      </w:r>
    </w:p>
    <w:p w:rsidR="00883125" w:rsidRPr="00883125" w:rsidRDefault="00883125" w:rsidP="00883125">
      <w:pPr>
        <w:pStyle w:val="AERbulletlistfirststyle"/>
      </w:pPr>
      <w:r w:rsidRPr="00883125">
        <w:t>the November 2013 and March 2014 reports by Associate Professor Lally that were commissioned by the Queensland Competition Authority.</w:t>
      </w:r>
      <w:r w:rsidRPr="00883125">
        <w:rPr>
          <w:rStyle w:val="FootnoteReference"/>
        </w:rPr>
        <w:footnoteReference w:id="69"/>
      </w:r>
    </w:p>
    <w:p w:rsidR="00883125" w:rsidRPr="00883125" w:rsidRDefault="00883125" w:rsidP="00883125">
      <w:pPr>
        <w:pStyle w:val="AERbulletlistfirststyle"/>
      </w:pPr>
      <w:r w:rsidRPr="00883125">
        <w:t>an October 2013 review of a network rail access undertaking by Professor Michael McKenzie of the University of Liverpool and Associate Professor Graham Partington of the University of Sydney.</w:t>
      </w:r>
      <w:r w:rsidRPr="00883125">
        <w:rPr>
          <w:rStyle w:val="FootnoteReference"/>
        </w:rPr>
        <w:footnoteReference w:id="70"/>
      </w:r>
      <w:r w:rsidRPr="00883125">
        <w:t xml:space="preserve"> This review was commissioned by the Queensland Resources Council and submitted to the Queensland Competition Authority.</w:t>
      </w:r>
    </w:p>
    <w:p w:rsidR="00883125" w:rsidRPr="00883125" w:rsidRDefault="00883125" w:rsidP="00883125">
      <w:pPr>
        <w:pStyle w:val="AERbulletlistfirststyle"/>
      </w:pPr>
      <w:r w:rsidRPr="00883125">
        <w:t>a September 2013 report on tax statistics by Dr. Neville Hathaway that was commissioned by the Energy Networks Association.</w:t>
      </w:r>
      <w:r w:rsidRPr="00883125">
        <w:rPr>
          <w:rStyle w:val="FootnoteReference"/>
        </w:rPr>
        <w:footnoteReference w:id="71"/>
      </w:r>
    </w:p>
    <w:p w:rsidR="00883125" w:rsidRDefault="00883125" w:rsidP="00883125">
      <w:pPr>
        <w:pStyle w:val="AERbulletlistfirststyle"/>
      </w:pPr>
      <w:r w:rsidRPr="00883125">
        <w:lastRenderedPageBreak/>
        <w:t>a June 2013 report on the distribution rate by NERA that was commissioned by the Energy Networks Association.</w:t>
      </w:r>
      <w:r w:rsidRPr="00883125">
        <w:rPr>
          <w:rStyle w:val="FootnoteReference"/>
        </w:rPr>
        <w:footnoteReference w:id="72"/>
      </w:r>
    </w:p>
    <w:p w:rsidR="00883125" w:rsidRPr="00883125" w:rsidRDefault="00883125" w:rsidP="00883125">
      <w:pPr>
        <w:pStyle w:val="Heading3"/>
      </w:pPr>
      <w:bookmarkStart w:id="42" w:name="_Ref415048973"/>
      <w:bookmarkStart w:id="43" w:name="_Toc451928270"/>
      <w:r w:rsidRPr="00883125">
        <w:t>Approach to determining the value of imputation credits</w:t>
      </w:r>
      <w:bookmarkEnd w:id="42"/>
      <w:bookmarkEnd w:id="43"/>
    </w:p>
    <w:p w:rsidR="00883125" w:rsidRPr="00883125" w:rsidRDefault="00883125" w:rsidP="00883125">
      <w:pPr>
        <w:numPr>
          <w:ilvl w:val="0"/>
          <w:numId w:val="24"/>
        </w:numPr>
      </w:pPr>
      <w:r w:rsidRPr="00883125">
        <w:t>There is no consensus among experts or regulators on the value of imputation credits or the techniques to use to estimate it.</w:t>
      </w:r>
      <w:r w:rsidRPr="00883125">
        <w:rPr>
          <w:rStyle w:val="FootnoteReference"/>
        </w:rPr>
        <w:footnoteReference w:id="73"/>
      </w:r>
      <w:r w:rsidRPr="00883125">
        <w:t xml:space="preserve"> Our approach to determining the value of imputation credits is guided by:</w:t>
      </w:r>
    </w:p>
    <w:p w:rsidR="00883125" w:rsidRPr="00883125" w:rsidRDefault="00D74F29" w:rsidP="00883125">
      <w:pPr>
        <w:pStyle w:val="AERbulletlistfirststyle"/>
      </w:pPr>
      <w:r>
        <w:t>T</w:t>
      </w:r>
      <w:r w:rsidRPr="00883125">
        <w:t xml:space="preserve">he </w:t>
      </w:r>
      <w:r w:rsidR="00883125" w:rsidRPr="00883125">
        <w:t xml:space="preserve">requirements of the NER/NGR—see section </w:t>
      </w:r>
      <w:r w:rsidR="00883125" w:rsidRPr="00883125">
        <w:fldChar w:fldCharType="begin"/>
      </w:r>
      <w:r w:rsidR="00883125" w:rsidRPr="00883125">
        <w:instrText xml:space="preserve"> REF _Ref400272912 \r \h </w:instrText>
      </w:r>
      <w:r w:rsidR="00883125" w:rsidRPr="00883125">
        <w:fldChar w:fldCharType="separate"/>
      </w:r>
      <w:r w:rsidR="00881794">
        <w:t>4.3.1</w:t>
      </w:r>
      <w:r w:rsidR="00883125" w:rsidRPr="00883125">
        <w:fldChar w:fldCharType="end"/>
      </w:r>
      <w:r w:rsidR="00883125" w:rsidRPr="00883125">
        <w:t>.</w:t>
      </w:r>
    </w:p>
    <w:p w:rsidR="00883125" w:rsidRPr="00883125" w:rsidRDefault="00D74F29" w:rsidP="00883125">
      <w:pPr>
        <w:pStyle w:val="AERbulletlistfirststyle"/>
      </w:pPr>
      <w:r>
        <w:t>T</w:t>
      </w:r>
      <w:r w:rsidRPr="00883125">
        <w:t xml:space="preserve">he </w:t>
      </w:r>
      <w:r w:rsidR="00883125" w:rsidRPr="00883125">
        <w:t>role of the value of the imputation credits in the revenue building block framework—this suggests that the value of imputation credits is intended to reflect the value of imputation credits to investors in the benchmark efficient entity.</w:t>
      </w:r>
      <w:r w:rsidR="00883125" w:rsidRPr="00883125">
        <w:rPr>
          <w:rStyle w:val="FootnoteReference"/>
        </w:rPr>
        <w:footnoteReference w:id="74"/>
      </w:r>
    </w:p>
    <w:p w:rsidR="004B041F" w:rsidRDefault="00D74F29" w:rsidP="004B041F">
      <w:pPr>
        <w:pStyle w:val="AERbulletlistfirststyle"/>
      </w:pPr>
      <w:r>
        <w:t>R</w:t>
      </w:r>
      <w:r w:rsidRPr="00883125">
        <w:t xml:space="preserve">elevant </w:t>
      </w:r>
      <w:r w:rsidR="00883125" w:rsidRPr="00883125">
        <w:t>academic literature</w:t>
      </w:r>
      <w:r w:rsidR="004B041F">
        <w:t xml:space="preserve"> (Officer)</w:t>
      </w:r>
      <w:r w:rsidR="00883125" w:rsidRPr="00883125">
        <w:t>—the framework developed in a 1994 paper by Officer is widely recognised as providing the basis for the value of imputation credits in the building block framework.</w:t>
      </w:r>
      <w:r w:rsidR="00883125" w:rsidRPr="00883125">
        <w:rPr>
          <w:rStyle w:val="FootnoteReference"/>
        </w:rPr>
        <w:footnoteReference w:id="75"/>
      </w:r>
      <w:r w:rsidR="00883125" w:rsidRPr="00883125">
        <w:t xml:space="preserve"> A key implication of Officer's framework is that the value of imputation credits should be estimated on a before-personal-tax and before-personal-costs basis.</w:t>
      </w:r>
      <w:r w:rsidR="004B041F">
        <w:t xml:space="preserve"> </w:t>
      </w:r>
      <w:r w:rsidR="00A316AD">
        <w:t>This is consistent with a rate of return determined on a nominal vanilla (that is, a post-company tax pre-personal tax and costs) basis. Therefore</w:t>
      </w:r>
      <w:r w:rsidR="004B041F" w:rsidRPr="004B041F">
        <w:t>, we view the value of imputation credits as the proportion of company tax returned to investors through the utilisation of imputation credits.</w:t>
      </w:r>
      <w:r w:rsidR="004B041F">
        <w:t xml:space="preserve"> </w:t>
      </w:r>
    </w:p>
    <w:p w:rsidR="00883125" w:rsidRPr="00883125" w:rsidRDefault="004B041F" w:rsidP="004B041F">
      <w:pPr>
        <w:pStyle w:val="AERbulletlistfirststyle"/>
      </w:pPr>
      <w:r>
        <w:t>Relevant academic literature (Monkhouse)—t</w:t>
      </w:r>
      <w:r w:rsidR="00883125" w:rsidRPr="00883125">
        <w:t>he work of Monkhouse (and others) extends the Officer framework, and shows that the value of imputation credits can be estimated as the product of two parameters:</w:t>
      </w:r>
    </w:p>
    <w:p w:rsidR="00883125" w:rsidRPr="00883125" w:rsidRDefault="00883125" w:rsidP="00883125">
      <w:pPr>
        <w:pStyle w:val="AERbulletlistsecondstyle"/>
      </w:pPr>
      <w:r w:rsidRPr="00883125">
        <w:t xml:space="preserve">the proportion of imputation credits generated that is distributed to investors (the distribution rate) </w:t>
      </w:r>
    </w:p>
    <w:p w:rsidR="00883125" w:rsidRPr="00883125" w:rsidRDefault="00883125" w:rsidP="00883125">
      <w:pPr>
        <w:pStyle w:val="AERbulletlistsecondstyle"/>
      </w:pPr>
      <w:r w:rsidRPr="00883125">
        <w:t>the utilisation value to investors in the market per dollar of imputation credits distributed (the utilisation rate).</w:t>
      </w:r>
      <w:r w:rsidRPr="00883125">
        <w:rPr>
          <w:rStyle w:val="FootnoteReference"/>
        </w:rPr>
        <w:footnoteReference w:id="76"/>
      </w:r>
      <w:r w:rsidRPr="00883125">
        <w:t xml:space="preserve"> </w:t>
      </w:r>
    </w:p>
    <w:p w:rsidR="00883125" w:rsidRPr="00883125" w:rsidRDefault="00883125" w:rsidP="00E82D06">
      <w:pPr>
        <w:pStyle w:val="ListContinue"/>
      </w:pPr>
      <w:r w:rsidRPr="00883125">
        <w:t>Consistent with this literature, we determine the value of imputation credits as the product of these two parameters.</w:t>
      </w:r>
    </w:p>
    <w:p w:rsidR="00AD105A" w:rsidRDefault="00D74F29" w:rsidP="00883125">
      <w:pPr>
        <w:pStyle w:val="AERbulletlistfirststyle"/>
      </w:pPr>
      <w:r>
        <w:t>A</w:t>
      </w:r>
      <w:r w:rsidRPr="00883125">
        <w:t xml:space="preserve"> </w:t>
      </w:r>
      <w:r w:rsidR="00883125" w:rsidRPr="00883125">
        <w:t>wide range of relevant evidence—</w:t>
      </w:r>
      <w:r w:rsidR="00AD105A">
        <w:t>we use this range of evidence to estimate the distribution rate and utilisation rate. In particular:</w:t>
      </w:r>
    </w:p>
    <w:p w:rsidR="00AD105A" w:rsidRDefault="00AD105A" w:rsidP="005764F6">
      <w:pPr>
        <w:pStyle w:val="AERbulletlistsecondstyle"/>
      </w:pPr>
      <w:r>
        <w:t>Distribution rate—</w:t>
      </w:r>
      <w:r w:rsidRPr="00AD105A">
        <w:t>we place primary reliance</w:t>
      </w:r>
      <w:r>
        <w:t xml:space="preserve"> on the</w:t>
      </w:r>
      <w:r w:rsidR="00883125" w:rsidRPr="00883125">
        <w:t xml:space="preserve"> widely accepted approach to estimating the distribution rate</w:t>
      </w:r>
      <w:r w:rsidR="001762B7">
        <w:t xml:space="preserve"> (that is,</w:t>
      </w:r>
      <w:r w:rsidR="001762B7" w:rsidRPr="00883125">
        <w:t xml:space="preserve"> the 'cumulative payout ratio approach'</w:t>
      </w:r>
      <w:r w:rsidR="001762B7">
        <w:t>).</w:t>
      </w:r>
      <w:r>
        <w:t xml:space="preserve"> We also have some regard</w:t>
      </w:r>
      <w:r w:rsidRPr="00AD105A">
        <w:t xml:space="preserve"> to Lally's estimate for listed equity from financial reports of the 20 largest listed firms.</w:t>
      </w:r>
      <w:r>
        <w:rPr>
          <w:rStyle w:val="FootnoteReference"/>
        </w:rPr>
        <w:footnoteReference w:id="77"/>
      </w:r>
    </w:p>
    <w:p w:rsidR="00883125" w:rsidRPr="00883125" w:rsidRDefault="00AD105A" w:rsidP="005764F6">
      <w:pPr>
        <w:pStyle w:val="AERbulletlistsecondstyle"/>
      </w:pPr>
      <w:r>
        <w:lastRenderedPageBreak/>
        <w:t>Utilisation rate—unlike the distribution rate</w:t>
      </w:r>
      <w:r w:rsidR="001762B7">
        <w:t>,</w:t>
      </w:r>
      <w:r w:rsidR="00883125" w:rsidRPr="00883125">
        <w:t xml:space="preserve"> there is no single accepted approach to estimating the utilisation rate</w:t>
      </w:r>
      <w:r w:rsidR="001762B7">
        <w:t>,</w:t>
      </w:r>
      <w:r w:rsidR="00883125" w:rsidRPr="00883125">
        <w:t xml:space="preserve"> and there is a range of evidence relevant to the utilisation rate. This includes:</w:t>
      </w:r>
    </w:p>
    <w:p w:rsidR="00883125" w:rsidRPr="00883125" w:rsidRDefault="00883125" w:rsidP="005764F6">
      <w:pPr>
        <w:pStyle w:val="AERbulletlistthirdstyle"/>
      </w:pPr>
      <w:r w:rsidRPr="00883125">
        <w:t>the proportion of Australian equity held by domestic investors (the 'equity ownership approach')</w:t>
      </w:r>
      <w:r w:rsidR="001762B7">
        <w:rPr>
          <w:rStyle w:val="FootnoteReference"/>
        </w:rPr>
        <w:footnoteReference w:id="78"/>
      </w:r>
    </w:p>
    <w:p w:rsidR="00883125" w:rsidRPr="00883125" w:rsidRDefault="00883125" w:rsidP="005764F6">
      <w:pPr>
        <w:pStyle w:val="AERbulletlistthirdstyle"/>
      </w:pPr>
      <w:r w:rsidRPr="00883125">
        <w:t>the reported value of credits utilised by investors in Australian Taxation Office (ATO) statistics ('tax statistics')</w:t>
      </w:r>
      <w:r w:rsidR="001762B7">
        <w:rPr>
          <w:rStyle w:val="FootnoteReference"/>
        </w:rPr>
        <w:footnoteReference w:id="79"/>
      </w:r>
    </w:p>
    <w:p w:rsidR="00883125" w:rsidRDefault="00883125" w:rsidP="005764F6">
      <w:pPr>
        <w:pStyle w:val="AERbulletlistthirdstyle"/>
      </w:pPr>
      <w:r w:rsidRPr="00883125">
        <w:t>studies that seek to infer from market prices the value to investors of distributed imputation credits ('implied market value studies')</w:t>
      </w:r>
      <w:r w:rsidR="001762B7">
        <w:t>.</w:t>
      </w:r>
      <w:r w:rsidR="001762B7">
        <w:rPr>
          <w:rStyle w:val="FootnoteReference"/>
        </w:rPr>
        <w:footnoteReference w:id="80"/>
      </w:r>
    </w:p>
    <w:p w:rsidR="001762B7" w:rsidRDefault="001762B7" w:rsidP="005764F6">
      <w:pPr>
        <w:pStyle w:val="ListContinue3"/>
      </w:pPr>
      <w:r>
        <w:t>We place varying levels of reliance on these sources of evidence</w:t>
      </w:r>
      <w:r w:rsidR="00A316AD">
        <w:t xml:space="preserve"> (which is supported by Lally)</w:t>
      </w:r>
      <w:r>
        <w:t>.</w:t>
      </w:r>
      <w:r w:rsidR="00A316AD" w:rsidRPr="00A316AD">
        <w:rPr>
          <w:rStyle w:val="FootnoteReference"/>
        </w:rPr>
        <w:footnoteReference w:id="81"/>
      </w:r>
      <w:r>
        <w:t xml:space="preserve"> That is:</w:t>
      </w:r>
    </w:p>
    <w:p w:rsidR="001762B7" w:rsidRDefault="001762B7" w:rsidP="005764F6">
      <w:pPr>
        <w:pStyle w:val="AERbulletlistthirdstyle"/>
      </w:pPr>
      <w:r>
        <w:t xml:space="preserve">we place most reliance on the equity ownership approach because we consider it </w:t>
      </w:r>
      <w:r w:rsidR="00B74CC2">
        <w:t xml:space="preserve">generates </w:t>
      </w:r>
      <w:r w:rsidR="002B5FB1">
        <w:t>the best estimate</w:t>
      </w:r>
      <w:r w:rsidR="00B74CC2">
        <w:t xml:space="preserve"> of</w:t>
      </w:r>
      <w:r w:rsidRPr="001762B7">
        <w:t xml:space="preserve"> the </w:t>
      </w:r>
      <w:r w:rsidR="0005260B" w:rsidRPr="0005260B">
        <w:t>utilisation value to investors in the market per dollar of imputation credits distributed</w:t>
      </w:r>
    </w:p>
    <w:p w:rsidR="001762B7" w:rsidRDefault="001762B7" w:rsidP="005764F6">
      <w:pPr>
        <w:pStyle w:val="AERbulletlistthirdstyle"/>
      </w:pPr>
      <w:r>
        <w:t>we place less reliance on tax statistics because</w:t>
      </w:r>
      <w:r w:rsidRPr="001762B7">
        <w:t xml:space="preserve"> the</w:t>
      </w:r>
      <w:r w:rsidR="00B74CC2">
        <w:t xml:space="preserve"> underlying taxation data</w:t>
      </w:r>
      <w:r w:rsidRPr="001762B7">
        <w:t xml:space="preserve"> </w:t>
      </w:r>
      <w:r w:rsidR="00B74CC2">
        <w:t>are unreliable</w:t>
      </w:r>
    </w:p>
    <w:p w:rsidR="001762B7" w:rsidRDefault="001762B7" w:rsidP="005764F6">
      <w:pPr>
        <w:pStyle w:val="AERbulletlistthirdstyle"/>
      </w:pPr>
      <w:r>
        <w:t>we place even less reliance on implied market value studies because</w:t>
      </w:r>
      <w:r w:rsidR="00DE7959" w:rsidRPr="00DE7959">
        <w:t xml:space="preserve"> </w:t>
      </w:r>
      <w:r w:rsidR="00DE7959">
        <w:t>we consider</w:t>
      </w:r>
      <w:r w:rsidR="00B74CC2">
        <w:t xml:space="preserve"> they have many limitations, including</w:t>
      </w:r>
      <w:r w:rsidR="00DE7959">
        <w:t xml:space="preserve"> </w:t>
      </w:r>
      <w:r w:rsidR="00DE7959" w:rsidRPr="00DE7959">
        <w:t>they do not measure the pre-personal tax and pre-personal cost value of distributed imputation credits</w:t>
      </w:r>
      <w:r w:rsidR="00DE7959">
        <w:t>.</w:t>
      </w:r>
      <w:r w:rsidR="00DE7959">
        <w:rPr>
          <w:rStyle w:val="FootnoteReference"/>
        </w:rPr>
        <w:footnoteReference w:id="82"/>
      </w:r>
      <w:r>
        <w:t xml:space="preserve"> </w:t>
      </w:r>
    </w:p>
    <w:p w:rsidR="00D74F29" w:rsidRDefault="00D74F29" w:rsidP="00E82D06">
      <w:pPr>
        <w:pStyle w:val="ListContinue"/>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t>only listed equity</w:t>
      </w:r>
      <w:r w:rsidRPr="00A90D90">
        <w:t>).</w:t>
      </w:r>
      <w:r w:rsidRPr="00A90D90">
        <w:rPr>
          <w:rStyle w:val="FootnoteReference"/>
        </w:rPr>
        <w:footnoteReference w:id="83"/>
      </w:r>
      <w:r w:rsidRPr="00A90D90">
        <w:t xml:space="preserve"> In determining the value of imputation credits, we rely on the results from both approaches.</w:t>
      </w:r>
    </w:p>
    <w:p w:rsidR="00D74F29" w:rsidRPr="00883125" w:rsidRDefault="00D74F29" w:rsidP="00D74F29">
      <w:pPr>
        <w:pStyle w:val="AERbulletlistfirststyle"/>
      </w:pPr>
      <w:r w:rsidRPr="00883125">
        <w:t>the views of experts—experts differ in their interpretations of the:</w:t>
      </w:r>
    </w:p>
    <w:p w:rsidR="00D74F29" w:rsidRPr="00883125" w:rsidRDefault="00D74F29" w:rsidP="00D74F29">
      <w:pPr>
        <w:pStyle w:val="AERbulletlistsecondstyle"/>
      </w:pPr>
      <w:r w:rsidRPr="00883125">
        <w:t>role of the value of imputation credits in the regulatory framework</w:t>
      </w:r>
    </w:p>
    <w:p w:rsidR="00D74F29" w:rsidRPr="00883125" w:rsidRDefault="00D74F29" w:rsidP="00D74F29">
      <w:pPr>
        <w:pStyle w:val="AERbulletlistsecondstyle"/>
      </w:pPr>
      <w:r w:rsidRPr="00883125">
        <w:t>underlying theory and academic literature</w:t>
      </w:r>
    </w:p>
    <w:p w:rsidR="00883125" w:rsidRPr="00883125" w:rsidRDefault="00D74F29" w:rsidP="00475348">
      <w:pPr>
        <w:pStyle w:val="AERbulletlistsecondstyle"/>
      </w:pPr>
      <w:r w:rsidRPr="00883125">
        <w:t>relevance of different estimation techniques, particularly for the utilisation rate</w:t>
      </w:r>
      <w:r w:rsidR="00475348">
        <w:t>.</w:t>
      </w:r>
    </w:p>
    <w:p w:rsidR="00883125" w:rsidRPr="00883125" w:rsidRDefault="00883125" w:rsidP="00883125">
      <w:pPr>
        <w:pStyle w:val="Heading2"/>
      </w:pPr>
      <w:bookmarkStart w:id="44" w:name="_Toc408404324"/>
      <w:bookmarkStart w:id="45" w:name="_Toc419366917"/>
      <w:bookmarkStart w:id="46" w:name="_Ref451240509"/>
      <w:bookmarkStart w:id="47" w:name="_Ref451240512"/>
      <w:bookmarkStart w:id="48" w:name="_Ref451240513"/>
      <w:bookmarkStart w:id="49" w:name="_Ref451240526"/>
      <w:bookmarkStart w:id="50" w:name="_Ref451240541"/>
      <w:bookmarkStart w:id="51" w:name="_Ref451240553"/>
      <w:bookmarkStart w:id="52" w:name="_Ref451262944"/>
      <w:bookmarkStart w:id="53" w:name="_Ref451271627"/>
      <w:bookmarkStart w:id="54" w:name="_Ref451286698"/>
      <w:bookmarkStart w:id="55" w:name="_Ref451288073"/>
      <w:bookmarkStart w:id="56" w:name="_Ref451291076"/>
      <w:bookmarkStart w:id="57" w:name="_Ref451342609"/>
      <w:bookmarkStart w:id="58" w:name="_Ref451342743"/>
      <w:bookmarkStart w:id="59" w:name="_Ref451342752"/>
      <w:bookmarkStart w:id="60" w:name="_Ref451347585"/>
      <w:bookmarkStart w:id="61" w:name="_Ref451350649"/>
      <w:bookmarkStart w:id="62" w:name="_Ref451350656"/>
      <w:bookmarkStart w:id="63" w:name="_Ref451353895"/>
      <w:bookmarkStart w:id="64" w:name="_Ref451464892"/>
      <w:bookmarkStart w:id="65" w:name="_Ref451774702"/>
      <w:bookmarkStart w:id="66" w:name="_Ref451790207"/>
      <w:bookmarkStart w:id="67" w:name="_Ref451815218"/>
      <w:bookmarkStart w:id="68" w:name="_Toc451928271"/>
      <w:r w:rsidRPr="00883125">
        <w:lastRenderedPageBreak/>
        <w:t>Reasons for final decision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883125" w:rsidRPr="005764F6" w:rsidRDefault="00883125" w:rsidP="00883125">
      <w:pPr>
        <w:numPr>
          <w:ilvl w:val="0"/>
          <w:numId w:val="24"/>
        </w:numPr>
        <w:rPr>
          <w:rStyle w:val="AERbody"/>
        </w:rPr>
      </w:pPr>
      <w:r w:rsidRPr="005764F6">
        <w:rPr>
          <w:rStyle w:val="AERbody"/>
        </w:rPr>
        <w:t>In determining the value of imputation credits, we have considered the full range of evidence before us with regard to its merits</w:t>
      </w:r>
      <w:r w:rsidR="004B041F" w:rsidRPr="005764F6">
        <w:rPr>
          <w:rStyle w:val="AERbody"/>
        </w:rPr>
        <w:t xml:space="preserve"> (see section </w:t>
      </w:r>
      <w:r w:rsidR="004B041F" w:rsidRPr="005764F6">
        <w:rPr>
          <w:rStyle w:val="AERbody"/>
        </w:rPr>
        <w:fldChar w:fldCharType="begin"/>
      </w:r>
      <w:r w:rsidR="004B041F" w:rsidRPr="005764F6">
        <w:rPr>
          <w:rStyle w:val="AERbody"/>
        </w:rPr>
        <w:instrText xml:space="preserve"> REF _Ref415048973 \r \h </w:instrText>
      </w:r>
      <w:r w:rsidR="00825430" w:rsidRPr="005764F6">
        <w:rPr>
          <w:rStyle w:val="AERbody"/>
        </w:rPr>
        <w:instrText xml:space="preserve"> \* MERGEFORMAT </w:instrText>
      </w:r>
      <w:r w:rsidR="004B041F" w:rsidRPr="005764F6">
        <w:rPr>
          <w:rStyle w:val="AERbody"/>
        </w:rPr>
      </w:r>
      <w:r w:rsidR="004B041F" w:rsidRPr="005764F6">
        <w:rPr>
          <w:rStyle w:val="AERbody"/>
        </w:rPr>
        <w:fldChar w:fldCharType="separate"/>
      </w:r>
      <w:r w:rsidR="00881794">
        <w:rPr>
          <w:rStyle w:val="AERbody"/>
        </w:rPr>
        <w:t>4.3.6</w:t>
      </w:r>
      <w:r w:rsidR="004B041F" w:rsidRPr="005764F6">
        <w:rPr>
          <w:rStyle w:val="AERbody"/>
        </w:rPr>
        <w:fldChar w:fldCharType="end"/>
      </w:r>
      <w:r w:rsidR="004B041F" w:rsidRPr="005764F6">
        <w:rPr>
          <w:rStyle w:val="AERbody"/>
        </w:rPr>
        <w:t xml:space="preserve"> for our approach)</w:t>
      </w:r>
      <w:r w:rsidRPr="005764F6">
        <w:rPr>
          <w:rStyle w:val="AERbody"/>
        </w:rPr>
        <w:t>. We consider that a value of imputation credits of 0.4, selected from within a range of 0.3 to 0.5, is reasonable because:</w:t>
      </w:r>
    </w:p>
    <w:p w:rsidR="00883125" w:rsidRPr="005764F6" w:rsidRDefault="000467B0">
      <w:pPr>
        <w:pStyle w:val="AERbulletlistfirststyle"/>
      </w:pPr>
      <w:r w:rsidRPr="005764F6">
        <w:t xml:space="preserve">It </w:t>
      </w:r>
      <w:r w:rsidR="00883125" w:rsidRPr="005764F6">
        <w:t>is within the range of values indicated by the evidence, and the relevance of the evidence is supported by the expert opinion of Handley, Lally, and McKenzie and Partington.</w:t>
      </w:r>
    </w:p>
    <w:p w:rsidR="00883125" w:rsidRPr="005764F6" w:rsidRDefault="000467B0">
      <w:pPr>
        <w:pStyle w:val="AERbulletlistfirststyle"/>
      </w:pPr>
      <w:r w:rsidRPr="005764F6">
        <w:t xml:space="preserve">It </w:t>
      </w:r>
      <w:r w:rsidR="00883125" w:rsidRPr="005764F6">
        <w:t>primarily reflects an estimate of the utilisation rate from the equity ownership approach. Handley considered this the most important approach to estimating the utilisation rate, relative to the alternatives of tax statistics and implied market value studies.</w:t>
      </w:r>
      <w:r w:rsidR="00883125" w:rsidRPr="00583683">
        <w:rPr>
          <w:rStyle w:val="FootnoteReference"/>
        </w:rPr>
        <w:footnoteReference w:id="84"/>
      </w:r>
      <w:r w:rsidR="00883125" w:rsidRPr="005764F6">
        <w:t xml:space="preserve"> The equity ownership approach was Lally's second preference after his recommendation for a utilisation rate of 1.</w:t>
      </w:r>
      <w:r w:rsidR="00883125" w:rsidRPr="00583683">
        <w:rPr>
          <w:rStyle w:val="FootnoteReference"/>
        </w:rPr>
        <w:footnoteReference w:id="85"/>
      </w:r>
    </w:p>
    <w:p w:rsidR="00883125" w:rsidRPr="005764F6" w:rsidRDefault="000467B0">
      <w:pPr>
        <w:pStyle w:val="AERbulletlistfirststyle"/>
      </w:pPr>
      <w:r w:rsidRPr="005764F6">
        <w:t xml:space="preserve">It </w:t>
      </w:r>
      <w:r w:rsidR="00883125" w:rsidRPr="005764F6">
        <w:t>is within the 'preferred' range for the value of imputation credits (0.4 to 0.5) in Handley's September 2014 advice.</w:t>
      </w:r>
      <w:r w:rsidR="00883125" w:rsidRPr="00583683">
        <w:rPr>
          <w:rStyle w:val="FootnoteReference"/>
        </w:rPr>
        <w:footnoteReference w:id="86"/>
      </w:r>
    </w:p>
    <w:p w:rsidR="00B7575C" w:rsidRPr="005764F6" w:rsidRDefault="00B7575C">
      <w:pPr>
        <w:pStyle w:val="AERbulletlistfirststyle"/>
      </w:pPr>
      <w:r w:rsidRPr="005764F6">
        <w:t xml:space="preserve">It is </w:t>
      </w:r>
      <w:r w:rsidR="00DF0D66" w:rsidRPr="005764F6">
        <w:t>slightly below</w:t>
      </w:r>
      <w:r w:rsidRPr="005764F6">
        <w:t xml:space="preserve"> </w:t>
      </w:r>
      <w:r w:rsidR="00E733CD" w:rsidRPr="005764F6">
        <w:t xml:space="preserve">the </w:t>
      </w:r>
      <w:r w:rsidRPr="005764F6">
        <w:t xml:space="preserve">Lally's </w:t>
      </w:r>
      <w:r w:rsidR="00E733CD" w:rsidRPr="005764F6">
        <w:t>recommended application of the equity ownership approach</w:t>
      </w:r>
      <w:r w:rsidR="005942A6" w:rsidRPr="005764F6">
        <w:t>.</w:t>
      </w:r>
      <w:r w:rsidR="005942A6" w:rsidRPr="00583683">
        <w:rPr>
          <w:rStyle w:val="FootnoteReference"/>
        </w:rPr>
        <w:footnoteReference w:id="87"/>
      </w:r>
      <w:r w:rsidR="005942A6" w:rsidRPr="005764F6">
        <w:t xml:space="preserve"> This</w:t>
      </w:r>
      <w:r w:rsidR="00E733CD" w:rsidRPr="005764F6">
        <w:t xml:space="preserve"> </w:t>
      </w:r>
      <w:r w:rsidR="00A16B11" w:rsidRPr="005764F6">
        <w:t>suggest</w:t>
      </w:r>
      <w:r w:rsidR="00060150" w:rsidRPr="005764F6">
        <w:t>s</w:t>
      </w:r>
      <w:r w:rsidR="00A16B11" w:rsidRPr="005764F6">
        <w:t xml:space="preserve"> a gamma of at least 0.50</w:t>
      </w:r>
      <w:r w:rsidR="00DD1D9E" w:rsidRPr="005764F6">
        <w:t xml:space="preserve"> based on </w:t>
      </w:r>
      <w:r w:rsidR="00A16B11" w:rsidRPr="005764F6">
        <w:t>Lally's</w:t>
      </w:r>
      <w:r w:rsidR="00DD1D9E" w:rsidRPr="005764F6">
        <w:t xml:space="preserve"> preferred estimate of the distribution rate and using the equity ownership data based on all equity </w:t>
      </w:r>
      <w:r w:rsidR="005942A6" w:rsidRPr="005764F6">
        <w:t>(which</w:t>
      </w:r>
      <w:r w:rsidR="00DD1D9E" w:rsidRPr="005764F6">
        <w:t xml:space="preserve"> Lally prefers</w:t>
      </w:r>
      <w:r w:rsidR="005942A6" w:rsidRPr="005764F6">
        <w:t>)</w:t>
      </w:r>
      <w:r w:rsidR="00DD1D9E" w:rsidRPr="005764F6">
        <w:t xml:space="preserve">. </w:t>
      </w:r>
    </w:p>
    <w:p w:rsidR="00E733CD" w:rsidRPr="005764F6" w:rsidRDefault="00E733CD">
      <w:pPr>
        <w:pStyle w:val="AERbulletlistfirststyle"/>
      </w:pPr>
      <w:r w:rsidRPr="005764F6">
        <w:t>It is consistent with providing regulatory certainty given it is consistent with the value we used for all regulatory decisions released in 2015</w:t>
      </w:r>
      <w:r w:rsidR="00FA19BD" w:rsidRPr="005764F6">
        <w:t>,</w:t>
      </w:r>
      <w:r w:rsidRPr="005764F6">
        <w:t xml:space="preserve"> including our </w:t>
      </w:r>
      <w:r w:rsidR="007E57FD" w:rsidRPr="005764F6">
        <w:t>draft</w:t>
      </w:r>
      <w:r w:rsidRPr="005764F6">
        <w:t xml:space="preserve"> decision for </w:t>
      </w:r>
      <w:r w:rsidR="00C903A2">
        <w:t>AGN</w:t>
      </w:r>
      <w:r w:rsidRPr="005764F6">
        <w:t>.</w:t>
      </w:r>
    </w:p>
    <w:p w:rsidR="00883125" w:rsidRPr="005764F6" w:rsidRDefault="000467B0">
      <w:pPr>
        <w:pStyle w:val="AERbulletlistfirststyle"/>
      </w:pPr>
      <w:r w:rsidRPr="005764F6">
        <w:t xml:space="preserve">Based </w:t>
      </w:r>
      <w:r w:rsidR="00883125" w:rsidRPr="005764F6">
        <w:t>on the evidence before us at this time, adopting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00883125" w:rsidRPr="00583683">
        <w:rPr>
          <w:rStyle w:val="FootnoteReference"/>
        </w:rPr>
        <w:footnoteReference w:id="88"/>
      </w:r>
      <w:r w:rsidR="00883125" w:rsidRPr="005764F6">
        <w:t xml:space="preserve"> The imprecision of determining the value of imputation credits was emphasised by Handley.</w:t>
      </w:r>
      <w:r w:rsidR="00883125" w:rsidRPr="00583683">
        <w:rPr>
          <w:rStyle w:val="FootnoteReference"/>
        </w:rPr>
        <w:footnoteReference w:id="89"/>
      </w:r>
    </w:p>
    <w:p w:rsidR="00883125" w:rsidRPr="005764F6" w:rsidRDefault="00883125" w:rsidP="00883125">
      <w:pPr>
        <w:numPr>
          <w:ilvl w:val="0"/>
          <w:numId w:val="24"/>
        </w:numPr>
        <w:rPr>
          <w:rStyle w:val="AERbody"/>
        </w:rPr>
      </w:pPr>
      <w:r w:rsidRPr="005764F6">
        <w:rPr>
          <w:rStyle w:val="AERbody"/>
        </w:rPr>
        <w:t xml:space="preserve">In considering the evidence on the distribution and utilisation rates, we have broadly maintained the approach set out in the Guideline, but have re-examined the relevant </w:t>
      </w:r>
      <w:r w:rsidRPr="005764F6">
        <w:rPr>
          <w:rStyle w:val="AERbody"/>
        </w:rPr>
        <w:lastRenderedPageBreak/>
        <w:t>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w:t>
      </w:r>
    </w:p>
    <w:p w:rsidR="00883125" w:rsidRPr="005764F6" w:rsidRDefault="00883125" w:rsidP="00E82D06">
      <w:pPr>
        <w:numPr>
          <w:ilvl w:val="0"/>
          <w:numId w:val="24"/>
        </w:numPr>
        <w:rPr>
          <w:rStyle w:val="AERbody"/>
        </w:rPr>
      </w:pPr>
      <w:r w:rsidRPr="005764F6">
        <w:rPr>
          <w:rStyle w:val="AERbody"/>
        </w:rPr>
        <w:t>Further to the Guideline approach, in this final decision we consider</w:t>
      </w:r>
      <w:r w:rsidR="007E57FD" w:rsidRPr="005764F6">
        <w:rPr>
          <w:rStyle w:val="AERbody"/>
        </w:rPr>
        <w:t xml:space="preserve"> </w:t>
      </w:r>
      <w:r w:rsidRPr="005764F6">
        <w:rPr>
          <w:rStyle w:val="AERbody"/>
        </w:rPr>
        <w:t xml:space="preserve">we may have regard to evidence from all equity and/or only listed equity. Some experts advocate use of evidence on only listed companies and their investors because they consider it to be more reflective of the benchmark efficient entity and its investors, or because they consider this is consistent with the use of evidence from only listed companies when estimating the </w:t>
      </w:r>
      <w:r w:rsidR="00CA5038" w:rsidRPr="005764F6">
        <w:rPr>
          <w:rStyle w:val="AERbody"/>
        </w:rPr>
        <w:t>MRP</w:t>
      </w:r>
      <w:r w:rsidRPr="005764F6">
        <w:rPr>
          <w:rStyle w:val="AERbody"/>
        </w:rPr>
        <w:t>. However, there is no consensus on this point. We discuss the issue further in section</w:t>
      </w:r>
      <w:r w:rsidR="006D4B92" w:rsidRPr="005764F6">
        <w:rPr>
          <w:rStyle w:val="AERbody"/>
        </w:rPr>
        <w:t xml:space="preserve">s </w:t>
      </w:r>
      <w:r w:rsidR="006D4B92" w:rsidRPr="005764F6">
        <w:rPr>
          <w:rStyle w:val="AERbody"/>
        </w:rPr>
        <w:fldChar w:fldCharType="begin"/>
      </w:r>
      <w:r w:rsidR="006D4B92" w:rsidRPr="005764F6">
        <w:rPr>
          <w:rStyle w:val="AERbody"/>
        </w:rPr>
        <w:instrText xml:space="preserve"> REF _Ref414623120 \r \h </w:instrText>
      </w:r>
      <w:r w:rsidR="00345AB4">
        <w:rPr>
          <w:rStyle w:val="AERbody"/>
        </w:rPr>
        <w:instrText xml:space="preserve"> \* MERGEFORMAT </w:instrText>
      </w:r>
      <w:r w:rsidR="006D4B92" w:rsidRPr="005764F6">
        <w:rPr>
          <w:rStyle w:val="AERbody"/>
        </w:rPr>
      </w:r>
      <w:r w:rsidR="006D4B92" w:rsidRPr="005764F6">
        <w:rPr>
          <w:rStyle w:val="AERbody"/>
        </w:rPr>
        <w:fldChar w:fldCharType="separate"/>
      </w:r>
      <w:r w:rsidR="00881794">
        <w:rPr>
          <w:rStyle w:val="AERbody"/>
        </w:rPr>
        <w:t>A.8</w:t>
      </w:r>
      <w:r w:rsidR="006D4B92" w:rsidRPr="005764F6">
        <w:rPr>
          <w:rStyle w:val="AERbody"/>
        </w:rPr>
        <w:fldChar w:fldCharType="end"/>
      </w:r>
      <w:r w:rsidR="006D4B92" w:rsidRPr="005764F6">
        <w:rPr>
          <w:rStyle w:val="AERbody"/>
        </w:rPr>
        <w:t xml:space="preserve"> and </w:t>
      </w:r>
      <w:r w:rsidR="006D4B92" w:rsidRPr="005764F6">
        <w:rPr>
          <w:rStyle w:val="AERbody"/>
        </w:rPr>
        <w:fldChar w:fldCharType="begin"/>
      </w:r>
      <w:r w:rsidR="006D4B92" w:rsidRPr="005764F6">
        <w:rPr>
          <w:rStyle w:val="AERbody"/>
        </w:rPr>
        <w:instrText xml:space="preserve"> REF _Ref415068711 \r \h </w:instrText>
      </w:r>
      <w:r w:rsidR="00345AB4">
        <w:rPr>
          <w:rStyle w:val="AERbody"/>
        </w:rPr>
        <w:instrText xml:space="preserve"> \* MERGEFORMAT </w:instrText>
      </w:r>
      <w:r w:rsidR="006D4B92" w:rsidRPr="005764F6">
        <w:rPr>
          <w:rStyle w:val="AERbody"/>
        </w:rPr>
      </w:r>
      <w:r w:rsidR="006D4B92" w:rsidRPr="005764F6">
        <w:rPr>
          <w:rStyle w:val="AERbody"/>
        </w:rPr>
        <w:fldChar w:fldCharType="separate"/>
      </w:r>
      <w:r w:rsidR="00881794">
        <w:rPr>
          <w:rStyle w:val="AERbody"/>
        </w:rPr>
        <w:t>A.8.4</w:t>
      </w:r>
      <w:r w:rsidR="006D4B92" w:rsidRPr="005764F6">
        <w:rPr>
          <w:rStyle w:val="AERbody"/>
        </w:rPr>
        <w:fldChar w:fldCharType="end"/>
      </w:r>
      <w:r w:rsidRPr="005764F6">
        <w:rPr>
          <w:rStyle w:val="AERbody"/>
        </w:rPr>
        <w:t>. We did not consider this issue in the Guideline.</w:t>
      </w:r>
    </w:p>
    <w:p w:rsidR="004E71B8" w:rsidRPr="005764F6" w:rsidRDefault="00CA5038" w:rsidP="00E82D06">
      <w:pPr>
        <w:rPr>
          <w:rStyle w:val="AERbody"/>
        </w:rPr>
      </w:pPr>
      <w:r w:rsidRPr="005764F6">
        <w:rPr>
          <w:rStyle w:val="AERbody"/>
        </w:rPr>
        <w:t xml:space="preserve">Lally, in his latest </w:t>
      </w:r>
      <w:r w:rsidR="003F1D6B" w:rsidRPr="005764F6">
        <w:rPr>
          <w:rStyle w:val="AERbody"/>
        </w:rPr>
        <w:t>report</w:t>
      </w:r>
      <w:r w:rsidRPr="005764F6">
        <w:rPr>
          <w:rStyle w:val="AERbody"/>
        </w:rPr>
        <w:t xml:space="preserve">, considered it is </w:t>
      </w:r>
      <w:r w:rsidR="00EB57A6">
        <w:rPr>
          <w:rStyle w:val="AERbody"/>
        </w:rPr>
        <w:t>'</w:t>
      </w:r>
      <w:r w:rsidRPr="005764F6">
        <w:rPr>
          <w:rStyle w:val="AERbody"/>
        </w:rPr>
        <w:t>not essential</w:t>
      </w:r>
      <w:r w:rsidR="00EB57A6">
        <w:rPr>
          <w:rStyle w:val="AERbody"/>
        </w:rPr>
        <w:t xml:space="preserve"> but nor is it precluded'</w:t>
      </w:r>
      <w:r w:rsidRPr="005764F6">
        <w:rPr>
          <w:rStyle w:val="AERbody"/>
        </w:rPr>
        <w:t xml:space="preserve"> to </w:t>
      </w:r>
      <w:r w:rsidR="00042F1D">
        <w:rPr>
          <w:rStyle w:val="AERbody"/>
        </w:rPr>
        <w:t>'</w:t>
      </w:r>
      <w:r w:rsidRPr="005764F6">
        <w:rPr>
          <w:rStyle w:val="AERbody"/>
        </w:rPr>
        <w:t>match</w:t>
      </w:r>
      <w:r w:rsidR="00042F1D">
        <w:rPr>
          <w:rStyle w:val="AERbody"/>
        </w:rPr>
        <w:t>'</w:t>
      </w:r>
      <w:r w:rsidRPr="005764F6">
        <w:rPr>
          <w:rStyle w:val="AERbody"/>
        </w:rPr>
        <w:t xml:space="preserve"> distribution rates from all equity (all listed equity) to utilisation rates from all equity (all listed equity).</w:t>
      </w:r>
      <w:r w:rsidRPr="005942A6">
        <w:rPr>
          <w:rStyle w:val="FootnoteReference"/>
        </w:rPr>
        <w:footnoteReference w:id="90"/>
      </w:r>
      <w:r w:rsidRPr="005764F6">
        <w:rPr>
          <w:rStyle w:val="AERbody"/>
        </w:rPr>
        <w:t xml:space="preserve"> </w:t>
      </w:r>
      <w:r w:rsidR="004E71B8" w:rsidRPr="005764F6">
        <w:rPr>
          <w:rStyle w:val="AERbody"/>
        </w:rPr>
        <w:t xml:space="preserve">Following this, we consider it </w:t>
      </w:r>
      <w:r w:rsidR="00EE12D9">
        <w:rPr>
          <w:rStyle w:val="AERbody"/>
        </w:rPr>
        <w:t>is</w:t>
      </w:r>
      <w:r w:rsidR="00EE12D9" w:rsidRPr="005764F6">
        <w:rPr>
          <w:rStyle w:val="AERbody"/>
        </w:rPr>
        <w:t xml:space="preserve"> </w:t>
      </w:r>
      <w:r w:rsidR="004E71B8" w:rsidRPr="005764F6">
        <w:rPr>
          <w:rStyle w:val="AERbody"/>
        </w:rPr>
        <w:t xml:space="preserve">not necessary to </w:t>
      </w:r>
      <w:r w:rsidR="00042F1D">
        <w:rPr>
          <w:rStyle w:val="AERbody"/>
        </w:rPr>
        <w:t>'</w:t>
      </w:r>
      <w:r w:rsidR="004E71B8" w:rsidRPr="005764F6">
        <w:rPr>
          <w:rStyle w:val="AERbody"/>
        </w:rPr>
        <w:t>match</w:t>
      </w:r>
      <w:r w:rsidR="00042F1D">
        <w:rPr>
          <w:rStyle w:val="AERbody"/>
        </w:rPr>
        <w:t>'</w:t>
      </w:r>
      <w:r w:rsidR="004E71B8" w:rsidRPr="005764F6">
        <w:rPr>
          <w:rStyle w:val="AERbody"/>
        </w:rPr>
        <w:t xml:space="preserve"> </w:t>
      </w:r>
      <w:r w:rsidR="00CD2391" w:rsidRPr="005764F6">
        <w:rPr>
          <w:rStyle w:val="AERbody"/>
        </w:rPr>
        <w:t>estimates o</w:t>
      </w:r>
      <w:r w:rsidR="00AC62FC" w:rsidRPr="005764F6">
        <w:rPr>
          <w:rStyle w:val="AERbody"/>
        </w:rPr>
        <w:t xml:space="preserve">f </w:t>
      </w:r>
      <w:r w:rsidR="004E71B8" w:rsidRPr="005764F6">
        <w:rPr>
          <w:rStyle w:val="AERbody"/>
        </w:rPr>
        <w:t>distribution rates and utilisation rates based on the dataset used</w:t>
      </w:r>
      <w:r w:rsidR="00EE12D9">
        <w:rPr>
          <w:rStyle w:val="AERbody"/>
        </w:rPr>
        <w:t>; although we note the choice is open to us</w:t>
      </w:r>
      <w:r w:rsidR="004E71B8" w:rsidRPr="005764F6">
        <w:rPr>
          <w:rStyle w:val="AERbody"/>
        </w:rPr>
        <w:t xml:space="preserve">. </w:t>
      </w:r>
      <w:r w:rsidR="00CD2391" w:rsidRPr="005764F6">
        <w:rPr>
          <w:rStyle w:val="AERbody"/>
        </w:rPr>
        <w:t>We discuss this further in section</w:t>
      </w:r>
      <w:r w:rsidR="003F1D6B" w:rsidRPr="005764F6">
        <w:rPr>
          <w:rStyle w:val="AERbody"/>
        </w:rPr>
        <w:t xml:space="preserve"> 4.4.1 and</w:t>
      </w:r>
      <w:r w:rsidR="00CD2391" w:rsidRPr="005764F6">
        <w:rPr>
          <w:rStyle w:val="AERbody"/>
        </w:rPr>
        <w:t xml:space="preserve"> </w:t>
      </w:r>
      <w:r w:rsidR="00CD2391" w:rsidRPr="005764F6">
        <w:rPr>
          <w:rStyle w:val="AERbody"/>
        </w:rPr>
        <w:fldChar w:fldCharType="begin"/>
      </w:r>
      <w:r w:rsidR="00CD2391" w:rsidRPr="005764F6">
        <w:rPr>
          <w:rStyle w:val="AERbody"/>
        </w:rPr>
        <w:instrText xml:space="preserve"> REF _Ref403481194 \r \h  \* MERGEFORMAT </w:instrText>
      </w:r>
      <w:r w:rsidR="00CD2391" w:rsidRPr="005764F6">
        <w:rPr>
          <w:rStyle w:val="AERbody"/>
        </w:rPr>
      </w:r>
      <w:r w:rsidR="00CD2391" w:rsidRPr="005764F6">
        <w:rPr>
          <w:rStyle w:val="AERbody"/>
        </w:rPr>
        <w:fldChar w:fldCharType="separate"/>
      </w:r>
      <w:r w:rsidR="00881794">
        <w:rPr>
          <w:rStyle w:val="AERbody"/>
        </w:rPr>
        <w:t>A.9.2</w:t>
      </w:r>
      <w:r w:rsidR="00CD2391" w:rsidRPr="005764F6">
        <w:rPr>
          <w:rStyle w:val="AERbody"/>
        </w:rPr>
        <w:fldChar w:fldCharType="end"/>
      </w:r>
      <w:r w:rsidR="00CD2391" w:rsidRPr="005764F6">
        <w:rPr>
          <w:rStyle w:val="AERbody"/>
        </w:rPr>
        <w:t>.</w:t>
      </w:r>
    </w:p>
    <w:p w:rsidR="00CA5038" w:rsidRPr="005764F6" w:rsidRDefault="00CD2391" w:rsidP="00E82D06">
      <w:pPr>
        <w:rPr>
          <w:rStyle w:val="AERbody"/>
        </w:rPr>
      </w:pPr>
      <w:r w:rsidRPr="005764F6">
        <w:rPr>
          <w:rStyle w:val="AERbody"/>
        </w:rPr>
        <w:t xml:space="preserve">We </w:t>
      </w:r>
      <w:r w:rsidR="00EE12D9">
        <w:rPr>
          <w:rStyle w:val="AERbody"/>
        </w:rPr>
        <w:t xml:space="preserve">also </w:t>
      </w:r>
      <w:r w:rsidRPr="005764F6">
        <w:rPr>
          <w:rStyle w:val="AERbody"/>
        </w:rPr>
        <w:t xml:space="preserve">note that, following his advice, </w:t>
      </w:r>
      <w:r w:rsidR="00CA5038" w:rsidRPr="005764F6">
        <w:rPr>
          <w:rStyle w:val="AERbody"/>
        </w:rPr>
        <w:t>Lally recommended pairing an estimate of the utilisation rate</w:t>
      </w:r>
      <w:r w:rsidR="00D7600C">
        <w:rPr>
          <w:rStyle w:val="AERbody"/>
        </w:rPr>
        <w:t xml:space="preserve"> for all equity</w:t>
      </w:r>
      <w:r w:rsidR="00CA5038" w:rsidRPr="005764F6">
        <w:rPr>
          <w:rStyle w:val="AERbody"/>
        </w:rPr>
        <w:t xml:space="preserve"> from </w:t>
      </w:r>
      <w:r w:rsidR="0067770B" w:rsidRPr="005764F6">
        <w:rPr>
          <w:rStyle w:val="AERbody"/>
        </w:rPr>
        <w:t>the equity ownership approach</w:t>
      </w:r>
      <w:r w:rsidR="00EE12D9">
        <w:rPr>
          <w:rStyle w:val="AERbody"/>
        </w:rPr>
        <w:t>,</w:t>
      </w:r>
      <w:r w:rsidR="00CA5038" w:rsidRPr="005764F6">
        <w:rPr>
          <w:rStyle w:val="AERbody"/>
        </w:rPr>
        <w:t xml:space="preserve"> with a distribution rate </w:t>
      </w:r>
      <w:r w:rsidR="00D7600C">
        <w:rPr>
          <w:rStyle w:val="AERbody"/>
        </w:rPr>
        <w:t xml:space="preserve">for listed equity </w:t>
      </w:r>
      <w:r w:rsidR="0067770B" w:rsidRPr="005764F6">
        <w:rPr>
          <w:rStyle w:val="AERbody"/>
        </w:rPr>
        <w:t xml:space="preserve">estimated </w:t>
      </w:r>
      <w:r w:rsidR="00CA5038" w:rsidRPr="005764F6">
        <w:rPr>
          <w:rStyle w:val="AERbody"/>
        </w:rPr>
        <w:t xml:space="preserve">from the </w:t>
      </w:r>
      <w:r w:rsidR="0067770B" w:rsidRPr="005764F6">
        <w:rPr>
          <w:rStyle w:val="AERbody"/>
        </w:rPr>
        <w:t xml:space="preserve">financial statements of the </w:t>
      </w:r>
      <w:r w:rsidR="00CA5038" w:rsidRPr="005764F6">
        <w:rPr>
          <w:rStyle w:val="AERbody"/>
        </w:rPr>
        <w:t xml:space="preserve">top 20 listed firms (which he considered </w:t>
      </w:r>
      <w:r w:rsidR="0067770B" w:rsidRPr="005764F6">
        <w:rPr>
          <w:rStyle w:val="AERbody"/>
        </w:rPr>
        <w:t xml:space="preserve">likely to </w:t>
      </w:r>
      <w:r w:rsidR="00CA5038" w:rsidRPr="005764F6">
        <w:rPr>
          <w:rStyle w:val="AERbody"/>
        </w:rPr>
        <w:t>best reflect the distribution rate of a benchmark efficient entity).</w:t>
      </w:r>
      <w:r w:rsidR="004E71B8" w:rsidRPr="005942A6">
        <w:rPr>
          <w:rStyle w:val="FootnoteReference"/>
        </w:rPr>
        <w:footnoteReference w:id="91"/>
      </w:r>
      <w:r w:rsidR="004E71B8" w:rsidRPr="005764F6">
        <w:rPr>
          <w:rStyle w:val="AERbody"/>
        </w:rPr>
        <w:t xml:space="preserve"> </w:t>
      </w:r>
    </w:p>
    <w:p w:rsidR="00883125" w:rsidRPr="005764F6" w:rsidRDefault="00883125" w:rsidP="00883125">
      <w:pPr>
        <w:numPr>
          <w:ilvl w:val="0"/>
          <w:numId w:val="24"/>
        </w:numPr>
        <w:rPr>
          <w:rStyle w:val="AERbody"/>
        </w:rPr>
      </w:pPr>
      <w:r w:rsidRPr="005764F6">
        <w:rPr>
          <w:rStyle w:val="AERbody"/>
        </w:rPr>
        <w:t xml:space="preserve">Recognising these considerations, </w:t>
      </w:r>
      <w:r w:rsidRPr="005764F6">
        <w:rPr>
          <w:rStyle w:val="AERbody"/>
        </w:rPr>
        <w:fldChar w:fldCharType="begin"/>
      </w:r>
      <w:r w:rsidRPr="005764F6">
        <w:rPr>
          <w:rStyle w:val="AERbody"/>
        </w:rPr>
        <w:instrText xml:space="preserve"> REF  _Ref400900366 \* Lower \h </w:instrText>
      </w:r>
      <w:r w:rsidR="00825430" w:rsidRPr="005764F6">
        <w:rPr>
          <w:rStyle w:val="AERbody"/>
        </w:rPr>
        <w:instrText xml:space="preserve"> \* MERGEFORMAT </w:instrText>
      </w:r>
      <w:r w:rsidRPr="005764F6">
        <w:rPr>
          <w:rStyle w:val="AERbody"/>
        </w:rPr>
      </w:r>
      <w:r w:rsidRPr="005764F6">
        <w:rPr>
          <w:rStyle w:val="AERbody"/>
        </w:rPr>
        <w:fldChar w:fldCharType="separate"/>
      </w:r>
      <w:r w:rsidR="00881794" w:rsidRPr="00164D25">
        <w:rPr>
          <w:rStyle w:val="AERbody"/>
        </w:rPr>
        <w:t>table 4</w:t>
      </w:r>
      <w:r w:rsidR="00881794" w:rsidRPr="00164D25">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w:instrText>
      </w:r>
      <w:r w:rsidR="00825430" w:rsidRPr="005764F6">
        <w:rPr>
          <w:rStyle w:val="AERbody"/>
        </w:rPr>
        <w:instrText xml:space="preserve"> \* MERGEFORMAT </w:instrText>
      </w:r>
      <w:r w:rsidRPr="005764F6">
        <w:rPr>
          <w:rStyle w:val="AERbody"/>
        </w:rPr>
      </w:r>
      <w:r w:rsidRPr="005764F6">
        <w:rPr>
          <w:rStyle w:val="AERbody"/>
        </w:rPr>
        <w:fldChar w:fldCharType="separate"/>
      </w:r>
      <w:r w:rsidR="00881794" w:rsidRPr="00164D25">
        <w:rPr>
          <w:rStyle w:val="AERbody"/>
        </w:rPr>
        <w:t>table 4</w:t>
      </w:r>
      <w:r w:rsidR="00881794" w:rsidRPr="00164D25">
        <w:rPr>
          <w:rStyle w:val="AERbody"/>
        </w:rPr>
        <w:noBreakHyphen/>
        <w:t>4</w:t>
      </w:r>
      <w:r w:rsidRPr="005764F6">
        <w:rPr>
          <w:rStyle w:val="AERbody"/>
        </w:rPr>
        <w:fldChar w:fldCharType="end"/>
      </w:r>
      <w:r w:rsidRPr="005764F6">
        <w:rPr>
          <w:rStyle w:val="AERbody"/>
        </w:rPr>
        <w:t xml:space="preserve"> show estimates of the value of imputation credits that arise from internally consistent evidence from all equity and only listed equity</w:t>
      </w:r>
      <w:r w:rsidR="00DB1D7A" w:rsidRPr="005764F6">
        <w:rPr>
          <w:rStyle w:val="AERbody"/>
        </w:rPr>
        <w:t>.</w:t>
      </w:r>
      <w:r w:rsidR="00217DF9" w:rsidRPr="005942A6">
        <w:rPr>
          <w:rStyle w:val="FootnoteReference"/>
        </w:rPr>
        <w:footnoteReference w:id="92"/>
      </w:r>
      <w:r w:rsidRPr="005764F6">
        <w:rPr>
          <w:rStyle w:val="AERbody"/>
        </w:rPr>
        <w:t xml:space="preserve"> </w:t>
      </w:r>
      <w:r w:rsidR="00DB1D7A" w:rsidRPr="005764F6">
        <w:rPr>
          <w:rStyle w:val="AERbody"/>
        </w:rPr>
        <w:t xml:space="preserve">It also shows the estimated value of imputation credits from Lally's </w:t>
      </w:r>
      <w:r w:rsidR="003548D4">
        <w:rPr>
          <w:rStyle w:val="AERbody"/>
        </w:rPr>
        <w:t>recommended</w:t>
      </w:r>
      <w:r w:rsidR="003548D4" w:rsidRPr="005764F6">
        <w:rPr>
          <w:rStyle w:val="AERbody"/>
        </w:rPr>
        <w:t xml:space="preserve"> </w:t>
      </w:r>
      <w:r w:rsidR="00DB1D7A" w:rsidRPr="005764F6">
        <w:rPr>
          <w:rStyle w:val="AERbody"/>
        </w:rPr>
        <w:t xml:space="preserve">approach </w:t>
      </w:r>
      <w:r w:rsidR="00217DF9">
        <w:rPr>
          <w:rStyle w:val="AERbody"/>
        </w:rPr>
        <w:t>(see above)</w:t>
      </w:r>
      <w:r w:rsidRPr="005764F6">
        <w:rPr>
          <w:rStyle w:val="AERbody"/>
        </w:rPr>
        <w:t>. These individual sources of evidence allow us to present estimates to two decimal places. However, we consider it reasonable to determine a value of imputation credits to only one decimal place when determining a single value from across this evidence.</w:t>
      </w:r>
    </w:p>
    <w:p w:rsidR="00883125" w:rsidRPr="00883125" w:rsidRDefault="00883125" w:rsidP="00881794">
      <w:pPr>
        <w:pStyle w:val="Caption"/>
      </w:pPr>
      <w:bookmarkStart w:id="69" w:name="_Ref400900366"/>
      <w:bookmarkStart w:id="70" w:name="_Ref400900335"/>
      <w:r w:rsidRPr="00883125">
        <w:lastRenderedPageBreak/>
        <w:t xml:space="preserve">Table </w:t>
      </w:r>
      <w:r w:rsidR="004B4BF3">
        <w:fldChar w:fldCharType="begin"/>
      </w:r>
      <w:r w:rsidR="004B4BF3">
        <w:instrText xml:space="preserve"> STYLEREF 1 \s </w:instrText>
      </w:r>
      <w:r w:rsidR="004B4BF3">
        <w:fldChar w:fldCharType="separate"/>
      </w:r>
      <w:r w:rsidR="00881794">
        <w:rPr>
          <w:noProof/>
        </w:rPr>
        <w:t>4</w:t>
      </w:r>
      <w:r w:rsidR="004B4BF3">
        <w:rPr>
          <w:noProof/>
        </w:rPr>
        <w:fldChar w:fldCharType="end"/>
      </w:r>
      <w:r w:rsidR="006E6D04">
        <w:noBreakHyphen/>
      </w:r>
      <w:r w:rsidR="004B4BF3">
        <w:fldChar w:fldCharType="begin"/>
      </w:r>
      <w:r w:rsidR="004B4BF3">
        <w:instrText xml:space="preserve"> SEQ Table \* ARABIC \s 1 </w:instrText>
      </w:r>
      <w:r w:rsidR="004B4BF3">
        <w:fldChar w:fldCharType="separate"/>
      </w:r>
      <w:r w:rsidR="00881794">
        <w:rPr>
          <w:noProof/>
        </w:rPr>
        <w:t>3</w:t>
      </w:r>
      <w:r w:rsidR="004B4BF3">
        <w:rPr>
          <w:noProof/>
        </w:rPr>
        <w:fldChar w:fldCharType="end"/>
      </w:r>
      <w:bookmarkEnd w:id="69"/>
      <w:r w:rsidRPr="00883125">
        <w:tab/>
        <w:t>Estimates of the value of imputation credits—evidence from all equity</w:t>
      </w:r>
      <w:bookmarkEnd w:id="70"/>
    </w:p>
    <w:tbl>
      <w:tblPr>
        <w:tblStyle w:val="AERtable-numbers"/>
        <w:tblW w:w="0" w:type="auto"/>
        <w:tblLook w:val="04A0" w:firstRow="1" w:lastRow="0" w:firstColumn="1" w:lastColumn="0" w:noHBand="0" w:noVBand="1"/>
      </w:tblPr>
      <w:tblGrid>
        <w:gridCol w:w="3085"/>
        <w:gridCol w:w="2052"/>
        <w:gridCol w:w="2052"/>
        <w:gridCol w:w="2053"/>
      </w:tblGrid>
      <w:tr w:rsidR="00883125" w:rsidTr="0088312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883125" w:rsidRPr="00883125" w:rsidRDefault="00883125" w:rsidP="00164D25">
            <w:pPr>
              <w:keepNext/>
              <w:numPr>
                <w:ilvl w:val="0"/>
                <w:numId w:val="24"/>
              </w:numPr>
            </w:pPr>
            <w:r w:rsidRPr="00883125">
              <w:t xml:space="preserve">Evidence on utilisation </w:t>
            </w:r>
            <w:r w:rsidR="0005260B">
              <w:t>rate</w:t>
            </w:r>
          </w:p>
        </w:tc>
        <w:tc>
          <w:tcPr>
            <w:tcW w:w="2052" w:type="dxa"/>
          </w:tcPr>
          <w:p w:rsidR="00883125" w:rsidRPr="00883125" w:rsidRDefault="00883125" w:rsidP="00164D25">
            <w:pPr>
              <w:keepNext/>
              <w:cnfStyle w:val="100000000000" w:firstRow="1" w:lastRow="0" w:firstColumn="0" w:lastColumn="0" w:oddVBand="0" w:evenVBand="0" w:oddHBand="0" w:evenHBand="0" w:firstRowFirstColumn="0" w:firstRowLastColumn="0" w:lastRowFirstColumn="0" w:lastRowLastColumn="0"/>
            </w:pPr>
            <w:r w:rsidRPr="00883125">
              <w:t xml:space="preserve">Utilisation </w:t>
            </w:r>
            <w:r w:rsidR="0005260B">
              <w:t>rate</w:t>
            </w:r>
          </w:p>
        </w:tc>
        <w:tc>
          <w:tcPr>
            <w:tcW w:w="2052" w:type="dxa"/>
          </w:tcPr>
          <w:p w:rsidR="00883125" w:rsidRPr="00883125" w:rsidRDefault="00883125" w:rsidP="00164D25">
            <w:pPr>
              <w:keepNext/>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053" w:type="dxa"/>
          </w:tcPr>
          <w:p w:rsidR="00883125" w:rsidRPr="00883125" w:rsidRDefault="00883125" w:rsidP="00164D25">
            <w:pPr>
              <w:keepNext/>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883125" w:rsidTr="00883125">
        <w:trPr>
          <w:cantSplit/>
        </w:trPr>
        <w:tc>
          <w:tcPr>
            <w:cnfStyle w:val="001000000000" w:firstRow="0" w:lastRow="0" w:firstColumn="1" w:lastColumn="0" w:oddVBand="0" w:evenVBand="0" w:oddHBand="0" w:evenHBand="0" w:firstRowFirstColumn="0" w:firstRowLastColumn="0" w:lastRowFirstColumn="0" w:lastRowLastColumn="0"/>
            <w:tcW w:w="3085" w:type="dxa"/>
          </w:tcPr>
          <w:p w:rsidR="00883125" w:rsidRPr="00883125" w:rsidRDefault="00883125" w:rsidP="00164D25">
            <w:pPr>
              <w:keepNext/>
              <w:numPr>
                <w:ilvl w:val="0"/>
                <w:numId w:val="24"/>
              </w:numPr>
            </w:pPr>
            <w:r w:rsidRPr="00883125">
              <w:t>Equity ownership approach</w:t>
            </w:r>
          </w:p>
        </w:tc>
        <w:tc>
          <w:tcPr>
            <w:tcW w:w="2052" w:type="dxa"/>
          </w:tcPr>
          <w:p w:rsidR="00883125" w:rsidRPr="00883125" w:rsidRDefault="00883125" w:rsidP="00164D25">
            <w:pPr>
              <w:keepNext/>
              <w:cnfStyle w:val="000000000000" w:firstRow="0" w:lastRow="0" w:firstColumn="0" w:lastColumn="0" w:oddVBand="0" w:evenVBand="0" w:oddHBand="0" w:evenHBand="0" w:firstRowFirstColumn="0" w:firstRowLastColumn="0" w:lastRowFirstColumn="0" w:lastRowLastColumn="0"/>
            </w:pPr>
            <w:r w:rsidRPr="00883125">
              <w:t>0.56 to 0.68</w:t>
            </w:r>
          </w:p>
        </w:tc>
        <w:tc>
          <w:tcPr>
            <w:tcW w:w="2052" w:type="dxa"/>
          </w:tcPr>
          <w:p w:rsidR="00883125" w:rsidRPr="00883125" w:rsidRDefault="00883125" w:rsidP="00164D25">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883125" w:rsidRPr="00883125" w:rsidRDefault="00883125" w:rsidP="00164D25">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0.40 to 0.47</w:t>
            </w:r>
          </w:p>
        </w:tc>
      </w:tr>
      <w:tr w:rsidR="00F10D53" w:rsidTr="0088312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F10D53" w:rsidRPr="000C3267" w:rsidRDefault="00F10D53" w:rsidP="00164D25">
            <w:pPr>
              <w:keepNext/>
            </w:pPr>
            <w:r w:rsidRPr="000C3267">
              <w:t>Equity ownership approach (Lally recommended distribution rate)</w:t>
            </w:r>
          </w:p>
        </w:tc>
        <w:tc>
          <w:tcPr>
            <w:tcW w:w="2052" w:type="dxa"/>
          </w:tcPr>
          <w:p w:rsidR="00F10D53" w:rsidRPr="000C3267" w:rsidRDefault="00F10D53" w:rsidP="00164D25">
            <w:pPr>
              <w:keepNext/>
              <w:cnfStyle w:val="000000010000" w:firstRow="0" w:lastRow="0" w:firstColumn="0" w:lastColumn="0" w:oddVBand="0" w:evenVBand="0" w:oddHBand="0" w:evenHBand="1" w:firstRowFirstColumn="0" w:firstRowLastColumn="0" w:lastRowFirstColumn="0" w:lastRowLastColumn="0"/>
            </w:pPr>
            <w:r w:rsidRPr="000C3267">
              <w:t>0.56 to 0.68</w:t>
            </w:r>
          </w:p>
        </w:tc>
        <w:tc>
          <w:tcPr>
            <w:tcW w:w="2052" w:type="dxa"/>
          </w:tcPr>
          <w:p w:rsidR="00F10D53" w:rsidRPr="000C3267" w:rsidRDefault="00F10D53" w:rsidP="00164D25">
            <w:pPr>
              <w:keepNext/>
              <w:cnfStyle w:val="000000010000" w:firstRow="0" w:lastRow="0" w:firstColumn="0" w:lastColumn="0" w:oddVBand="0" w:evenVBand="0" w:oddHBand="0" w:evenHBand="1" w:firstRowFirstColumn="0" w:firstRowLastColumn="0" w:lastRowFirstColumn="0" w:lastRowLastColumn="0"/>
            </w:pPr>
            <w:r w:rsidRPr="000C3267">
              <w:t>0.8</w:t>
            </w:r>
            <w:r w:rsidR="009F6E50" w:rsidRPr="000C3267">
              <w:t>3</w:t>
            </w:r>
          </w:p>
        </w:tc>
        <w:tc>
          <w:tcPr>
            <w:tcW w:w="2053" w:type="dxa"/>
          </w:tcPr>
          <w:p w:rsidR="00F10D53" w:rsidRPr="000C3267" w:rsidRDefault="00F10D53" w:rsidP="00164D25">
            <w:pPr>
              <w:keepNext/>
              <w:cnfStyle w:val="000000010000" w:firstRow="0" w:lastRow="0" w:firstColumn="0" w:lastColumn="0" w:oddVBand="0" w:evenVBand="0" w:oddHBand="0" w:evenHBand="1" w:firstRowFirstColumn="0" w:firstRowLastColumn="0" w:lastRowFirstColumn="0" w:lastRowLastColumn="0"/>
            </w:pPr>
            <w:r w:rsidRPr="000C3267">
              <w:t>0.4</w:t>
            </w:r>
            <w:r w:rsidR="009F6E50" w:rsidRPr="000C3267">
              <w:t>6</w:t>
            </w:r>
            <w:r w:rsidRPr="000C3267">
              <w:t xml:space="preserve"> to 0.5</w:t>
            </w:r>
            <w:r w:rsidR="009F6E50" w:rsidRPr="000C3267">
              <w:t>6</w:t>
            </w:r>
            <w:r w:rsidR="004B7D28">
              <w:rPr>
                <w:rStyle w:val="FootnoteReference"/>
              </w:rPr>
              <w:footnoteReference w:id="93"/>
            </w:r>
          </w:p>
        </w:tc>
      </w:tr>
      <w:tr w:rsidR="00883125" w:rsidTr="00883125">
        <w:trPr>
          <w:cantSplit/>
        </w:trPr>
        <w:tc>
          <w:tcPr>
            <w:cnfStyle w:val="001000000000" w:firstRow="0" w:lastRow="0" w:firstColumn="1" w:lastColumn="0" w:oddVBand="0" w:evenVBand="0" w:oddHBand="0" w:evenHBand="0" w:firstRowFirstColumn="0" w:firstRowLastColumn="0" w:lastRowFirstColumn="0" w:lastRowLastColumn="0"/>
            <w:tcW w:w="3085" w:type="dxa"/>
          </w:tcPr>
          <w:p w:rsidR="00883125" w:rsidRPr="00883125" w:rsidRDefault="00883125" w:rsidP="00164D25">
            <w:pPr>
              <w:keepNext/>
              <w:numPr>
                <w:ilvl w:val="0"/>
                <w:numId w:val="24"/>
              </w:numPr>
            </w:pPr>
            <w:r w:rsidRPr="00883125">
              <w:t>Tax statistics</w:t>
            </w:r>
          </w:p>
        </w:tc>
        <w:tc>
          <w:tcPr>
            <w:tcW w:w="2052" w:type="dxa"/>
          </w:tcPr>
          <w:p w:rsidR="00883125" w:rsidRPr="00883125" w:rsidRDefault="00883125" w:rsidP="00164D25">
            <w:pPr>
              <w:keepNext/>
              <w:cnfStyle w:val="000000000000" w:firstRow="0" w:lastRow="0" w:firstColumn="0" w:lastColumn="0" w:oddVBand="0" w:evenVBand="0" w:oddHBand="0" w:evenHBand="0" w:firstRowFirstColumn="0" w:firstRowLastColumn="0" w:lastRowFirstColumn="0" w:lastRowLastColumn="0"/>
            </w:pPr>
            <w:r w:rsidRPr="00883125">
              <w:t>0.48</w:t>
            </w:r>
          </w:p>
        </w:tc>
        <w:tc>
          <w:tcPr>
            <w:tcW w:w="2052" w:type="dxa"/>
          </w:tcPr>
          <w:p w:rsidR="00883125" w:rsidRPr="00883125" w:rsidRDefault="00883125" w:rsidP="00164D25">
            <w:pPr>
              <w:keepNext/>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883125" w:rsidRPr="00883125" w:rsidRDefault="00883125" w:rsidP="00164D25">
            <w:pPr>
              <w:keepNext/>
              <w:cnfStyle w:val="000000000000" w:firstRow="0" w:lastRow="0" w:firstColumn="0" w:lastColumn="0" w:oddVBand="0" w:evenVBand="0" w:oddHBand="0" w:evenHBand="0" w:firstRowFirstColumn="0" w:firstRowLastColumn="0" w:lastRowFirstColumn="0" w:lastRowLastColumn="0"/>
            </w:pPr>
            <w:r w:rsidRPr="00883125">
              <w:t>0.34</w:t>
            </w:r>
          </w:p>
        </w:tc>
      </w:tr>
      <w:tr w:rsidR="0067770B" w:rsidTr="0088312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67770B" w:rsidRPr="00883125" w:rsidRDefault="0067770B" w:rsidP="00164D25">
            <w:pPr>
              <w:keepNext/>
              <w:numPr>
                <w:ilvl w:val="0"/>
                <w:numId w:val="24"/>
              </w:numPr>
            </w:pPr>
            <w:r w:rsidRPr="00883125">
              <w:t>Tax statistics</w:t>
            </w:r>
            <w:r>
              <w:t xml:space="preserve"> (Lally recommended distribution rate)</w:t>
            </w:r>
          </w:p>
        </w:tc>
        <w:tc>
          <w:tcPr>
            <w:tcW w:w="2052" w:type="dxa"/>
          </w:tcPr>
          <w:p w:rsidR="0067770B" w:rsidRPr="00883125" w:rsidRDefault="0067770B" w:rsidP="00164D25">
            <w:pPr>
              <w:keepNext/>
              <w:cnfStyle w:val="000000010000" w:firstRow="0" w:lastRow="0" w:firstColumn="0" w:lastColumn="0" w:oddVBand="0" w:evenVBand="0" w:oddHBand="0" w:evenHBand="1" w:firstRowFirstColumn="0" w:firstRowLastColumn="0" w:lastRowFirstColumn="0" w:lastRowLastColumn="0"/>
            </w:pPr>
            <w:r w:rsidRPr="00883125">
              <w:t>0.48</w:t>
            </w:r>
          </w:p>
        </w:tc>
        <w:tc>
          <w:tcPr>
            <w:tcW w:w="2052" w:type="dxa"/>
          </w:tcPr>
          <w:p w:rsidR="0067770B" w:rsidRPr="00883125" w:rsidRDefault="0067770B" w:rsidP="00164D25">
            <w:pPr>
              <w:keepNext/>
              <w:cnfStyle w:val="000000010000" w:firstRow="0" w:lastRow="0" w:firstColumn="0" w:lastColumn="0" w:oddVBand="0" w:evenVBand="0" w:oddHBand="0" w:evenHBand="1" w:firstRowFirstColumn="0" w:firstRowLastColumn="0" w:lastRowFirstColumn="0" w:lastRowLastColumn="0"/>
            </w:pPr>
            <w:r>
              <w:t>0.83</w:t>
            </w:r>
          </w:p>
        </w:tc>
        <w:tc>
          <w:tcPr>
            <w:tcW w:w="2053" w:type="dxa"/>
          </w:tcPr>
          <w:p w:rsidR="0067770B" w:rsidRPr="00883125" w:rsidRDefault="0067770B" w:rsidP="00164D25">
            <w:pPr>
              <w:keepNext/>
              <w:cnfStyle w:val="000000010000" w:firstRow="0" w:lastRow="0" w:firstColumn="0" w:lastColumn="0" w:oddVBand="0" w:evenVBand="0" w:oddHBand="0" w:evenHBand="1" w:firstRowFirstColumn="0" w:firstRowLastColumn="0" w:lastRowFirstColumn="0" w:lastRowLastColumn="0"/>
            </w:pPr>
            <w:r>
              <w:t>0.40</w:t>
            </w:r>
          </w:p>
        </w:tc>
      </w:tr>
    </w:tbl>
    <w:p w:rsidR="00883125" w:rsidRPr="00883125" w:rsidRDefault="00883125" w:rsidP="00164D25">
      <w:pPr>
        <w:pStyle w:val="AERtablesource"/>
        <w:keepNext/>
      </w:pPr>
      <w:r w:rsidRPr="00883125">
        <w:t>Source:</w:t>
      </w:r>
      <w:r w:rsidRPr="00883125">
        <w:tab/>
        <w:t>AER analysis</w:t>
      </w:r>
      <w:r w:rsidR="00217DF9">
        <w:t xml:space="preserve">; </w:t>
      </w:r>
      <w:r w:rsidR="00217DF9" w:rsidRPr="00712BC2">
        <w:t xml:space="preserve">Lally, </w:t>
      </w:r>
      <w:r w:rsidR="00217DF9">
        <w:rPr>
          <w:rStyle w:val="AERtextitalic"/>
        </w:rPr>
        <w:t>Gamma and the ACT Decision</w:t>
      </w:r>
      <w:r w:rsidR="00217DF9">
        <w:t>, May 2016, p. 6</w:t>
      </w:r>
      <w:r w:rsidRPr="00883125">
        <w:t>.</w:t>
      </w:r>
      <w:bookmarkStart w:id="71" w:name="_Ref400900373"/>
    </w:p>
    <w:p w:rsidR="00883125" w:rsidRPr="00883125" w:rsidRDefault="00883125" w:rsidP="00883125">
      <w:pPr>
        <w:pStyle w:val="Caption"/>
      </w:pPr>
      <w:bookmarkStart w:id="72" w:name="_Ref404072148"/>
      <w:r w:rsidRPr="00883125">
        <w:t xml:space="preserve">Table </w:t>
      </w:r>
      <w:r w:rsidR="004B4BF3">
        <w:fldChar w:fldCharType="begin"/>
      </w:r>
      <w:r w:rsidR="004B4BF3">
        <w:instrText xml:space="preserve"> STYLEREF 1 \s </w:instrText>
      </w:r>
      <w:r w:rsidR="004B4BF3">
        <w:fldChar w:fldCharType="separate"/>
      </w:r>
      <w:r w:rsidR="00881794">
        <w:rPr>
          <w:noProof/>
        </w:rPr>
        <w:t>4</w:t>
      </w:r>
      <w:r w:rsidR="004B4BF3">
        <w:rPr>
          <w:noProof/>
        </w:rPr>
        <w:fldChar w:fldCharType="end"/>
      </w:r>
      <w:r w:rsidR="006E6D04">
        <w:noBreakHyphen/>
      </w:r>
      <w:r w:rsidR="004B4BF3">
        <w:fldChar w:fldCharType="begin"/>
      </w:r>
      <w:r w:rsidR="004B4BF3">
        <w:instrText xml:space="preserve"> SEQ Table \* ARABIC \s 1 </w:instrText>
      </w:r>
      <w:r w:rsidR="004B4BF3">
        <w:fldChar w:fldCharType="separate"/>
      </w:r>
      <w:r w:rsidR="00881794">
        <w:rPr>
          <w:noProof/>
        </w:rPr>
        <w:t>4</w:t>
      </w:r>
      <w:r w:rsidR="004B4BF3">
        <w:rPr>
          <w:noProof/>
        </w:rPr>
        <w:fldChar w:fldCharType="end"/>
      </w:r>
      <w:bookmarkEnd w:id="71"/>
      <w:bookmarkEnd w:id="72"/>
      <w:r w:rsidRPr="00883125">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883125" w:rsidTr="0088312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883125" w:rsidRPr="00883125" w:rsidRDefault="00883125" w:rsidP="0005260B">
            <w:pPr>
              <w:numPr>
                <w:ilvl w:val="0"/>
                <w:numId w:val="24"/>
              </w:numPr>
            </w:pPr>
            <w:r w:rsidRPr="00883125">
              <w:t xml:space="preserve">Evidence on utilisation </w:t>
            </w:r>
            <w:r w:rsidR="0005260B">
              <w:t>rate</w:t>
            </w:r>
          </w:p>
        </w:tc>
        <w:tc>
          <w:tcPr>
            <w:tcW w:w="2146" w:type="dxa"/>
          </w:tcPr>
          <w:p w:rsidR="00883125" w:rsidRPr="00883125" w:rsidRDefault="00883125" w:rsidP="0005260B">
            <w:pPr>
              <w:numPr>
                <w:ilvl w:val="0"/>
                <w:numId w:val="24"/>
              </w:numPr>
              <w:cnfStyle w:val="100000000000" w:firstRow="1" w:lastRow="0" w:firstColumn="0" w:lastColumn="0" w:oddVBand="0" w:evenVBand="0" w:oddHBand="0" w:evenHBand="0" w:firstRowFirstColumn="0" w:firstRowLastColumn="0" w:lastRowFirstColumn="0" w:lastRowLastColumn="0"/>
            </w:pPr>
            <w:r w:rsidRPr="00883125">
              <w:t xml:space="preserve">Utilisation </w:t>
            </w:r>
            <w:r w:rsidR="0005260B">
              <w:t>rate</w:t>
            </w:r>
          </w:p>
        </w:tc>
        <w:tc>
          <w:tcPr>
            <w:tcW w:w="2147" w:type="dxa"/>
          </w:tcPr>
          <w:p w:rsidR="00883125" w:rsidRPr="00883125" w:rsidRDefault="00883125" w:rsidP="00883125">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147" w:type="dxa"/>
          </w:tcPr>
          <w:p w:rsidR="00883125" w:rsidRPr="00883125" w:rsidRDefault="00883125" w:rsidP="00883125">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883125" w:rsidTr="00883125">
        <w:trPr>
          <w:cantSplit/>
        </w:trPr>
        <w:tc>
          <w:tcPr>
            <w:cnfStyle w:val="001000000000" w:firstRow="0" w:lastRow="0" w:firstColumn="1" w:lastColumn="0" w:oddVBand="0" w:evenVBand="0" w:oddHBand="0" w:evenHBand="0" w:firstRowFirstColumn="0" w:firstRowLastColumn="0" w:lastRowFirstColumn="0" w:lastRowLastColumn="0"/>
            <w:tcW w:w="2802" w:type="dxa"/>
          </w:tcPr>
          <w:p w:rsidR="00883125" w:rsidRPr="00883125" w:rsidRDefault="00883125" w:rsidP="00883125">
            <w:pPr>
              <w:numPr>
                <w:ilvl w:val="0"/>
                <w:numId w:val="24"/>
              </w:numPr>
            </w:pPr>
            <w:r w:rsidRPr="00883125">
              <w:t>Equity ownership approach</w:t>
            </w:r>
          </w:p>
        </w:tc>
        <w:tc>
          <w:tcPr>
            <w:tcW w:w="2146" w:type="dxa"/>
          </w:tcPr>
          <w:p w:rsidR="00883125" w:rsidRPr="00883125" w:rsidRDefault="00883125" w:rsidP="0088312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0.38 to 0.55</w:t>
            </w:r>
          </w:p>
        </w:tc>
        <w:tc>
          <w:tcPr>
            <w:tcW w:w="2147" w:type="dxa"/>
          </w:tcPr>
          <w:p w:rsidR="00883125" w:rsidRPr="00883125" w:rsidRDefault="00883125" w:rsidP="00883125">
            <w:pPr>
              <w:cnfStyle w:val="000000000000" w:firstRow="0" w:lastRow="0" w:firstColumn="0" w:lastColumn="0" w:oddVBand="0" w:evenVBand="0" w:oddHBand="0" w:evenHBand="0" w:firstRowFirstColumn="0" w:firstRowLastColumn="0" w:lastRowFirstColumn="0" w:lastRowLastColumn="0"/>
            </w:pPr>
            <w:r w:rsidRPr="00883125">
              <w:t>0.75</w:t>
            </w:r>
          </w:p>
        </w:tc>
        <w:tc>
          <w:tcPr>
            <w:tcW w:w="2147" w:type="dxa"/>
          </w:tcPr>
          <w:p w:rsidR="00883125" w:rsidRPr="00883125" w:rsidRDefault="00883125" w:rsidP="0088312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0.28 to 0.41</w:t>
            </w:r>
            <w:r w:rsidR="00FF3191">
              <w:rPr>
                <w:rStyle w:val="AERsuperscript"/>
              </w:rPr>
              <w:t xml:space="preserve"> (a</w:t>
            </w:r>
            <w:r w:rsidR="00FF3191" w:rsidRPr="00883125">
              <w:rPr>
                <w:rStyle w:val="AERsuperscript"/>
              </w:rPr>
              <w:t>)</w:t>
            </w:r>
          </w:p>
        </w:tc>
      </w:tr>
      <w:tr w:rsidR="00883125" w:rsidTr="0088312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883125" w:rsidRPr="00883125" w:rsidRDefault="00883125" w:rsidP="00883125">
            <w:r w:rsidRPr="00883125">
              <w:t>Implied market value studies</w:t>
            </w:r>
          </w:p>
          <w:p w:rsidR="00883125" w:rsidRPr="00883125" w:rsidRDefault="00883125" w:rsidP="00883125">
            <w:pPr>
              <w:rPr>
                <w:rStyle w:val="AERtextitalic"/>
              </w:rPr>
            </w:pPr>
            <w:r w:rsidRPr="00883125">
              <w:rPr>
                <w:rStyle w:val="AERtextitalic"/>
              </w:rPr>
              <w:t>SFG dividend drop off study</w:t>
            </w:r>
          </w:p>
        </w:tc>
        <w:tc>
          <w:tcPr>
            <w:tcW w:w="2146" w:type="dxa"/>
            <w:vAlign w:val="top"/>
          </w:tcPr>
          <w:p w:rsidR="00883125" w:rsidRPr="00883125" w:rsidRDefault="00883125" w:rsidP="00883125">
            <w:pPr>
              <w:cnfStyle w:val="000000010000" w:firstRow="0" w:lastRow="0" w:firstColumn="0" w:lastColumn="0" w:oddVBand="0" w:evenVBand="0" w:oddHBand="0" w:evenHBand="1" w:firstRowFirstColumn="0" w:firstRowLastColumn="0" w:lastRowFirstColumn="0" w:lastRowLastColumn="0"/>
            </w:pPr>
            <w:r w:rsidRPr="00883125">
              <w:t>0 to 1</w:t>
            </w:r>
          </w:p>
          <w:p w:rsidR="00883125" w:rsidRPr="00883125" w:rsidRDefault="00883125" w:rsidP="00883125">
            <w:pPr>
              <w:cnfStyle w:val="000000010000" w:firstRow="0" w:lastRow="0" w:firstColumn="0" w:lastColumn="0" w:oddVBand="0" w:evenVBand="0" w:oddHBand="0" w:evenHBand="1" w:firstRowFirstColumn="0" w:firstRowLastColumn="0" w:lastRowFirstColumn="0" w:lastRowLastColumn="0"/>
            </w:pPr>
            <w:r w:rsidRPr="00883125">
              <w:rPr>
                <w:rStyle w:val="AERtextitalic"/>
              </w:rPr>
              <w:t>0.35 (0.4)</w:t>
            </w:r>
            <w:r w:rsidRPr="00883125">
              <w:rPr>
                <w:rStyle w:val="AERsuperscript"/>
              </w:rPr>
              <w:t>(a)</w:t>
            </w:r>
          </w:p>
        </w:tc>
        <w:tc>
          <w:tcPr>
            <w:tcW w:w="2147" w:type="dxa"/>
            <w:vAlign w:val="top"/>
          </w:tcPr>
          <w:p w:rsidR="00883125" w:rsidRPr="00883125" w:rsidRDefault="00883125" w:rsidP="00883125">
            <w:pPr>
              <w:cnfStyle w:val="000000010000" w:firstRow="0" w:lastRow="0" w:firstColumn="0" w:lastColumn="0" w:oddVBand="0" w:evenVBand="0" w:oddHBand="0" w:evenHBand="1" w:firstRowFirstColumn="0" w:firstRowLastColumn="0" w:lastRowFirstColumn="0" w:lastRowLastColumn="0"/>
            </w:pPr>
            <w:r w:rsidRPr="00883125">
              <w:t>0.75</w:t>
            </w:r>
          </w:p>
        </w:tc>
        <w:tc>
          <w:tcPr>
            <w:tcW w:w="2147" w:type="dxa"/>
            <w:vAlign w:val="top"/>
          </w:tcPr>
          <w:p w:rsidR="00883125" w:rsidRPr="00883125" w:rsidRDefault="00883125" w:rsidP="00883125">
            <w:pPr>
              <w:cnfStyle w:val="000000010000" w:firstRow="0" w:lastRow="0" w:firstColumn="0" w:lastColumn="0" w:oddVBand="0" w:evenVBand="0" w:oddHBand="0" w:evenHBand="1" w:firstRowFirstColumn="0" w:firstRowLastColumn="0" w:lastRowFirstColumn="0" w:lastRowLastColumn="0"/>
            </w:pPr>
            <w:r w:rsidRPr="00883125">
              <w:t>0 to 0.75</w:t>
            </w:r>
          </w:p>
          <w:p w:rsidR="00883125" w:rsidRPr="00883125" w:rsidRDefault="00883125" w:rsidP="00883125">
            <w:pPr>
              <w:cnfStyle w:val="000000010000" w:firstRow="0" w:lastRow="0" w:firstColumn="0" w:lastColumn="0" w:oddVBand="0" w:evenVBand="0" w:oddHBand="0" w:evenHBand="1" w:firstRowFirstColumn="0" w:firstRowLastColumn="0" w:lastRowFirstColumn="0" w:lastRowLastColumn="0"/>
            </w:pPr>
            <w:r w:rsidRPr="00883125">
              <w:rPr>
                <w:rStyle w:val="AERtextitalic"/>
              </w:rPr>
              <w:t>0.26 (0.30)</w:t>
            </w:r>
            <w:r w:rsidRPr="00883125">
              <w:rPr>
                <w:rStyle w:val="AERsuperscript"/>
              </w:rPr>
              <w:t>(</w:t>
            </w:r>
            <w:r w:rsidR="00F10D53">
              <w:rPr>
                <w:rStyle w:val="AERsuperscript"/>
              </w:rPr>
              <w:t>b</w:t>
            </w:r>
            <w:r w:rsidRPr="00883125">
              <w:rPr>
                <w:rStyle w:val="AERsuperscript"/>
              </w:rPr>
              <w:t>)</w:t>
            </w:r>
          </w:p>
        </w:tc>
      </w:tr>
    </w:tbl>
    <w:p w:rsidR="00883125" w:rsidRPr="00883125" w:rsidRDefault="00883125" w:rsidP="00883125">
      <w:pPr>
        <w:pStyle w:val="AERtablesource"/>
      </w:pPr>
      <w:r w:rsidRPr="00883125">
        <w:t>Source:</w:t>
      </w:r>
      <w:r w:rsidRPr="00883125">
        <w:tab/>
        <w:t>AER analysis.</w:t>
      </w:r>
    </w:p>
    <w:p w:rsidR="00F10D53" w:rsidRDefault="00F10D53" w:rsidP="00883125">
      <w:pPr>
        <w:pStyle w:val="AERtablesource"/>
      </w:pPr>
      <w:r>
        <w:t>(a)</w:t>
      </w:r>
      <w:r>
        <w:tab/>
        <w:t xml:space="preserve">We note Lally recommends the utilisation </w:t>
      </w:r>
      <w:r w:rsidR="0005260B">
        <w:t xml:space="preserve">rate </w:t>
      </w:r>
      <w:r>
        <w:t xml:space="preserve">from all equity over the utilisation </w:t>
      </w:r>
      <w:r w:rsidR="0005260B">
        <w:t xml:space="preserve">rate </w:t>
      </w:r>
      <w:r>
        <w:t>from listed equity.</w:t>
      </w:r>
      <w:r w:rsidR="00FF3191">
        <w:t xml:space="preserve"> However, if his preferred distribution rate was paired with the utilisation </w:t>
      </w:r>
      <w:r w:rsidR="0005260B">
        <w:t xml:space="preserve">rate </w:t>
      </w:r>
      <w:r w:rsidR="00FF3191">
        <w:t>for listed equity it would give a range for the value of imputation credits of 0.31 to 0.46.</w:t>
      </w:r>
    </w:p>
    <w:p w:rsidR="00883125" w:rsidRPr="00883125" w:rsidRDefault="00883125" w:rsidP="00883125">
      <w:pPr>
        <w:pStyle w:val="AERtablesource"/>
      </w:pPr>
      <w:r w:rsidRPr="00883125">
        <w:t>(</w:t>
      </w:r>
      <w:r w:rsidR="00F10D53">
        <w:t>b</w:t>
      </w:r>
      <w:r w:rsidRPr="00883125">
        <w:t>):</w:t>
      </w:r>
      <w:r w:rsidRPr="00883125">
        <w:tab/>
        <w:t xml:space="preserve">Following the adjustment proposed by Handley and Lally. This adjustment is discussed further in section </w:t>
      </w:r>
      <w:r w:rsidR="006D4B92">
        <w:fldChar w:fldCharType="begin"/>
      </w:r>
      <w:r w:rsidR="006D4B92">
        <w:instrText xml:space="preserve"> REF _Ref415065117 \r \h </w:instrText>
      </w:r>
      <w:r w:rsidR="006D4B92">
        <w:fldChar w:fldCharType="separate"/>
      </w:r>
      <w:r w:rsidR="00881794">
        <w:t>A.15.4</w:t>
      </w:r>
      <w:r w:rsidR="006D4B92">
        <w:fldChar w:fldCharType="end"/>
      </w:r>
      <w:r w:rsidRPr="00883125">
        <w:t xml:space="preserve">. </w:t>
      </w:r>
    </w:p>
    <w:p w:rsidR="000467B0" w:rsidRPr="005764F6" w:rsidRDefault="00883125" w:rsidP="006D590A">
      <w:pPr>
        <w:rPr>
          <w:rStyle w:val="AERbody"/>
        </w:rPr>
      </w:pPr>
      <w:r w:rsidRPr="005764F6">
        <w:rPr>
          <w:rStyle w:val="AERbody"/>
        </w:rPr>
        <w:t>Overall, the evidence suggests that a reasonable estimate of the value of imputation credits is within the range 0.3 to 0.</w:t>
      </w:r>
      <w:r w:rsidR="00824032" w:rsidRPr="005764F6">
        <w:rPr>
          <w:rStyle w:val="AERbody"/>
        </w:rPr>
        <w:t>5</w:t>
      </w:r>
      <w:r w:rsidRPr="005764F6">
        <w:rPr>
          <w:rStyle w:val="AERbody"/>
        </w:rPr>
        <w:t>.</w:t>
      </w:r>
      <w:r w:rsidRPr="006D590A">
        <w:rPr>
          <w:rStyle w:val="FootnoteReference"/>
        </w:rPr>
        <w:footnoteReference w:id="94"/>
      </w:r>
      <w:r w:rsidRPr="005764F6">
        <w:rPr>
          <w:rStyle w:val="AERbody"/>
        </w:rPr>
        <w:t xml:space="preserve"> From within th</w:t>
      </w:r>
      <w:r w:rsidR="00824032" w:rsidRPr="005764F6">
        <w:rPr>
          <w:rStyle w:val="AERbody"/>
        </w:rPr>
        <w:t>ese possible</w:t>
      </w:r>
      <w:r w:rsidRPr="005764F6">
        <w:rPr>
          <w:rStyle w:val="AERbody"/>
        </w:rPr>
        <w:t xml:space="preserve"> range</w:t>
      </w:r>
      <w:r w:rsidR="00824032" w:rsidRPr="005764F6">
        <w:rPr>
          <w:rStyle w:val="AERbody"/>
        </w:rPr>
        <w:t>s</w:t>
      </w:r>
      <w:r w:rsidRPr="005764F6">
        <w:rPr>
          <w:rStyle w:val="AERbody"/>
        </w:rPr>
        <w:t xml:space="preserve">, we choose a value </w:t>
      </w:r>
      <w:r w:rsidR="00E733CD" w:rsidRPr="005764F6">
        <w:rPr>
          <w:rStyle w:val="AERbody"/>
        </w:rPr>
        <w:t xml:space="preserve">for gamma </w:t>
      </w:r>
      <w:r w:rsidRPr="005764F6">
        <w:rPr>
          <w:rStyle w:val="AERbody"/>
        </w:rPr>
        <w:t>of 0.4</w:t>
      </w:r>
      <w:r w:rsidR="006A014A" w:rsidRPr="005764F6">
        <w:rPr>
          <w:rStyle w:val="AERbody"/>
        </w:rPr>
        <w:t xml:space="preserve"> based on the following considerations</w:t>
      </w:r>
      <w:r w:rsidR="000467B0" w:rsidRPr="005764F6">
        <w:rPr>
          <w:rStyle w:val="AERbody"/>
        </w:rPr>
        <w:t>:</w:t>
      </w:r>
      <w:r w:rsidRPr="005764F6">
        <w:rPr>
          <w:rStyle w:val="AERbody"/>
        </w:rPr>
        <w:t xml:space="preserve"> </w:t>
      </w:r>
    </w:p>
    <w:p w:rsidR="003D0879" w:rsidRPr="005764F6" w:rsidRDefault="006A014A">
      <w:pPr>
        <w:pStyle w:val="AERbulletlistfirststyle"/>
      </w:pPr>
      <w:r w:rsidRPr="005764F6">
        <w:t>T</w:t>
      </w:r>
      <w:r w:rsidR="00883125" w:rsidRPr="005764F6">
        <w:t xml:space="preserve">he equity ownership approach, on which we place the most reliance, suggests a value between </w:t>
      </w:r>
      <w:r w:rsidR="00D621F1" w:rsidRPr="005764F6">
        <w:t>0.28 to 0.47</w:t>
      </w:r>
      <w:r w:rsidR="003D0879" w:rsidRPr="005764F6">
        <w:t xml:space="preserve"> using </w:t>
      </w:r>
      <w:r w:rsidR="00042F1D" w:rsidRPr="005764F6">
        <w:t>'</w:t>
      </w:r>
      <w:r w:rsidR="003D0879" w:rsidRPr="005764F6">
        <w:t>matched</w:t>
      </w:r>
      <w:r w:rsidR="00042F1D" w:rsidRPr="005764F6">
        <w:t>'</w:t>
      </w:r>
      <w:r w:rsidR="003D0879" w:rsidRPr="005764F6">
        <w:t xml:space="preserve"> distribution </w:t>
      </w:r>
      <w:r w:rsidR="00DB1D7A" w:rsidRPr="005764F6">
        <w:t xml:space="preserve">and utilisation </w:t>
      </w:r>
      <w:r w:rsidR="003D0879" w:rsidRPr="005764F6">
        <w:t>rates for all equity and for all listed equity</w:t>
      </w:r>
      <w:r w:rsidR="00DB1D7A" w:rsidRPr="005764F6">
        <w:t>, respectively</w:t>
      </w:r>
      <w:r w:rsidR="00D621F1" w:rsidRPr="005764F6">
        <w:t xml:space="preserve">. This is based on a range of </w:t>
      </w:r>
      <w:r w:rsidR="00883125" w:rsidRPr="005764F6">
        <w:t xml:space="preserve">0.40 and 0.47 when applied to all equity and 0.28 and 0.41 when applied to only </w:t>
      </w:r>
      <w:r w:rsidR="003D0879" w:rsidRPr="005764F6">
        <w:t xml:space="preserve">all </w:t>
      </w:r>
      <w:r w:rsidR="00883125" w:rsidRPr="005764F6">
        <w:t xml:space="preserve">listed equity. </w:t>
      </w:r>
      <w:r w:rsidR="00D621F1" w:rsidRPr="005764F6">
        <w:t>T</w:t>
      </w:r>
      <w:r w:rsidR="00883125" w:rsidRPr="005764F6">
        <w:t xml:space="preserve">he overlap of the different evidence from the equity ownership approach </w:t>
      </w:r>
      <w:r w:rsidR="008F1A52" w:rsidRPr="005764F6">
        <w:t xml:space="preserve">using these </w:t>
      </w:r>
      <w:r w:rsidR="00042F1D" w:rsidRPr="005764F6">
        <w:t>'</w:t>
      </w:r>
      <w:r w:rsidR="00FF3191" w:rsidRPr="005764F6">
        <w:t>matched</w:t>
      </w:r>
      <w:r w:rsidR="00042F1D" w:rsidRPr="005764F6">
        <w:t>'</w:t>
      </w:r>
      <w:r w:rsidR="00FF3191" w:rsidRPr="005764F6">
        <w:t xml:space="preserve"> </w:t>
      </w:r>
      <w:r w:rsidR="008F1A52" w:rsidRPr="005764F6">
        <w:t xml:space="preserve">distribution </w:t>
      </w:r>
      <w:r w:rsidR="00DB1D7A" w:rsidRPr="005764F6">
        <w:t xml:space="preserve">and utilisation </w:t>
      </w:r>
      <w:r w:rsidR="008F1A52" w:rsidRPr="005764F6">
        <w:t xml:space="preserve">rates </w:t>
      </w:r>
      <w:r w:rsidR="00883125" w:rsidRPr="005764F6">
        <w:t>suggests a value between 0.40 and 0.41.</w:t>
      </w:r>
      <w:r w:rsidR="003548D4" w:rsidRPr="005764F6">
        <w:t xml:space="preserve"> We also have regard to </w:t>
      </w:r>
      <w:r w:rsidR="003D0879" w:rsidRPr="005764F6">
        <w:t>Lally</w:t>
      </w:r>
      <w:r w:rsidR="003548D4" w:rsidRPr="005764F6">
        <w:t>'s</w:t>
      </w:r>
      <w:r w:rsidR="003D0879" w:rsidRPr="005764F6">
        <w:t xml:space="preserve"> </w:t>
      </w:r>
      <w:r w:rsidR="003548D4" w:rsidRPr="005764F6">
        <w:t>recommended approach</w:t>
      </w:r>
      <w:r w:rsidR="008F1A52" w:rsidRPr="005764F6">
        <w:t>, which combines the use of an</w:t>
      </w:r>
      <w:r w:rsidR="003D0879" w:rsidRPr="005764F6">
        <w:t xml:space="preserve"> all equity utilisation rate</w:t>
      </w:r>
      <w:r w:rsidR="003548D4" w:rsidRPr="005764F6">
        <w:t xml:space="preserve"> </w:t>
      </w:r>
      <w:r w:rsidR="003548D4" w:rsidRPr="005764F6">
        <w:lastRenderedPageBreak/>
        <w:t>from the equity ownership approach</w:t>
      </w:r>
      <w:r w:rsidR="003D0879" w:rsidRPr="005764F6">
        <w:t xml:space="preserve"> with </w:t>
      </w:r>
      <w:r w:rsidR="008F1A52" w:rsidRPr="005764F6">
        <w:t>a</w:t>
      </w:r>
      <w:r w:rsidR="003D0879" w:rsidRPr="005764F6">
        <w:t xml:space="preserve"> distribution rate </w:t>
      </w:r>
      <w:r w:rsidR="00D7600C" w:rsidRPr="005764F6">
        <w:t xml:space="preserve">for listed equity </w:t>
      </w:r>
      <w:r w:rsidR="003D0879" w:rsidRPr="005764F6">
        <w:t xml:space="preserve">from </w:t>
      </w:r>
      <w:r w:rsidR="003548D4" w:rsidRPr="005764F6">
        <w:t xml:space="preserve">financial reports of the </w:t>
      </w:r>
      <w:r w:rsidR="003D0879" w:rsidRPr="005764F6">
        <w:t xml:space="preserve">top 20 </w:t>
      </w:r>
      <w:r w:rsidR="00E733CD" w:rsidRPr="005764F6">
        <w:t xml:space="preserve">listed </w:t>
      </w:r>
      <w:r w:rsidR="00223829">
        <w:t>firms.</w:t>
      </w:r>
    </w:p>
    <w:p w:rsidR="006A014A" w:rsidRPr="005764F6" w:rsidRDefault="006A014A">
      <w:pPr>
        <w:pStyle w:val="AERbulletlistfirststyle"/>
      </w:pPr>
      <w:r w:rsidRPr="005764F6">
        <w:t>T</w:t>
      </w:r>
      <w:r w:rsidR="00D621F1" w:rsidRPr="005764F6">
        <w:t>he evidence from tax statistics, on which we place less reliance, suggests a value around 0.34</w:t>
      </w:r>
      <w:r w:rsidR="0067770B" w:rsidRPr="005764F6">
        <w:t xml:space="preserve"> based on a utilisation rate of 0.48 and </w:t>
      </w:r>
      <w:r w:rsidR="0003628F" w:rsidRPr="005764F6">
        <w:t xml:space="preserve">an economy wide </w:t>
      </w:r>
      <w:r w:rsidR="0067770B" w:rsidRPr="005764F6">
        <w:t xml:space="preserve">distribution rate of 0.70. This is within the equity ownership approach range of 0.28 to 0.47 </w:t>
      </w:r>
      <w:r w:rsidR="0003628F" w:rsidRPr="005764F6">
        <w:t xml:space="preserve">using </w:t>
      </w:r>
      <w:r w:rsidR="00042F1D" w:rsidRPr="005764F6">
        <w:t>'</w:t>
      </w:r>
      <w:r w:rsidR="0003628F" w:rsidRPr="005764F6">
        <w:t>matched</w:t>
      </w:r>
      <w:r w:rsidR="00042F1D" w:rsidRPr="005764F6">
        <w:t>'</w:t>
      </w:r>
      <w:r w:rsidR="0003628F" w:rsidRPr="005764F6">
        <w:t xml:space="preserve"> data </w:t>
      </w:r>
      <w:r w:rsidR="0067770B" w:rsidRPr="005764F6">
        <w:t xml:space="preserve">and below the overlap </w:t>
      </w:r>
      <w:r w:rsidR="0003628F" w:rsidRPr="005764F6">
        <w:t xml:space="preserve">of estimates from listed and all equity </w:t>
      </w:r>
      <w:r w:rsidR="0067770B" w:rsidRPr="005764F6">
        <w:t xml:space="preserve">of 0.40 to 0.41. The taxation data </w:t>
      </w:r>
      <w:r w:rsidR="000C3267" w:rsidRPr="005764F6">
        <w:t xml:space="preserve">also </w:t>
      </w:r>
      <w:r w:rsidR="0067770B" w:rsidRPr="005764F6">
        <w:t xml:space="preserve">suggests a value around 0.40 based on a utilisation rate of 0.48 and Lally's preferred distribution rate </w:t>
      </w:r>
      <w:r w:rsidR="0003628F" w:rsidRPr="005764F6">
        <w:t xml:space="preserve">for </w:t>
      </w:r>
      <w:r w:rsidR="003548D4" w:rsidRPr="005764F6">
        <w:t>a</w:t>
      </w:r>
      <w:r w:rsidR="0003628F" w:rsidRPr="005764F6">
        <w:t xml:space="preserve"> benchmark efficient entity </w:t>
      </w:r>
      <w:r w:rsidR="0067770B" w:rsidRPr="005764F6">
        <w:t>of 0.83</w:t>
      </w:r>
      <w:r w:rsidRPr="005764F6">
        <w:t>.</w:t>
      </w:r>
    </w:p>
    <w:p w:rsidR="00883125" w:rsidRPr="005764F6" w:rsidRDefault="006A014A">
      <w:pPr>
        <w:pStyle w:val="AERbulletlistfirststyle"/>
      </w:pPr>
      <w:r w:rsidRPr="005764F6">
        <w:t>The evidence from implied market value studies, on which we place even less reliance, suggests a value between 0 and 0.75. In particular, SFG's dividend drop off study</w:t>
      </w:r>
      <w:r w:rsidRPr="005764F6" w:rsidDel="000467B0">
        <w:t xml:space="preserve"> </w:t>
      </w:r>
      <w:r w:rsidRPr="005764F6">
        <w:t xml:space="preserve">suggests a value of 0.26 or 0.30. This is around the bottom end of the </w:t>
      </w:r>
      <w:r w:rsidR="00042F1D" w:rsidRPr="005764F6">
        <w:t>'</w:t>
      </w:r>
      <w:r w:rsidR="005F631C" w:rsidRPr="005764F6">
        <w:t>matched</w:t>
      </w:r>
      <w:r w:rsidR="00042F1D" w:rsidRPr="005764F6">
        <w:t>'</w:t>
      </w:r>
      <w:r w:rsidR="005F631C" w:rsidRPr="005764F6">
        <w:t xml:space="preserve"> </w:t>
      </w:r>
      <w:r w:rsidRPr="005764F6">
        <w:t>equity ownership approach range of 0.28 to 0.47</w:t>
      </w:r>
      <w:r w:rsidR="008F1A52" w:rsidRPr="005764F6">
        <w:t>,</w:t>
      </w:r>
      <w:r w:rsidRPr="005764F6">
        <w:t xml:space="preserve"> below the overlap of 0.40 to 0.41</w:t>
      </w:r>
      <w:r w:rsidR="008F1A52" w:rsidRPr="005764F6">
        <w:t xml:space="preserve">, and well below </w:t>
      </w:r>
      <w:r w:rsidR="00E26FEB">
        <w:t>Lally's recommended gamma estimate of at least 0.5</w:t>
      </w:r>
      <w:r w:rsidRPr="005764F6">
        <w:t>.</w:t>
      </w:r>
      <w:r w:rsidR="009409B4" w:rsidRPr="005764F6">
        <w:t xml:space="preserve"> </w:t>
      </w:r>
      <w:r w:rsidR="005F631C" w:rsidRPr="005764F6">
        <w:t>E</w:t>
      </w:r>
      <w:r w:rsidR="009409B4" w:rsidRPr="005764F6">
        <w:t>vidence from implied market value studies more generally suggests the value could be higher than 0.</w:t>
      </w:r>
      <w:r w:rsidR="008F1A52" w:rsidRPr="005764F6">
        <w:t>5</w:t>
      </w:r>
      <w:r w:rsidR="009409B4" w:rsidRPr="005764F6">
        <w:t xml:space="preserve"> or lower than 0.28.</w:t>
      </w:r>
    </w:p>
    <w:p w:rsidR="00403438" w:rsidRPr="005764F6" w:rsidRDefault="009409B4" w:rsidP="00E82D06">
      <w:pPr>
        <w:rPr>
          <w:rStyle w:val="AERbody"/>
        </w:rPr>
      </w:pPr>
      <w:r w:rsidRPr="005764F6">
        <w:rPr>
          <w:rStyle w:val="AERbody"/>
        </w:rPr>
        <w:t xml:space="preserve">On balance, we </w:t>
      </w:r>
      <w:r w:rsidR="008A0D60" w:rsidRPr="005764F6">
        <w:rPr>
          <w:rStyle w:val="AERbody"/>
        </w:rPr>
        <w:t xml:space="preserve">have considered it appropriate to continue to apply a value </w:t>
      </w:r>
      <w:r w:rsidR="00CD2391" w:rsidRPr="005764F6">
        <w:rPr>
          <w:rStyle w:val="AERbody"/>
        </w:rPr>
        <w:t>of imputation credits</w:t>
      </w:r>
      <w:r w:rsidR="008A0D60" w:rsidRPr="005764F6">
        <w:rPr>
          <w:rStyle w:val="AERbody"/>
        </w:rPr>
        <w:t xml:space="preserve"> of 0.4</w:t>
      </w:r>
      <w:r w:rsidR="00FF3191" w:rsidRPr="005764F6">
        <w:rPr>
          <w:rStyle w:val="AERbody"/>
        </w:rPr>
        <w:t xml:space="preserve"> in this final decision</w:t>
      </w:r>
      <w:r w:rsidR="008A0D60" w:rsidRPr="005764F6">
        <w:rPr>
          <w:rStyle w:val="AERbody"/>
        </w:rPr>
        <w:t xml:space="preserve">. </w:t>
      </w:r>
      <w:r w:rsidR="00824032" w:rsidRPr="005764F6">
        <w:rPr>
          <w:rStyle w:val="AERbody"/>
        </w:rPr>
        <w:t xml:space="preserve">We note this </w:t>
      </w:r>
      <w:r w:rsidR="00403438" w:rsidRPr="005764F6">
        <w:rPr>
          <w:rStyle w:val="AERbody"/>
        </w:rPr>
        <w:t xml:space="preserve">is </w:t>
      </w:r>
      <w:r w:rsidR="0003628F" w:rsidRPr="005764F6">
        <w:rPr>
          <w:rStyle w:val="AERbody"/>
        </w:rPr>
        <w:t>within</w:t>
      </w:r>
      <w:r w:rsidR="00824032" w:rsidRPr="005764F6">
        <w:rPr>
          <w:rStyle w:val="AERbody"/>
        </w:rPr>
        <w:t xml:space="preserve"> the range of the overlap if </w:t>
      </w:r>
      <w:r w:rsidR="00042F1D" w:rsidRPr="005764F6">
        <w:rPr>
          <w:rStyle w:val="AERbody"/>
        </w:rPr>
        <w:t>'</w:t>
      </w:r>
      <w:r w:rsidR="00F5084C" w:rsidRPr="005764F6">
        <w:rPr>
          <w:rStyle w:val="AERbody"/>
        </w:rPr>
        <w:t>matched</w:t>
      </w:r>
      <w:r w:rsidR="00042F1D" w:rsidRPr="005764F6">
        <w:rPr>
          <w:rStyle w:val="AERbody"/>
        </w:rPr>
        <w:t>'</w:t>
      </w:r>
      <w:r w:rsidR="00F5084C" w:rsidRPr="005764F6">
        <w:rPr>
          <w:rStyle w:val="AERbody"/>
        </w:rPr>
        <w:t xml:space="preserve"> </w:t>
      </w:r>
      <w:r w:rsidR="00824032" w:rsidRPr="005764F6">
        <w:rPr>
          <w:rStyle w:val="AERbody"/>
        </w:rPr>
        <w:t>utilisation rate</w:t>
      </w:r>
      <w:r w:rsidR="00F5084C" w:rsidRPr="005764F6">
        <w:rPr>
          <w:rStyle w:val="AERbody"/>
        </w:rPr>
        <w:t>s</w:t>
      </w:r>
      <w:r w:rsidR="00824032" w:rsidRPr="005764F6">
        <w:rPr>
          <w:rStyle w:val="AERbody"/>
        </w:rPr>
        <w:t xml:space="preserve"> and distribution rate</w:t>
      </w:r>
      <w:r w:rsidR="00F5084C" w:rsidRPr="005764F6">
        <w:rPr>
          <w:rStyle w:val="AERbody"/>
        </w:rPr>
        <w:t>s</w:t>
      </w:r>
      <w:r w:rsidR="00824032" w:rsidRPr="005764F6">
        <w:rPr>
          <w:rStyle w:val="AERbody"/>
        </w:rPr>
        <w:t xml:space="preserve"> </w:t>
      </w:r>
      <w:r w:rsidR="00F5084C" w:rsidRPr="005764F6">
        <w:rPr>
          <w:rStyle w:val="AERbody"/>
        </w:rPr>
        <w:t>for all equity and all listed equity are used</w:t>
      </w:r>
      <w:r w:rsidR="00824032" w:rsidRPr="005764F6">
        <w:rPr>
          <w:rStyle w:val="AERbody"/>
        </w:rPr>
        <w:t xml:space="preserve"> </w:t>
      </w:r>
      <w:r w:rsidR="00403438" w:rsidRPr="005764F6">
        <w:rPr>
          <w:rStyle w:val="AERbody"/>
        </w:rPr>
        <w:t>(0.4</w:t>
      </w:r>
      <w:r w:rsidR="003548D4" w:rsidRPr="005764F6">
        <w:rPr>
          <w:rStyle w:val="AERbody"/>
        </w:rPr>
        <w:t>0</w:t>
      </w:r>
      <w:r w:rsidR="00403438" w:rsidRPr="005764F6">
        <w:rPr>
          <w:rStyle w:val="AERbody"/>
        </w:rPr>
        <w:t xml:space="preserve"> to 0.41)</w:t>
      </w:r>
      <w:r w:rsidR="00F5084C" w:rsidRPr="005764F6">
        <w:rPr>
          <w:rStyle w:val="AERbody"/>
        </w:rPr>
        <w:t>. This is</w:t>
      </w:r>
      <w:r w:rsidR="00403438" w:rsidRPr="005764F6">
        <w:rPr>
          <w:rStyle w:val="AERbody"/>
        </w:rPr>
        <w:t xml:space="preserve"> also </w:t>
      </w:r>
      <w:r w:rsidR="00824032" w:rsidRPr="005764F6">
        <w:rPr>
          <w:rStyle w:val="AERbody"/>
        </w:rPr>
        <w:t xml:space="preserve">at the </w:t>
      </w:r>
      <w:r w:rsidR="00403438" w:rsidRPr="005764F6">
        <w:rPr>
          <w:rStyle w:val="AERbody"/>
        </w:rPr>
        <w:t xml:space="preserve">bottom </w:t>
      </w:r>
      <w:r w:rsidR="00824032" w:rsidRPr="005764F6">
        <w:rPr>
          <w:rStyle w:val="AERbody"/>
        </w:rPr>
        <w:t>of the range for the paired value</w:t>
      </w:r>
      <w:r w:rsidR="00403438" w:rsidRPr="005764F6">
        <w:rPr>
          <w:rStyle w:val="AERbody"/>
        </w:rPr>
        <w:t>s</w:t>
      </w:r>
      <w:r w:rsidR="00824032" w:rsidRPr="005764F6">
        <w:rPr>
          <w:rStyle w:val="AERbody"/>
        </w:rPr>
        <w:t xml:space="preserve"> from all equity</w:t>
      </w:r>
      <w:r w:rsidR="00403438" w:rsidRPr="005764F6">
        <w:rPr>
          <w:rStyle w:val="AERbody"/>
        </w:rPr>
        <w:t xml:space="preserve"> using a distribution rate of 0.7 (range of 0.4</w:t>
      </w:r>
      <w:r w:rsidR="003548D4" w:rsidRPr="005764F6">
        <w:rPr>
          <w:rStyle w:val="AERbody"/>
        </w:rPr>
        <w:t>0</w:t>
      </w:r>
      <w:r w:rsidR="00403438" w:rsidRPr="005764F6">
        <w:rPr>
          <w:rStyle w:val="AERbody"/>
        </w:rPr>
        <w:t xml:space="preserve"> to 0.47)</w:t>
      </w:r>
      <w:r w:rsidR="00824032" w:rsidRPr="005764F6">
        <w:rPr>
          <w:rStyle w:val="AERbody"/>
        </w:rPr>
        <w:t xml:space="preserve">. </w:t>
      </w:r>
      <w:r w:rsidR="00CD2391" w:rsidRPr="005764F6">
        <w:rPr>
          <w:rStyle w:val="AERbody"/>
        </w:rPr>
        <w:t>We consider this estimate satisfies the requirements in the NER/NGR.</w:t>
      </w:r>
    </w:p>
    <w:p w:rsidR="008A0D60" w:rsidRPr="005764F6" w:rsidRDefault="00824032" w:rsidP="00E82D06">
      <w:pPr>
        <w:rPr>
          <w:rStyle w:val="AERbody"/>
        </w:rPr>
      </w:pPr>
      <w:r w:rsidRPr="005764F6">
        <w:rPr>
          <w:rStyle w:val="AERbody"/>
        </w:rPr>
        <w:t>We consider</w:t>
      </w:r>
      <w:r w:rsidR="00530A89" w:rsidRPr="005764F6">
        <w:rPr>
          <w:rStyle w:val="AERbody"/>
        </w:rPr>
        <w:t xml:space="preserve"> a gamma value of</w:t>
      </w:r>
      <w:r w:rsidRPr="005764F6">
        <w:rPr>
          <w:rStyle w:val="AERbody"/>
        </w:rPr>
        <w:t xml:space="preserve"> 0.4 remains appropriate despite Lally's recent adv</w:t>
      </w:r>
      <w:r w:rsidR="00403438" w:rsidRPr="005764F6">
        <w:rPr>
          <w:rStyle w:val="AERbody"/>
        </w:rPr>
        <w:t>ice indicating this might be too low</w:t>
      </w:r>
      <w:r w:rsidR="00772D69" w:rsidRPr="005764F6">
        <w:rPr>
          <w:rStyle w:val="AERbody"/>
        </w:rPr>
        <w:t xml:space="preserve"> an</w:t>
      </w:r>
      <w:r w:rsidR="009C7A7F" w:rsidRPr="009C7A7F">
        <w:rPr>
          <w:rStyle w:val="AERbody"/>
        </w:rPr>
        <w:t>d recommending a value of a</w:t>
      </w:r>
      <w:r w:rsidR="009C7A7F">
        <w:rPr>
          <w:rStyle w:val="AERbody"/>
        </w:rPr>
        <w:t>t least</w:t>
      </w:r>
      <w:r w:rsidR="00772D69" w:rsidRPr="005764F6">
        <w:rPr>
          <w:rStyle w:val="AERbody"/>
        </w:rPr>
        <w:t xml:space="preserve"> 0.5. In maintaining the use of </w:t>
      </w:r>
      <w:r w:rsidR="00530A89" w:rsidRPr="005764F6">
        <w:rPr>
          <w:rStyle w:val="AERbody"/>
        </w:rPr>
        <w:t xml:space="preserve">a gamma value of </w:t>
      </w:r>
      <w:r w:rsidR="00772D69" w:rsidRPr="005764F6">
        <w:rPr>
          <w:rStyle w:val="AERbody"/>
        </w:rPr>
        <w:t>0.4 we have</w:t>
      </w:r>
      <w:r w:rsidR="00403438" w:rsidRPr="005764F6">
        <w:rPr>
          <w:rStyle w:val="AERbody"/>
        </w:rPr>
        <w:t xml:space="preserve"> given </w:t>
      </w:r>
      <w:r w:rsidR="00772D69" w:rsidRPr="005764F6">
        <w:rPr>
          <w:rStyle w:val="AERbody"/>
        </w:rPr>
        <w:t xml:space="preserve">particular consideration to </w:t>
      </w:r>
      <w:r w:rsidRPr="005764F6">
        <w:rPr>
          <w:rStyle w:val="AERbody"/>
        </w:rPr>
        <w:t>the desirability of regulatory certainty</w:t>
      </w:r>
      <w:r w:rsidR="00772D69" w:rsidRPr="005764F6">
        <w:rPr>
          <w:rStyle w:val="AERbody"/>
        </w:rPr>
        <w:t xml:space="preserve"> and predictability</w:t>
      </w:r>
      <w:r w:rsidRPr="005764F6">
        <w:rPr>
          <w:rStyle w:val="AERbody"/>
        </w:rPr>
        <w:t xml:space="preserve">. We </w:t>
      </w:r>
      <w:r w:rsidR="00772D69" w:rsidRPr="005764F6">
        <w:rPr>
          <w:rStyle w:val="AERbody"/>
        </w:rPr>
        <w:t xml:space="preserve">also </w:t>
      </w:r>
      <w:r w:rsidRPr="005764F6">
        <w:rPr>
          <w:rStyle w:val="AERbody"/>
        </w:rPr>
        <w:t xml:space="preserve">note we </w:t>
      </w:r>
      <w:r w:rsidR="00FF3191" w:rsidRPr="005764F6">
        <w:rPr>
          <w:rStyle w:val="AERbody"/>
        </w:rPr>
        <w:t xml:space="preserve">have </w:t>
      </w:r>
      <w:r w:rsidRPr="005764F6">
        <w:rPr>
          <w:rStyle w:val="AERbody"/>
        </w:rPr>
        <w:t xml:space="preserve">used a value of 0.4 for all decisions released in 2015 and </w:t>
      </w:r>
      <w:r w:rsidR="00403438" w:rsidRPr="005764F6">
        <w:rPr>
          <w:rStyle w:val="AERbody"/>
        </w:rPr>
        <w:t xml:space="preserve">for </w:t>
      </w:r>
      <w:r w:rsidRPr="005764F6">
        <w:rPr>
          <w:rStyle w:val="AERbody"/>
        </w:rPr>
        <w:t xml:space="preserve">the </w:t>
      </w:r>
      <w:r w:rsidR="00CD2391" w:rsidRPr="005764F6">
        <w:rPr>
          <w:rStyle w:val="AERbody"/>
        </w:rPr>
        <w:t>draft</w:t>
      </w:r>
      <w:r w:rsidRPr="005764F6">
        <w:rPr>
          <w:rStyle w:val="AERbody"/>
        </w:rPr>
        <w:t xml:space="preserve"> decision for </w:t>
      </w:r>
      <w:r w:rsidR="00C903A2">
        <w:t>AGN</w:t>
      </w:r>
      <w:r w:rsidR="00403438" w:rsidRPr="005764F6">
        <w:rPr>
          <w:rStyle w:val="AERbody"/>
        </w:rPr>
        <w:t>. Given th</w:t>
      </w:r>
      <w:r w:rsidR="00530A89" w:rsidRPr="005764F6">
        <w:rPr>
          <w:rStyle w:val="AERbody"/>
        </w:rPr>
        <w:t>ese considerations</w:t>
      </w:r>
      <w:r w:rsidR="00403438" w:rsidRPr="005764F6">
        <w:rPr>
          <w:rStyle w:val="AERbody"/>
        </w:rPr>
        <w:t>, we</w:t>
      </w:r>
      <w:r w:rsidR="00FF3191" w:rsidRPr="005764F6">
        <w:rPr>
          <w:rStyle w:val="AERbody"/>
        </w:rPr>
        <w:t xml:space="preserve"> </w:t>
      </w:r>
      <w:r w:rsidR="00530A89" w:rsidRPr="005764F6">
        <w:rPr>
          <w:rStyle w:val="AERbody"/>
        </w:rPr>
        <w:t>would be</w:t>
      </w:r>
      <w:r w:rsidR="00403438" w:rsidRPr="005764F6">
        <w:rPr>
          <w:rStyle w:val="AERbody"/>
        </w:rPr>
        <w:t xml:space="preserve"> reluctant to depart from the</w:t>
      </w:r>
      <w:r w:rsidR="00FF3191" w:rsidRPr="005764F6">
        <w:rPr>
          <w:rStyle w:val="AERbody"/>
        </w:rPr>
        <w:t xml:space="preserve"> value </w:t>
      </w:r>
      <w:r w:rsidR="00403438" w:rsidRPr="005764F6">
        <w:rPr>
          <w:rStyle w:val="AERbody"/>
        </w:rPr>
        <w:t xml:space="preserve">of 0.4 </w:t>
      </w:r>
      <w:r w:rsidR="0015112F" w:rsidRPr="005764F6">
        <w:rPr>
          <w:rStyle w:val="AERbody"/>
        </w:rPr>
        <w:t xml:space="preserve">used in our preliminary decision </w:t>
      </w:r>
      <w:r w:rsidR="00FF3191" w:rsidRPr="005764F6">
        <w:rPr>
          <w:rStyle w:val="AERbody"/>
        </w:rPr>
        <w:t>without broad stakeholder consultation</w:t>
      </w:r>
      <w:r w:rsidR="003548D4" w:rsidRPr="005764F6">
        <w:rPr>
          <w:rStyle w:val="AERbody"/>
        </w:rPr>
        <w:t>,</w:t>
      </w:r>
      <w:r w:rsidR="00530A89" w:rsidRPr="005764F6">
        <w:rPr>
          <w:rStyle w:val="AERbody"/>
        </w:rPr>
        <w:t xml:space="preserve"> and we note </w:t>
      </w:r>
      <w:r w:rsidRPr="005764F6">
        <w:rPr>
          <w:rStyle w:val="AERbody"/>
        </w:rPr>
        <w:t>stakeholders have not had an opportunity to commen</w:t>
      </w:r>
      <w:r w:rsidR="00FF3191" w:rsidRPr="005764F6">
        <w:rPr>
          <w:rStyle w:val="AERbody"/>
        </w:rPr>
        <w:t>t on Lally's latest report</w:t>
      </w:r>
      <w:r w:rsidRPr="005764F6">
        <w:rPr>
          <w:rStyle w:val="AERbody"/>
        </w:rPr>
        <w:t>.</w:t>
      </w:r>
      <w:r w:rsidR="00530A89" w:rsidRPr="005764F6">
        <w:rPr>
          <w:rStyle w:val="AERbody"/>
        </w:rPr>
        <w:t xml:space="preserve">  We also do not consider Lally's report shows 0.4 is not open to us to choose when exercising our regulatory discretion.</w:t>
      </w:r>
    </w:p>
    <w:p w:rsidR="00DF0D66" w:rsidRPr="005764F6" w:rsidRDefault="00AE67D9" w:rsidP="00E82D06">
      <w:pPr>
        <w:rPr>
          <w:rStyle w:val="AERbody"/>
        </w:rPr>
      </w:pPr>
      <w:r w:rsidRPr="005764F6">
        <w:rPr>
          <w:rStyle w:val="AERbody"/>
        </w:rPr>
        <w:t xml:space="preserve">Therefore, we </w:t>
      </w:r>
      <w:r w:rsidR="00FF3191" w:rsidRPr="005764F6">
        <w:rPr>
          <w:rStyle w:val="AERbody"/>
        </w:rPr>
        <w:t>remain of the view that our choice of 0.4 gives</w:t>
      </w:r>
      <w:r w:rsidR="009409B4" w:rsidRPr="005764F6">
        <w:rPr>
          <w:rStyle w:val="AERbody"/>
        </w:rPr>
        <w:t xml:space="preserve"> appropriate regard to the relative merits of the equity ownership approach, tax statistics and implied market value studies (in particular, SFG’s evidence).</w:t>
      </w:r>
    </w:p>
    <w:p w:rsidR="00595B9F" w:rsidRPr="005764F6" w:rsidRDefault="00595B9F" w:rsidP="00595B9F">
      <w:pPr>
        <w:rPr>
          <w:rStyle w:val="AERbody"/>
        </w:rPr>
      </w:pPr>
      <w:r w:rsidRPr="005764F6">
        <w:rPr>
          <w:rStyle w:val="AERbody"/>
        </w:rPr>
        <w:t xml:space="preserve">In </w:t>
      </w:r>
      <w:r w:rsidR="00F40727" w:rsidRPr="005764F6">
        <w:rPr>
          <w:rStyle w:val="AERbody"/>
        </w:rPr>
        <w:t xml:space="preserve">section </w:t>
      </w:r>
      <w:r w:rsidR="006D4B92" w:rsidRPr="005764F6">
        <w:rPr>
          <w:rStyle w:val="AERbody"/>
        </w:rPr>
        <w:fldChar w:fldCharType="begin"/>
      </w:r>
      <w:r w:rsidR="006D4B92" w:rsidRPr="005764F6">
        <w:rPr>
          <w:rStyle w:val="AERbody"/>
        </w:rPr>
        <w:instrText xml:space="preserve"> REF _Ref415048973 \r \h </w:instrText>
      </w:r>
      <w:r w:rsidR="006D590A">
        <w:rPr>
          <w:rStyle w:val="AERbody"/>
        </w:rPr>
        <w:instrText xml:space="preserve"> \* MERGEFORMAT </w:instrText>
      </w:r>
      <w:r w:rsidR="006D4B92" w:rsidRPr="005764F6">
        <w:rPr>
          <w:rStyle w:val="AERbody"/>
        </w:rPr>
      </w:r>
      <w:r w:rsidR="006D4B92" w:rsidRPr="005764F6">
        <w:rPr>
          <w:rStyle w:val="AERbody"/>
        </w:rPr>
        <w:fldChar w:fldCharType="separate"/>
      </w:r>
      <w:r w:rsidR="00881794">
        <w:rPr>
          <w:rStyle w:val="AERbody"/>
        </w:rPr>
        <w:t>4.3.6</w:t>
      </w:r>
      <w:r w:rsidR="006D4B92" w:rsidRPr="005764F6">
        <w:rPr>
          <w:rStyle w:val="AERbody"/>
        </w:rPr>
        <w:fldChar w:fldCharType="end"/>
      </w:r>
      <w:r w:rsidR="00AE67D9" w:rsidRPr="005764F6">
        <w:rPr>
          <w:rStyle w:val="AERbody"/>
        </w:rPr>
        <w:t xml:space="preserve"> </w:t>
      </w:r>
      <w:r w:rsidR="00F40727" w:rsidRPr="005764F6">
        <w:rPr>
          <w:rStyle w:val="AERbody"/>
        </w:rPr>
        <w:t>(and in appendix A)</w:t>
      </w:r>
      <w:r w:rsidRPr="005764F6">
        <w:rPr>
          <w:rStyle w:val="AERbody"/>
        </w:rPr>
        <w:t xml:space="preserve">, we describe the sources of the estimates in </w:t>
      </w:r>
      <w:r w:rsidRPr="005764F6">
        <w:rPr>
          <w:rStyle w:val="AERbody"/>
        </w:rPr>
        <w:fldChar w:fldCharType="begin"/>
      </w:r>
      <w:r w:rsidRPr="005764F6">
        <w:rPr>
          <w:rStyle w:val="AERbody"/>
        </w:rPr>
        <w:instrText xml:space="preserve"> REF  _Ref400900366 \* Lower \h </w:instrText>
      </w:r>
      <w:r w:rsidR="00825430" w:rsidRPr="005764F6">
        <w:rPr>
          <w:rStyle w:val="AERbody"/>
        </w:rPr>
        <w:instrText xml:space="preserve"> \* MERGEFORMAT </w:instrText>
      </w:r>
      <w:r w:rsidRPr="005764F6">
        <w:rPr>
          <w:rStyle w:val="AERbody"/>
        </w:rPr>
      </w:r>
      <w:r w:rsidRPr="005764F6">
        <w:rPr>
          <w:rStyle w:val="AERbody"/>
        </w:rPr>
        <w:fldChar w:fldCharType="separate"/>
      </w:r>
      <w:r w:rsidR="00881794" w:rsidRPr="00164D25">
        <w:rPr>
          <w:rStyle w:val="AERbody"/>
        </w:rPr>
        <w:t>table 4</w:t>
      </w:r>
      <w:r w:rsidR="00881794" w:rsidRPr="00164D25">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w:instrText>
      </w:r>
      <w:r w:rsidR="00825430" w:rsidRPr="005764F6">
        <w:rPr>
          <w:rStyle w:val="AERbody"/>
        </w:rPr>
        <w:instrText xml:space="preserve"> \* MERGEFORMAT </w:instrText>
      </w:r>
      <w:r w:rsidRPr="005764F6">
        <w:rPr>
          <w:rStyle w:val="AERbody"/>
        </w:rPr>
      </w:r>
      <w:r w:rsidRPr="005764F6">
        <w:rPr>
          <w:rStyle w:val="AERbody"/>
        </w:rPr>
        <w:fldChar w:fldCharType="separate"/>
      </w:r>
      <w:r w:rsidR="00881794" w:rsidRPr="00164D25">
        <w:rPr>
          <w:rStyle w:val="AERbody"/>
        </w:rPr>
        <w:t>table 4</w:t>
      </w:r>
      <w:r w:rsidR="00881794" w:rsidRPr="00164D25">
        <w:rPr>
          <w:rStyle w:val="AERbody"/>
        </w:rPr>
        <w:noBreakHyphen/>
        <w:t>4</w:t>
      </w:r>
      <w:r w:rsidRPr="005764F6">
        <w:rPr>
          <w:rStyle w:val="AERbody"/>
        </w:rPr>
        <w:fldChar w:fldCharType="end"/>
      </w:r>
      <w:r w:rsidRPr="005764F6">
        <w:rPr>
          <w:rStyle w:val="AERbody"/>
        </w:rPr>
        <w:t>, and present our assessment of the underlying evidence.</w:t>
      </w:r>
      <w:r w:rsidR="00F40727" w:rsidRPr="005764F6">
        <w:rPr>
          <w:rStyle w:val="AERbody"/>
        </w:rPr>
        <w:t xml:space="preserve"> This includes reasons for the relative levels of reliance we place on the underlying sources of evidence.</w:t>
      </w:r>
    </w:p>
    <w:p w:rsidR="00E405F1" w:rsidRPr="000C3267" w:rsidRDefault="00883125" w:rsidP="00E82D06">
      <w:pPr>
        <w:rPr>
          <w:rStyle w:val="AERbody"/>
        </w:rPr>
      </w:pPr>
      <w:r w:rsidRPr="005764F6">
        <w:rPr>
          <w:rStyle w:val="AERbody"/>
        </w:rPr>
        <w:t>We do not accept the service providers' proposed value of imputation credits of 0.25, calculated as the product of a distribution rate of 0.7 and a utilisation rate of 0.35</w:t>
      </w:r>
      <w:r w:rsidR="00D7600C" w:rsidRPr="005764F6">
        <w:rPr>
          <w:rStyle w:val="AERbody"/>
        </w:rPr>
        <w:t xml:space="preserve"> (see section </w:t>
      </w:r>
      <w:r w:rsidR="00D7600C" w:rsidRPr="005764F6">
        <w:rPr>
          <w:rStyle w:val="AERbody"/>
        </w:rPr>
        <w:fldChar w:fldCharType="begin"/>
      </w:r>
      <w:r w:rsidR="00D7600C" w:rsidRPr="005764F6">
        <w:rPr>
          <w:rStyle w:val="AERbody"/>
        </w:rPr>
        <w:instrText xml:space="preserve"> REF _Ref451709428 \r \h </w:instrText>
      </w:r>
      <w:r w:rsidR="006D590A">
        <w:rPr>
          <w:rStyle w:val="AERbody"/>
        </w:rPr>
        <w:instrText xml:space="preserve"> \* MERGEFORMAT </w:instrText>
      </w:r>
      <w:r w:rsidR="00D7600C" w:rsidRPr="005764F6">
        <w:rPr>
          <w:rStyle w:val="AERbody"/>
        </w:rPr>
      </w:r>
      <w:r w:rsidR="00D7600C" w:rsidRPr="005764F6">
        <w:rPr>
          <w:rStyle w:val="AERbody"/>
        </w:rPr>
        <w:fldChar w:fldCharType="separate"/>
      </w:r>
      <w:r w:rsidR="00881794">
        <w:rPr>
          <w:rStyle w:val="AERbody"/>
        </w:rPr>
        <w:t>4.2</w:t>
      </w:r>
      <w:r w:rsidR="00D7600C" w:rsidRPr="005764F6">
        <w:rPr>
          <w:rStyle w:val="AERbody"/>
        </w:rPr>
        <w:fldChar w:fldCharType="end"/>
      </w:r>
      <w:r w:rsidR="00D7600C" w:rsidRPr="005764F6">
        <w:rPr>
          <w:rStyle w:val="AERbody"/>
        </w:rPr>
        <w:t>)</w:t>
      </w:r>
      <w:r w:rsidRPr="005764F6">
        <w:rPr>
          <w:rStyle w:val="AERbody"/>
        </w:rPr>
        <w:t xml:space="preserve">. Specifically, we do not accept the service providers' proposed estimate of the utilisation rate of 0.35. This is because we do not consider it appropriate to rely exclusively </w:t>
      </w:r>
      <w:r w:rsidRPr="005764F6">
        <w:rPr>
          <w:rStyle w:val="AERbody"/>
        </w:rPr>
        <w:lastRenderedPageBreak/>
        <w:t xml:space="preserve">on implied market value studies (or SFG's single dividend drop off study). </w:t>
      </w:r>
      <w:r w:rsidR="00E405F1" w:rsidRPr="005764F6">
        <w:rPr>
          <w:rStyle w:val="AERbody"/>
        </w:rPr>
        <w:t>This position is supported by a number of experts.</w:t>
      </w:r>
      <w:r w:rsidR="00E405F1" w:rsidRPr="006D590A">
        <w:rPr>
          <w:rStyle w:val="FootnoteReference"/>
        </w:rPr>
        <w:footnoteReference w:id="95"/>
      </w:r>
      <w:r w:rsidR="00E405F1" w:rsidRPr="000C3267">
        <w:rPr>
          <w:rStyle w:val="AERbody"/>
        </w:rPr>
        <w:t xml:space="preserve"> The South Australian Centre for Economic Studies suggested that dividend drop off studies be disregarded entirely.</w:t>
      </w:r>
      <w:r w:rsidR="00E405F1" w:rsidRPr="006D590A">
        <w:rPr>
          <w:rStyle w:val="FootnoteReference"/>
        </w:rPr>
        <w:footnoteReference w:id="96"/>
      </w:r>
      <w:r w:rsidR="00E405F1" w:rsidRPr="000C3267">
        <w:rPr>
          <w:rStyle w:val="AERbody"/>
        </w:rPr>
        <w:t xml:space="preserve"> </w:t>
      </w:r>
    </w:p>
    <w:p w:rsidR="00883125" w:rsidRPr="00883125" w:rsidRDefault="00883125" w:rsidP="00883125">
      <w:pPr>
        <w:numPr>
          <w:ilvl w:val="0"/>
          <w:numId w:val="24"/>
        </w:numPr>
      </w:pPr>
      <w:r w:rsidRPr="00883125">
        <w:t>Even if we were to rely solely on the estimate of the utilisation rate of 0.35 from SFG's study, we consider that a value of imputation credits of 0.25 is unreasonable. This is because:</w:t>
      </w:r>
    </w:p>
    <w:p w:rsidR="00883125" w:rsidRPr="005764F6" w:rsidRDefault="00883125" w:rsidP="000D4ED8">
      <w:pPr>
        <w:pStyle w:val="AERbulletlistfirststyle"/>
      </w:pPr>
      <w:r w:rsidRPr="005764F6">
        <w:t>Handley and Lally advised that the proper use of this estimate of the utilisation rate requires its adjustment to 0.4. We agree with this adjustment which is required to correct for the incorrect post</w:t>
      </w:r>
      <w:r w:rsidR="00C25474" w:rsidRPr="005764F6">
        <w:t xml:space="preserve"> </w:t>
      </w:r>
      <w:r w:rsidRPr="005764F6">
        <w:t>tax valuation of cash dividends from SFG's study</w:t>
      </w:r>
      <w:r w:rsidR="00C25474" w:rsidRPr="005764F6">
        <w:t>,</w:t>
      </w:r>
      <w:r w:rsidRPr="005764F6">
        <w:t xml:space="preserve"> which will also be expected to be reflected in the estimated </w:t>
      </w:r>
      <w:r w:rsidR="0003628F" w:rsidRPr="005764F6">
        <w:t>utilisation rate</w:t>
      </w:r>
      <w:r w:rsidRPr="005764F6">
        <w:t xml:space="preserve">. In the post-tax Officer </w:t>
      </w:r>
      <w:r w:rsidR="00C25474" w:rsidRPr="005764F6">
        <w:t>f</w:t>
      </w:r>
      <w:r w:rsidRPr="005764F6">
        <w:t>ramework underlying the NER/NGR</w:t>
      </w:r>
      <w:r w:rsidR="00C25474" w:rsidRPr="005764F6">
        <w:t>,</w:t>
      </w:r>
      <w:r w:rsidRPr="005764F6">
        <w:t xml:space="preserve"> one dollar of dividends distributed to the investor is worth one dollar to investors post (company) tax. This is clear from Officer's definition of after tax net cash flows consistent with the post-tax </w:t>
      </w:r>
      <w:r w:rsidR="00C25474" w:rsidRPr="005764F6">
        <w:t>v</w:t>
      </w:r>
      <w:r w:rsidRPr="005764F6">
        <w:t>anilla WACC in formula (12) of his 1994 paper.</w:t>
      </w:r>
      <w:r w:rsidRPr="000D4ED8">
        <w:rPr>
          <w:rStyle w:val="FootnoteReference"/>
        </w:rPr>
        <w:footnoteReference w:id="97"/>
      </w:r>
      <w:r w:rsidRPr="005764F6">
        <w:t xml:space="preserve"> The incorrect post tax valuation of dividends (that will also be reflected in the estimated </w:t>
      </w:r>
      <w:r w:rsidR="0003628F" w:rsidRPr="005764F6">
        <w:t>utilisation rate</w:t>
      </w:r>
      <w:r w:rsidRPr="005764F6">
        <w:t>) is most likely due to differential personal taxes on dividends and capital gains which impact dividend drop off studies.</w:t>
      </w:r>
    </w:p>
    <w:p w:rsidR="00883125" w:rsidRPr="00883125" w:rsidRDefault="00883125" w:rsidP="00883125">
      <w:pPr>
        <w:pStyle w:val="AERbulletlistfirststyle"/>
      </w:pPr>
      <w:r w:rsidRPr="00883125">
        <w:t xml:space="preserve">This is an estimate of the utilisation rate of investors in only listed equity, and therefore </w:t>
      </w:r>
      <w:r w:rsidR="0003628F">
        <w:t xml:space="preserve">we remain of the view </w:t>
      </w:r>
      <w:r w:rsidRPr="00883125">
        <w:t xml:space="preserve">it should be paired with </w:t>
      </w:r>
      <w:r w:rsidR="00D7600C">
        <w:t xml:space="preserve">either </w:t>
      </w:r>
      <w:r w:rsidRPr="00883125">
        <w:t xml:space="preserve">an estimate of the distribution rate from only listed equity </w:t>
      </w:r>
      <w:r w:rsidR="0003628F">
        <w:t xml:space="preserve">using the cumulative payout approach </w:t>
      </w:r>
      <w:r w:rsidRPr="00883125">
        <w:t>(that is, 0.75</w:t>
      </w:r>
      <w:r w:rsidR="0003628F">
        <w:t>)</w:t>
      </w:r>
      <w:r w:rsidR="00D7600C">
        <w:t>;</w:t>
      </w:r>
      <w:r w:rsidR="0003628F">
        <w:t xml:space="preserve"> or Lally's estimate for </w:t>
      </w:r>
      <w:r w:rsidR="002B5FB1">
        <w:t xml:space="preserve">only </w:t>
      </w:r>
      <w:r w:rsidR="0003628F">
        <w:t xml:space="preserve">listed equity estimated using the top 20 </w:t>
      </w:r>
      <w:r w:rsidR="000C3267">
        <w:t xml:space="preserve">listed </w:t>
      </w:r>
      <w:r w:rsidR="0003628F">
        <w:t xml:space="preserve">firms </w:t>
      </w:r>
      <w:r w:rsidR="002B5FB1">
        <w:t>(that is,</w:t>
      </w:r>
      <w:r w:rsidR="0003628F">
        <w:t xml:space="preserve"> 0.83</w:t>
      </w:r>
      <w:r w:rsidR="002B5FB1">
        <w:t>).</w:t>
      </w:r>
      <w:r w:rsidRPr="00883125">
        <w:t xml:space="preserve"> </w:t>
      </w:r>
    </w:p>
    <w:p w:rsidR="006D590A" w:rsidRDefault="00883125" w:rsidP="006D590A">
      <w:pPr>
        <w:numPr>
          <w:ilvl w:val="0"/>
          <w:numId w:val="24"/>
        </w:numPr>
      </w:pPr>
      <w:r w:rsidRPr="00883125">
        <w:t xml:space="preserve">Therefore, even if the service providers' proposed utilisation rate </w:t>
      </w:r>
      <w:r w:rsidR="005545FD">
        <w:t xml:space="preserve">estimate </w:t>
      </w:r>
      <w:r w:rsidRPr="00883125">
        <w:t xml:space="preserve">is used, it yields a value of imputation credits of </w:t>
      </w:r>
      <w:r w:rsidR="00D84078">
        <w:t xml:space="preserve">at least </w:t>
      </w:r>
      <w:r w:rsidRPr="00883125">
        <w:t>0.30 (0.4 x 0.75) rather than 0.25. However, with regard to the discussion above, our estimated value of imputation credits is higher than 0.30.</w:t>
      </w:r>
      <w:r w:rsidR="005545FD">
        <w:t xml:space="preserve"> We also note we do not consider even the adjusted value from SFG's dividend drop off study is a reliable estimate of the utilisation rate for the reasons discussed in this decision</w:t>
      </w:r>
      <w:r w:rsidR="002B5FB1">
        <w:t xml:space="preserve"> (see section </w:t>
      </w:r>
      <w:r w:rsidR="002B5FB1">
        <w:fldChar w:fldCharType="begin"/>
      </w:r>
      <w:r w:rsidR="002B5FB1">
        <w:instrText xml:space="preserve"> REF _Ref450761230 \r \h </w:instrText>
      </w:r>
      <w:r w:rsidR="002B5FB1">
        <w:fldChar w:fldCharType="separate"/>
      </w:r>
      <w:r w:rsidR="00881794">
        <w:t>4.4.1</w:t>
      </w:r>
      <w:r w:rsidR="002B5FB1">
        <w:fldChar w:fldCharType="end"/>
      </w:r>
      <w:r w:rsidR="002B5FB1">
        <w:t>)</w:t>
      </w:r>
      <w:r w:rsidR="005545FD">
        <w:t>.</w:t>
      </w:r>
    </w:p>
    <w:p w:rsidR="00883125" w:rsidRPr="000C3267" w:rsidRDefault="00BD33AC" w:rsidP="006D590A">
      <w:pPr>
        <w:numPr>
          <w:ilvl w:val="0"/>
          <w:numId w:val="24"/>
        </w:numPr>
        <w:rPr>
          <w:rStyle w:val="AERbody"/>
        </w:rPr>
      </w:pPr>
      <w:r w:rsidRPr="000C3267">
        <w:rPr>
          <w:rStyle w:val="AERbody"/>
        </w:rPr>
        <w:t>We</w:t>
      </w:r>
      <w:r w:rsidR="00883125" w:rsidRPr="000C3267">
        <w:rPr>
          <w:rStyle w:val="AERbody"/>
        </w:rPr>
        <w:t xml:space="preserve"> remain of the view that limited </w:t>
      </w:r>
      <w:r w:rsidR="00C25474" w:rsidRPr="000C3267">
        <w:rPr>
          <w:rStyle w:val="AERbody"/>
        </w:rPr>
        <w:t>reliance</w:t>
      </w:r>
      <w:r w:rsidR="00883125" w:rsidRPr="000C3267">
        <w:rPr>
          <w:rStyle w:val="AERbody"/>
        </w:rPr>
        <w:t xml:space="preserve"> should be placed on market based studies. These studies are influenced by differential personal taxes and are determined by the marginal investor that is trading around the ex-dividend date. </w:t>
      </w:r>
      <w:r w:rsidRPr="000C3267">
        <w:rPr>
          <w:rStyle w:val="AERbody"/>
        </w:rPr>
        <w:t>We</w:t>
      </w:r>
      <w:r w:rsidR="00883125" w:rsidRPr="000C3267">
        <w:rPr>
          <w:rStyle w:val="AERbody"/>
        </w:rPr>
        <w:t xml:space="preserve"> consider market based </w:t>
      </w:r>
      <w:r w:rsidR="00883125" w:rsidRPr="000C3267">
        <w:rPr>
          <w:rStyle w:val="AERbody"/>
        </w:rPr>
        <w:lastRenderedPageBreak/>
        <w:t xml:space="preserve">studies are unlikely to provide an appropriate estimate for the utilisation </w:t>
      </w:r>
      <w:r w:rsidR="0005260B" w:rsidRPr="000C3267">
        <w:rPr>
          <w:rStyle w:val="AERbody"/>
        </w:rPr>
        <w:t>rate</w:t>
      </w:r>
      <w:r w:rsidR="00883125" w:rsidRPr="000C3267">
        <w:rPr>
          <w:rStyle w:val="AERbody"/>
        </w:rPr>
        <w:t xml:space="preserve">. </w:t>
      </w:r>
      <w:r w:rsidRPr="000C3267">
        <w:rPr>
          <w:rStyle w:val="AERbody"/>
        </w:rPr>
        <w:t>Therefore, g</w:t>
      </w:r>
      <w:r w:rsidR="00883125" w:rsidRPr="000C3267">
        <w:rPr>
          <w:rStyle w:val="AERbody"/>
        </w:rPr>
        <w:t xml:space="preserve">iven the data reliability issues with tax statistics, </w:t>
      </w:r>
      <w:r w:rsidRPr="000C3267">
        <w:rPr>
          <w:rStyle w:val="AERbody"/>
        </w:rPr>
        <w:t>we</w:t>
      </w:r>
      <w:r w:rsidR="00883125" w:rsidRPr="000C3267">
        <w:rPr>
          <w:rStyle w:val="AERbody"/>
        </w:rPr>
        <w:t xml:space="preserve"> consider the equity ownership approach provides the best estimate for the proportion of distributed imputation credits that are expected to be used to offset investor personal tax</w:t>
      </w:r>
      <w:r w:rsidRPr="000C3267">
        <w:rPr>
          <w:rStyle w:val="AERbody"/>
        </w:rPr>
        <w:t xml:space="preserve"> (that is, the utilisation </w:t>
      </w:r>
      <w:r w:rsidR="0005260B" w:rsidRPr="000C3267">
        <w:rPr>
          <w:rStyle w:val="AERbody"/>
        </w:rPr>
        <w:t>rate</w:t>
      </w:r>
      <w:r w:rsidRPr="000C3267">
        <w:rPr>
          <w:rStyle w:val="AERbody"/>
        </w:rPr>
        <w:t>)</w:t>
      </w:r>
      <w:r w:rsidR="00883125" w:rsidRPr="000C3267">
        <w:rPr>
          <w:rStyle w:val="AERbody"/>
        </w:rPr>
        <w:t xml:space="preserve">. This is due to local investors effectively fully valuing distributed imputation credit at their face value on </w:t>
      </w:r>
      <w:r w:rsidRPr="000C3267">
        <w:rPr>
          <w:rStyle w:val="AERbody"/>
        </w:rPr>
        <w:t xml:space="preserve">a </w:t>
      </w:r>
      <w:r w:rsidR="00883125" w:rsidRPr="000C3267">
        <w:rPr>
          <w:rStyle w:val="AERbody"/>
        </w:rPr>
        <w:t>pre-personal tax and pre</w:t>
      </w:r>
      <w:r w:rsidR="00595B9F" w:rsidRPr="000C3267">
        <w:rPr>
          <w:rStyle w:val="AERbody"/>
        </w:rPr>
        <w:t>-</w:t>
      </w:r>
      <w:r w:rsidR="00883125" w:rsidRPr="000C3267">
        <w:rPr>
          <w:rStyle w:val="AERbody"/>
        </w:rPr>
        <w:t>personal costs basis.</w:t>
      </w:r>
      <w:r w:rsidR="00883125" w:rsidRPr="005764F6">
        <w:rPr>
          <w:rStyle w:val="FootnoteReference"/>
        </w:rPr>
        <w:footnoteReference w:id="98"/>
      </w:r>
      <w:r w:rsidR="00883125" w:rsidRPr="000C3267">
        <w:rPr>
          <w:rStyle w:val="AERbody"/>
        </w:rPr>
        <w:t xml:space="preserve"> We remain of the view the 45 day holding rule does not be have a material impact on the utilisation of imputation credits by otherwise eligible</w:t>
      </w:r>
      <w:r w:rsidRPr="000C3267">
        <w:rPr>
          <w:rStyle w:val="AERbody"/>
        </w:rPr>
        <w:t xml:space="preserve"> </w:t>
      </w:r>
      <w:r w:rsidR="00883125" w:rsidRPr="000C3267">
        <w:rPr>
          <w:rStyle w:val="AERbody"/>
        </w:rPr>
        <w:t>(</w:t>
      </w:r>
      <w:r w:rsidRPr="000C3267">
        <w:rPr>
          <w:rStyle w:val="AERbody"/>
        </w:rPr>
        <w:t>that is,</w:t>
      </w:r>
      <w:r w:rsidR="00883125" w:rsidRPr="000C3267">
        <w:rPr>
          <w:rStyle w:val="AERbody"/>
        </w:rPr>
        <w:t xml:space="preserve"> domestic) investors.</w:t>
      </w:r>
    </w:p>
    <w:p w:rsidR="00883125" w:rsidRDefault="00F40727" w:rsidP="00883125">
      <w:r>
        <w:t xml:space="preserve">In section </w:t>
      </w:r>
      <w:r w:rsidR="006D4B92">
        <w:fldChar w:fldCharType="begin"/>
      </w:r>
      <w:r w:rsidR="006D4B92">
        <w:instrText xml:space="preserve"> REF _Ref451240961 \r \h </w:instrText>
      </w:r>
      <w:r w:rsidR="006D4B92">
        <w:fldChar w:fldCharType="separate"/>
      </w:r>
      <w:r w:rsidR="00881794">
        <w:t>4.4.2</w:t>
      </w:r>
      <w:r w:rsidR="006D4B92">
        <w:fldChar w:fldCharType="end"/>
      </w:r>
      <w:r>
        <w:t xml:space="preserve"> </w:t>
      </w:r>
      <w:r w:rsidR="000250B8">
        <w:t xml:space="preserve">(and appendix A) </w:t>
      </w:r>
      <w:r>
        <w:t>we respond to the service providers' revised proposals in more detail. This includes late submissions that address the recent Tribunal decision.</w:t>
      </w:r>
    </w:p>
    <w:p w:rsidR="00F40727" w:rsidRPr="00883125" w:rsidRDefault="00F40727" w:rsidP="00F40727">
      <w:pPr>
        <w:pStyle w:val="Heading3"/>
      </w:pPr>
      <w:bookmarkStart w:id="73" w:name="_Ref450761230"/>
      <w:bookmarkStart w:id="74" w:name="_Toc451928272"/>
      <w:r>
        <w:t>Evidence underlying our estimate of the value of imputation credits</w:t>
      </w:r>
      <w:bookmarkEnd w:id="73"/>
      <w:bookmarkEnd w:id="74"/>
      <w:r>
        <w:t xml:space="preserve"> </w:t>
      </w:r>
    </w:p>
    <w:p w:rsidR="00854A13" w:rsidRDefault="00854A13" w:rsidP="00F40727">
      <w:r>
        <w:t xml:space="preserve">This section discusses the distribution rate and utilisation rate (or value) in more detail. More specifically, it describes our approach to estimating these sub-parameters of the value of imputation credits. This includes reasons for the relative levels of reliance we place on the underlying sources of evidence (for the utilisation </w:t>
      </w:r>
      <w:r w:rsidR="0005260B">
        <w:t xml:space="preserve">rate </w:t>
      </w:r>
      <w:r>
        <w:t>in particular).</w:t>
      </w:r>
    </w:p>
    <w:p w:rsidR="00854A13" w:rsidRDefault="00854A13" w:rsidP="00E82D06">
      <w:pPr>
        <w:pStyle w:val="HeadingBoldBlue"/>
      </w:pPr>
      <w:r>
        <w:t>The distribution rate</w:t>
      </w:r>
    </w:p>
    <w:p w:rsidR="00856171" w:rsidRDefault="00856171" w:rsidP="00856171">
      <w:r w:rsidRPr="00883125">
        <w:t>The distribution rate is the proportion of imputation credits generated by the benchmark efficient entity that is distributed to investors.</w:t>
      </w:r>
      <w:r w:rsidRPr="00883125">
        <w:rPr>
          <w:rStyle w:val="FootnoteReference"/>
        </w:rPr>
        <w:footnoteReference w:id="99"/>
      </w:r>
      <w:r w:rsidRPr="00883125">
        <w:t xml:space="preserve"> We consider</w:t>
      </w:r>
      <w:r>
        <w:t>:</w:t>
      </w:r>
      <w:r w:rsidRPr="00883125">
        <w:t xml:space="preserve"> </w:t>
      </w:r>
    </w:p>
    <w:p w:rsidR="00856171" w:rsidRPr="00856171" w:rsidRDefault="00856171" w:rsidP="00E82D06">
      <w:pPr>
        <w:pStyle w:val="AERbulletlistfirststyle"/>
      </w:pPr>
      <w:r w:rsidRPr="00856171">
        <w:t xml:space="preserve">an estimate of 0.75 for the distribution rate is </w:t>
      </w:r>
      <w:r w:rsidR="001A7B9C">
        <w:t>reasonable</w:t>
      </w:r>
      <w:r w:rsidR="001A7B9C" w:rsidRPr="00856171">
        <w:t xml:space="preserve"> </w:t>
      </w:r>
      <w:r w:rsidRPr="00856171">
        <w:t>when considering estimates of the utilisation rate that relate to only listed equity</w:t>
      </w:r>
      <w:r w:rsidR="00D84078">
        <w:t xml:space="preserve">. </w:t>
      </w:r>
    </w:p>
    <w:p w:rsidR="00856171" w:rsidRPr="00856171" w:rsidRDefault="00856171" w:rsidP="00E82D06">
      <w:pPr>
        <w:pStyle w:val="AERbulletlistfirststyle"/>
      </w:pPr>
      <w:r w:rsidRPr="00856171">
        <w:t xml:space="preserve">an estimate of 0.7 for the distribution rate is </w:t>
      </w:r>
      <w:r w:rsidR="001A7B9C">
        <w:t>reasonable</w:t>
      </w:r>
      <w:r w:rsidRPr="00856171">
        <w:t xml:space="preserve"> when considering estimates of the utilisation rate that relate to all equity.</w:t>
      </w:r>
      <w:r w:rsidR="00D84078">
        <w:t xml:space="preserve"> </w:t>
      </w:r>
    </w:p>
    <w:p w:rsidR="00D84078" w:rsidRDefault="009C7A7F" w:rsidP="00856171">
      <w:pPr>
        <w:numPr>
          <w:ilvl w:val="0"/>
          <w:numId w:val="24"/>
        </w:numPr>
      </w:pPr>
      <w:r>
        <w:t xml:space="preserve">Whether an estimate of the distribution rate will result in a </w:t>
      </w:r>
      <w:r w:rsidR="00D84078">
        <w:t xml:space="preserve">reasonable estimate of the gamma value for </w:t>
      </w:r>
      <w:r w:rsidR="00042F1D">
        <w:t>a</w:t>
      </w:r>
      <w:r w:rsidR="00D84078">
        <w:t xml:space="preserve"> benchmark efficient entity depends on what is considered </w:t>
      </w:r>
      <w:r w:rsidR="005678EB">
        <w:t xml:space="preserve">the </w:t>
      </w:r>
      <w:r w:rsidR="00D84078">
        <w:t xml:space="preserve">best estimate </w:t>
      </w:r>
      <w:r w:rsidR="005678EB">
        <w:t xml:space="preserve">of </w:t>
      </w:r>
      <w:r w:rsidR="00D84078">
        <w:t xml:space="preserve">the utilisation rate (and if this should be based on all equity or a subset) and what is considered the best estimate of the distribution rate for </w:t>
      </w:r>
      <w:r w:rsidR="00042F1D">
        <w:t>a</w:t>
      </w:r>
      <w:r w:rsidR="00D84078">
        <w:t xml:space="preserve"> benchmark efficient entity. </w:t>
      </w:r>
      <w:r w:rsidR="009350BE">
        <w:t xml:space="preserve">We note Lally </w:t>
      </w:r>
      <w:r w:rsidR="005678EB">
        <w:t xml:space="preserve">effectively </w:t>
      </w:r>
      <w:r w:rsidR="009350BE">
        <w:t xml:space="preserve">considers both </w:t>
      </w:r>
      <w:r w:rsidR="00F64ABD">
        <w:t xml:space="preserve">'matched' </w:t>
      </w:r>
      <w:r w:rsidR="009350BE">
        <w:t xml:space="preserve">estimates </w:t>
      </w:r>
      <w:r w:rsidR="005678EB">
        <w:t xml:space="preserve">will be </w:t>
      </w:r>
      <w:r w:rsidR="009350BE">
        <w:t xml:space="preserve">too low given what he considers to be the best estimate of the market wide utilisation rate </w:t>
      </w:r>
      <w:r w:rsidR="005678EB">
        <w:t xml:space="preserve">(of around 0.6) </w:t>
      </w:r>
      <w:r w:rsidR="009350BE">
        <w:t xml:space="preserve">and the appropriate (firm specific) </w:t>
      </w:r>
      <w:r w:rsidR="005678EB">
        <w:t xml:space="preserve">estimate of the </w:t>
      </w:r>
      <w:r w:rsidR="009350BE">
        <w:t xml:space="preserve">distribution rate for </w:t>
      </w:r>
      <w:r w:rsidR="00757350">
        <w:t>a</w:t>
      </w:r>
      <w:r w:rsidR="009350BE">
        <w:t xml:space="preserve"> benchmark efficient entity</w:t>
      </w:r>
      <w:r w:rsidR="005678EB">
        <w:t xml:space="preserve"> (of 0.83)</w:t>
      </w:r>
      <w:r w:rsidR="009350BE">
        <w:t>.</w:t>
      </w:r>
      <w:r w:rsidR="00030076">
        <w:rPr>
          <w:rStyle w:val="FootnoteReference"/>
        </w:rPr>
        <w:footnoteReference w:id="100"/>
      </w:r>
      <w:r w:rsidR="00BE14BD">
        <w:t xml:space="preserve"> </w:t>
      </w:r>
    </w:p>
    <w:p w:rsidR="00856171" w:rsidRPr="00883125" w:rsidRDefault="00856171" w:rsidP="00856171">
      <w:pPr>
        <w:numPr>
          <w:ilvl w:val="0"/>
          <w:numId w:val="24"/>
        </w:numPr>
      </w:pPr>
      <w:r w:rsidRPr="00883125">
        <w:lastRenderedPageBreak/>
        <w:t>Consistent with the Guideline, we estimate the distribution rate using the 'cumulative payout ratio approach', which uses data from the ATO on the accounts used by companies to track their stocks of imputation credits ('franking account balances').</w:t>
      </w:r>
      <w:r w:rsidRPr="00AE6B35">
        <w:rPr>
          <w:rStyle w:val="FootnoteReference"/>
        </w:rPr>
        <w:footnoteReference w:id="101"/>
      </w:r>
      <w:r w:rsidRPr="00AE6B35">
        <w:t xml:space="preserve"> </w:t>
      </w:r>
      <w:r w:rsidRPr="00883125">
        <w:t>We use the cumulative payout ratio approach because it:</w:t>
      </w:r>
    </w:p>
    <w:p w:rsidR="00856171" w:rsidRPr="00883125" w:rsidRDefault="00856171" w:rsidP="00856171">
      <w:pPr>
        <w:pStyle w:val="AERbulletlistfirststyle"/>
      </w:pPr>
      <w:r w:rsidRPr="00883125">
        <w:t>uses long-term, published data</w:t>
      </w:r>
    </w:p>
    <w:p w:rsidR="00856171" w:rsidRPr="00883125" w:rsidRDefault="00856171" w:rsidP="00856171">
      <w:pPr>
        <w:pStyle w:val="AERbulletlistfirststyle"/>
      </w:pPr>
      <w:r w:rsidRPr="00883125">
        <w:t>is supported by the service providers, Gray (for SFG), Handley, and McKenzie and Partington</w:t>
      </w:r>
      <w:r w:rsidRPr="00883125">
        <w:rPr>
          <w:rStyle w:val="FootnoteReference"/>
        </w:rPr>
        <w:footnoteReference w:id="102"/>
      </w:r>
      <w:r w:rsidRPr="00883125">
        <w:t xml:space="preserve"> </w:t>
      </w:r>
    </w:p>
    <w:p w:rsidR="00856171" w:rsidRPr="00883125" w:rsidRDefault="00856171" w:rsidP="00856171">
      <w:pPr>
        <w:pStyle w:val="AERbulletlistfirststyle"/>
      </w:pPr>
      <w:r w:rsidRPr="00883125">
        <w:t>is simple and intuitive.</w:t>
      </w:r>
    </w:p>
    <w:p w:rsidR="00856171" w:rsidRPr="00856171" w:rsidRDefault="00856171" w:rsidP="00E82D06">
      <w:r w:rsidRPr="00AE6B35">
        <w:t xml:space="preserve">Using this approach, NERA estimated a distribution rate across </w:t>
      </w:r>
      <w:r w:rsidRPr="00E82D06">
        <w:rPr>
          <w:rStyle w:val="AERtextunderline"/>
        </w:rPr>
        <w:t>all equity</w:t>
      </w:r>
      <w:r w:rsidRPr="00856171">
        <w:t xml:space="preserve"> of 0.7 for the period 1987 to 2011.</w:t>
      </w:r>
      <w:r w:rsidRPr="00856171">
        <w:rPr>
          <w:rStyle w:val="FootnoteReference"/>
        </w:rPr>
        <w:footnoteReference w:id="103"/>
      </w:r>
      <w:r w:rsidRPr="00856171">
        <w:t xml:space="preserve"> Hathaway found a similar estimate for the period 2004 to 2011.</w:t>
      </w:r>
      <w:r w:rsidRPr="00856171">
        <w:rPr>
          <w:rStyle w:val="FootnoteReference"/>
        </w:rPr>
        <w:footnoteReference w:id="104"/>
      </w:r>
      <w:r w:rsidRPr="00856171">
        <w:t xml:space="preserve"> We relied on these estimates in the Guideline and the decisions released in 2014. We consider that updated analysis of the ATO data to the 2012 tax year by NERA and Handley indicates that 0.7 remains a reasonable estimate of the distribution rate over all equity.</w:t>
      </w:r>
      <w:r w:rsidRPr="00856171">
        <w:rPr>
          <w:rStyle w:val="FootnoteReference"/>
        </w:rPr>
        <w:footnoteReference w:id="105"/>
      </w:r>
      <w:r w:rsidRPr="00856171">
        <w:t xml:space="preserve"> </w:t>
      </w:r>
    </w:p>
    <w:p w:rsidR="00856171" w:rsidRPr="00856171" w:rsidRDefault="00856171" w:rsidP="00E82D06">
      <w:r w:rsidRPr="00883125">
        <w:t xml:space="preserve">Gray </w:t>
      </w:r>
      <w:r w:rsidRPr="00856171">
        <w:t>(for Frontier) updated the ATO data up to 2012-13 and found that the payout ratio for all equity latest year is 64% and the cumulative ratio is 67%.</w:t>
      </w:r>
      <w:r w:rsidRPr="00856171">
        <w:rPr>
          <w:rStyle w:val="FootnoteReference"/>
        </w:rPr>
        <w:footnoteReference w:id="106"/>
      </w:r>
      <w:r w:rsidRPr="00856171">
        <w:t xml:space="preserve"> However, recognising the volatility in the data Frontier considered that 0.7 distribution rate still remained appropriate for all equity.</w:t>
      </w:r>
      <w:r w:rsidRPr="00856171">
        <w:rPr>
          <w:rStyle w:val="FootnoteReference"/>
        </w:rPr>
        <w:footnoteReference w:id="107"/>
      </w:r>
      <w:r w:rsidRPr="00856171">
        <w:t xml:space="preserve"> We have updated this data to 2014 and find the cumulative payout ratio for listed equity is 0.75 and for all equity is 0.68. However, consistent with the service providers' proposals, we remain of the view that a distribution rate of 0.7 is appropriate for all equity.</w:t>
      </w:r>
    </w:p>
    <w:p w:rsidR="00856171" w:rsidRPr="00883125" w:rsidRDefault="00856171" w:rsidP="00856171">
      <w:pPr>
        <w:numPr>
          <w:ilvl w:val="0"/>
          <w:numId w:val="24"/>
        </w:numPr>
      </w:pPr>
      <w:r w:rsidRPr="00883125">
        <w:t xml:space="preserve">Also using this approach, Handley estimated a distribution rate across only </w:t>
      </w:r>
      <w:r w:rsidRPr="00E82D06">
        <w:rPr>
          <w:rStyle w:val="AERtextunderline"/>
        </w:rPr>
        <w:t>listed equity</w:t>
      </w:r>
      <w:r w:rsidRPr="00883125">
        <w:t xml:space="preserve"> of 0.8 for the period 1987 to 2011.</w:t>
      </w:r>
      <w:r w:rsidRPr="00883125">
        <w:rPr>
          <w:rStyle w:val="FootnoteReference"/>
        </w:rPr>
        <w:footnoteReference w:id="108"/>
      </w:r>
      <w:r w:rsidRPr="00883125">
        <w:t xml:space="preserve"> We found a similar estimate for the period 2004 to 2011.</w:t>
      </w:r>
      <w:r w:rsidRPr="00883125">
        <w:rPr>
          <w:rStyle w:val="FootnoteReference"/>
        </w:rPr>
        <w:footnoteReference w:id="109"/>
      </w:r>
      <w:r w:rsidRPr="00883125">
        <w:t xml:space="preserve"> We relied on these estimates in the decisions we released in November 2014 and April 2015. Updated analysis of the ATO data to the 2012 tax year by NERA and Handley indicates that the distribution rate over only listed equity has fallen slightly.</w:t>
      </w:r>
      <w:r w:rsidRPr="00883125">
        <w:rPr>
          <w:rStyle w:val="FootnoteReference"/>
        </w:rPr>
        <w:footnoteReference w:id="110"/>
      </w:r>
      <w:r w:rsidRPr="00883125">
        <w:t xml:space="preserve"> In this final decision following a further update incorporating 2013 and 2014 data we consider an appropriate estimate of the distribution rate over only listed equity is 0.75. This is slightly lower than the value of 0.77 we used in </w:t>
      </w:r>
      <w:r w:rsidR="005678EB">
        <w:t xml:space="preserve">our </w:t>
      </w:r>
      <w:r w:rsidRPr="00883125">
        <w:t xml:space="preserve">October and November 2015 decisions. </w:t>
      </w:r>
    </w:p>
    <w:p w:rsidR="000E7689" w:rsidRDefault="00856171" w:rsidP="003659FC">
      <w:pPr>
        <w:pStyle w:val="AERbulletlistfirststyle"/>
        <w:numPr>
          <w:ilvl w:val="0"/>
          <w:numId w:val="24"/>
        </w:numPr>
      </w:pPr>
      <w:r w:rsidRPr="00883125">
        <w:lastRenderedPageBreak/>
        <w:t>A distribution rate across only listed equity was not presented in the Guideline. However, as set out above, we now consider</w:t>
      </w:r>
      <w:r w:rsidR="000E7689">
        <w:t xml:space="preserve"> </w:t>
      </w:r>
      <w:r>
        <w:t>i</w:t>
      </w:r>
      <w:r w:rsidRPr="00883125">
        <w:t>t is open to us to have regard to evidence from all equity and/or only listed equity</w:t>
      </w:r>
      <w:r w:rsidR="005678EB">
        <w:t xml:space="preserve"> </w:t>
      </w:r>
      <w:r>
        <w:t xml:space="preserve">(see section </w:t>
      </w:r>
      <w:r w:rsidR="00692B72">
        <w:fldChar w:fldCharType="begin"/>
      </w:r>
      <w:r w:rsidR="00692B72">
        <w:instrText xml:space="preserve"> REF _Ref450765039 \r \h </w:instrText>
      </w:r>
      <w:r w:rsidR="00692B72">
        <w:fldChar w:fldCharType="separate"/>
      </w:r>
      <w:r w:rsidR="00881794">
        <w:t>A.9.2</w:t>
      </w:r>
      <w:r w:rsidR="00692B72">
        <w:fldChar w:fldCharType="end"/>
      </w:r>
      <w:r w:rsidR="003F1D6B">
        <w:t>)</w:t>
      </w:r>
      <w:r w:rsidRPr="00883125">
        <w:t>.</w:t>
      </w:r>
      <w:r w:rsidR="00D538D1">
        <w:t xml:space="preserve"> We consider estimates of the distribution rate from listed equity and all equity are reasonably consistent with a benchmark efficient entity given the difficulties associated with </w:t>
      </w:r>
      <w:r w:rsidR="00DB67BE">
        <w:t>choosing a representative dataset</w:t>
      </w:r>
      <w:r w:rsidR="001B2D3D">
        <w:t xml:space="preserve"> (see section </w:t>
      </w:r>
      <w:r w:rsidR="001B2D3D">
        <w:fldChar w:fldCharType="begin"/>
      </w:r>
      <w:r w:rsidR="001B2D3D">
        <w:instrText xml:space="preserve"> REF _Ref401133206 \r \h </w:instrText>
      </w:r>
      <w:r w:rsidR="001B2D3D">
        <w:fldChar w:fldCharType="separate"/>
      </w:r>
      <w:r w:rsidR="00881794">
        <w:t>A.10</w:t>
      </w:r>
      <w:r w:rsidR="001B2D3D">
        <w:fldChar w:fldCharType="end"/>
      </w:r>
      <w:r w:rsidR="001B2D3D">
        <w:t>)</w:t>
      </w:r>
      <w:r w:rsidR="00DB67BE">
        <w:t>.</w:t>
      </w:r>
      <w:r w:rsidR="000E7689">
        <w:rPr>
          <w:rStyle w:val="FootnoteReference"/>
        </w:rPr>
        <w:footnoteReference w:id="111"/>
      </w:r>
      <w:r w:rsidR="000E7689">
        <w:t xml:space="preserve"> </w:t>
      </w:r>
    </w:p>
    <w:p w:rsidR="00A660BD" w:rsidRDefault="000E7689" w:rsidP="005764F6">
      <w:pPr>
        <w:pStyle w:val="AERbulletlistfirststyle"/>
        <w:numPr>
          <w:ilvl w:val="0"/>
          <w:numId w:val="24"/>
        </w:numPr>
      </w:pPr>
      <w:r>
        <w:t xml:space="preserve">In his latest report, Lally agrees that when estimating the distribution rate for a benchmark efficient entity, </w:t>
      </w:r>
      <w:r w:rsidR="00A660BD">
        <w:t>practical</w:t>
      </w:r>
      <w:r w:rsidRPr="000E7689">
        <w:t xml:space="preserve"> considerations </w:t>
      </w:r>
      <w:r w:rsidR="00A660BD">
        <w:t>indicate</w:t>
      </w:r>
      <w:r w:rsidRPr="000E7689">
        <w:t xml:space="preserve"> the use of sector-wide data.</w:t>
      </w:r>
      <w:r>
        <w:t xml:space="preserve"> </w:t>
      </w:r>
      <w:r w:rsidR="00A660BD">
        <w:t>He recommends a listed equity distribution rate estimated from financial statements of the top 20 listed firms, stating that:</w:t>
      </w:r>
      <w:r w:rsidR="00A660BD">
        <w:rPr>
          <w:rStyle w:val="FootnoteReference"/>
        </w:rPr>
        <w:footnoteReference w:id="112"/>
      </w:r>
    </w:p>
    <w:p w:rsidR="000E7689" w:rsidRPr="005764F6" w:rsidRDefault="00A660BD" w:rsidP="005764F6">
      <w:pPr>
        <w:pStyle w:val="AERquote"/>
        <w:rPr>
          <w:shd w:val="clear" w:color="auto" w:fill="FFFF00"/>
        </w:rPr>
      </w:pPr>
      <w:r w:rsidRPr="00A660BD">
        <w:t>Furthermore, since privately-owned regulated businesses in Australia are typically listed firms or subsidiaries of listed firms, the appropriate set of firms to use to estimate the distribution rate of regulated businesses would seem to be listed firms.</w:t>
      </w:r>
    </w:p>
    <w:p w:rsidR="00757350" w:rsidRPr="00663AD0" w:rsidRDefault="000E7689" w:rsidP="005764F6">
      <w:pPr>
        <w:pStyle w:val="AERbulletlistfirststyle"/>
        <w:numPr>
          <w:ilvl w:val="0"/>
          <w:numId w:val="24"/>
        </w:numPr>
        <w:rPr>
          <w:rStyle w:val="AERtexthighlight"/>
        </w:rPr>
      </w:pPr>
      <w:r>
        <w:t>I</w:t>
      </w:r>
      <w:r w:rsidR="003F1D6B" w:rsidRPr="005764F6">
        <w:t xml:space="preserve">n his latest report, </w:t>
      </w:r>
      <w:r>
        <w:t xml:space="preserve">Lally </w:t>
      </w:r>
      <w:r w:rsidR="00A660BD">
        <w:t xml:space="preserve">also </w:t>
      </w:r>
      <w:r w:rsidR="003F1D6B" w:rsidRPr="005764F6">
        <w:t xml:space="preserve">considered it is </w:t>
      </w:r>
      <w:r w:rsidR="00757350" w:rsidRPr="005764F6">
        <w:t>'</w:t>
      </w:r>
      <w:r w:rsidR="003F1D6B" w:rsidRPr="005764F6">
        <w:t>not essential</w:t>
      </w:r>
      <w:r w:rsidR="00757350" w:rsidRPr="005764F6">
        <w:t xml:space="preserve"> but nor is it precluded'</w:t>
      </w:r>
      <w:r w:rsidR="003F1D6B" w:rsidRPr="005764F6">
        <w:t xml:space="preserve"> to </w:t>
      </w:r>
      <w:r w:rsidR="00757350" w:rsidRPr="005764F6">
        <w:t>'</w:t>
      </w:r>
      <w:r w:rsidR="003F1D6B" w:rsidRPr="005764F6">
        <w:t>match</w:t>
      </w:r>
      <w:r w:rsidR="00757350" w:rsidRPr="005764F6">
        <w:t>'</w:t>
      </w:r>
      <w:r w:rsidR="003F1D6B" w:rsidRPr="005764F6">
        <w:t xml:space="preserve"> distribution rates from all equity (all listed equity) to utilisation rates from all equity (all listed equity).</w:t>
      </w:r>
      <w:r w:rsidR="003F1D6B" w:rsidRPr="00757350">
        <w:rPr>
          <w:rStyle w:val="FootnoteReference"/>
        </w:rPr>
        <w:footnoteReference w:id="113"/>
      </w:r>
      <w:r w:rsidR="003F1D6B" w:rsidRPr="005764F6">
        <w:t xml:space="preserve"> This is because, even though the distribution rate may be estimated using market-wide data, it is, in principle, a firm-specific parameter. On the other hand, the utilisation rate is a market-wide parameter.</w:t>
      </w:r>
      <w:r w:rsidR="003F1D6B" w:rsidRPr="00757350">
        <w:rPr>
          <w:rStyle w:val="FootnoteReference"/>
        </w:rPr>
        <w:footnoteReference w:id="114"/>
      </w:r>
      <w:r w:rsidR="003F1D6B" w:rsidRPr="005764F6">
        <w:t xml:space="preserve"> Following this, we consider </w:t>
      </w:r>
      <w:r w:rsidR="00757350" w:rsidRPr="005764F6">
        <w:t>it is not necessary to 'match' estimates of distribution rates and utilisation rates based on the dataset used</w:t>
      </w:r>
      <w:r w:rsidR="00EA5758">
        <w:rPr>
          <w:rStyle w:val="AERbody"/>
        </w:rPr>
        <w:t>; although we note the choice is open to us</w:t>
      </w:r>
      <w:r w:rsidR="00EA5758" w:rsidRPr="00E64E9B">
        <w:rPr>
          <w:rStyle w:val="AERbody"/>
        </w:rPr>
        <w:t>.</w:t>
      </w:r>
      <w:r w:rsidR="002C65D4">
        <w:t xml:space="preserve"> </w:t>
      </w:r>
      <w:r w:rsidR="00FF2881">
        <w:t>While w</w:t>
      </w:r>
      <w:r w:rsidR="002C65D4">
        <w:t xml:space="preserve">e </w:t>
      </w:r>
      <w:r w:rsidR="00FF2881">
        <w:t xml:space="preserve">principally </w:t>
      </w:r>
      <w:r w:rsidR="002C65D4">
        <w:t>maintain our previous approach (as is open to us)</w:t>
      </w:r>
      <w:r w:rsidR="00FF2881">
        <w:t xml:space="preserve">, </w:t>
      </w:r>
      <w:r w:rsidR="002C65D4">
        <w:t>we</w:t>
      </w:r>
      <w:r w:rsidR="00FF2881">
        <w:t xml:space="preserve"> also</w:t>
      </w:r>
      <w:r w:rsidR="002C65D4">
        <w:t xml:space="preserve"> have some regard to </w:t>
      </w:r>
      <w:r w:rsidR="003F1D6B" w:rsidRPr="005764F6">
        <w:t>Lally</w:t>
      </w:r>
      <w:r w:rsidR="002C65D4">
        <w:t>'s preferred approach</w:t>
      </w:r>
      <w:r w:rsidR="003F1D6B" w:rsidRPr="005764F6">
        <w:t xml:space="preserve"> (which </w:t>
      </w:r>
      <w:r w:rsidR="002C65D4">
        <w:t xml:space="preserve">combines an </w:t>
      </w:r>
      <w:r w:rsidR="00FF2881">
        <w:t xml:space="preserve">all </w:t>
      </w:r>
      <w:r w:rsidR="002C65D4">
        <w:t xml:space="preserve">equity utilisation rate from the equity ownership approach with </w:t>
      </w:r>
      <w:r w:rsidR="00FF2881">
        <w:t>a distribution rate for listed equity from financial reports of the top 20 listed firms</w:t>
      </w:r>
      <w:r w:rsidR="003F1D6B" w:rsidRPr="005764F6">
        <w:t>).</w:t>
      </w:r>
      <w:r w:rsidR="003F1D6B" w:rsidRPr="00757350">
        <w:rPr>
          <w:rStyle w:val="FootnoteReference"/>
        </w:rPr>
        <w:footnoteReference w:id="115"/>
      </w:r>
      <w:r w:rsidR="003F1D6B" w:rsidRPr="00663AD0">
        <w:rPr>
          <w:rStyle w:val="AERtexthighlight"/>
        </w:rPr>
        <w:t xml:space="preserve"> </w:t>
      </w:r>
    </w:p>
    <w:p w:rsidR="00856171" w:rsidRDefault="00856171" w:rsidP="00856171">
      <w:r w:rsidRPr="00883125">
        <w:t>We discuss our approach to estimating the distribution rate further in section</w:t>
      </w:r>
      <w:r w:rsidR="006D4B92">
        <w:t>s</w:t>
      </w:r>
      <w:r w:rsidRPr="00883125">
        <w:t xml:space="preserve"> </w:t>
      </w:r>
      <w:r w:rsidR="006D4B92">
        <w:fldChar w:fldCharType="begin"/>
      </w:r>
      <w:r w:rsidR="006D4B92">
        <w:instrText xml:space="preserve"> REF _Ref414623120 \r \h </w:instrText>
      </w:r>
      <w:r w:rsidR="006D4B92">
        <w:fldChar w:fldCharType="separate"/>
      </w:r>
      <w:r w:rsidR="00881794">
        <w:t>A.8</w:t>
      </w:r>
      <w:r w:rsidR="006D4B92">
        <w:fldChar w:fldCharType="end"/>
      </w:r>
      <w:r w:rsidR="006D4B92">
        <w:t xml:space="preserve"> and </w:t>
      </w:r>
      <w:r w:rsidR="006D4B92">
        <w:fldChar w:fldCharType="begin"/>
      </w:r>
      <w:r w:rsidR="006D4B92">
        <w:instrText xml:space="preserve"> REF _Ref415068711 \r \h </w:instrText>
      </w:r>
      <w:r w:rsidR="006D4B92">
        <w:fldChar w:fldCharType="separate"/>
      </w:r>
      <w:r w:rsidR="00881794">
        <w:t>A.8.4</w:t>
      </w:r>
      <w:r w:rsidR="006D4B92">
        <w:fldChar w:fldCharType="end"/>
      </w:r>
      <w:r w:rsidRPr="00883125">
        <w:t>.</w:t>
      </w:r>
    </w:p>
    <w:p w:rsidR="00856171" w:rsidRPr="00856171" w:rsidRDefault="00856171" w:rsidP="00E82D06">
      <w:pPr>
        <w:pStyle w:val="HeadingBoldBlue"/>
      </w:pPr>
      <w:r>
        <w:t>The utilisation</w:t>
      </w:r>
      <w:r w:rsidRPr="00856171">
        <w:t xml:space="preserve"> rate </w:t>
      </w:r>
    </w:p>
    <w:p w:rsidR="00856171" w:rsidRPr="00883125" w:rsidRDefault="00856171" w:rsidP="00856171">
      <w:pPr>
        <w:numPr>
          <w:ilvl w:val="0"/>
          <w:numId w:val="24"/>
        </w:numPr>
      </w:pPr>
      <w:r w:rsidRPr="00883125">
        <w:t>We understand the utilisation rate to be the utilisation value to investors in the market per dollar of imputation credits distributed.</w:t>
      </w:r>
      <w:r>
        <w:rPr>
          <w:rStyle w:val="FootnoteReference"/>
        </w:rPr>
        <w:footnoteReference w:id="116"/>
      </w:r>
      <w:r w:rsidRPr="00883125">
        <w:t xml:space="preserve"> In the Monkhouse framework,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w:t>
      </w:r>
      <w:r w:rsidRPr="00883125">
        <w:rPr>
          <w:rStyle w:val="FootnoteReference"/>
        </w:rPr>
        <w:footnoteReference w:id="117"/>
      </w:r>
      <w:r w:rsidRPr="00883125">
        <w:t xml:space="preserve"> Therefore, we consider that eligible investors have a utilisation rate of 1. Conversely, ‘ineligible’ investors cannot utilise imputation credits and have a utilisation rate of 0. It follows that the utilisation rate reflects the extent to which investors can utilise the imputation credits they receive to reduce their tax or obtain a refund. </w:t>
      </w:r>
    </w:p>
    <w:p w:rsidR="00856171" w:rsidRPr="00883125" w:rsidRDefault="00856171" w:rsidP="00856171">
      <w:pPr>
        <w:pStyle w:val="AERbulletlistfirststyle"/>
        <w:numPr>
          <w:ilvl w:val="0"/>
          <w:numId w:val="24"/>
        </w:numPr>
      </w:pPr>
      <w:r>
        <w:lastRenderedPageBreak/>
        <w:t>This means</w:t>
      </w:r>
      <w:r w:rsidRPr="00883125">
        <w:t xml:space="preserve"> imputation credits expected to be utilised should be valued at full face value on a pre-personal tax basis. Valuing imputation credits at face value is consistent with how all inputs into the allowed rate of return are estimated. For example, the yield on debt is calculated where the face value of coupon payments and face value of the principal is used to determine the yield to maturity. Similarly, the face value of dividends are used to calculate the MRP under the historical average approach and in the dividend growth model. </w:t>
      </w:r>
    </w:p>
    <w:p w:rsidR="00856171" w:rsidRPr="00883125" w:rsidRDefault="00313016" w:rsidP="00856171">
      <w:pPr>
        <w:numPr>
          <w:ilvl w:val="0"/>
          <w:numId w:val="24"/>
        </w:numPr>
      </w:pPr>
      <w:r>
        <w:t>The</w:t>
      </w:r>
      <w:r w:rsidR="00856171" w:rsidRPr="00856171">
        <w:t xml:space="preserve"> </w:t>
      </w:r>
      <w:r w:rsidR="00C401BB">
        <w:t xml:space="preserve">implied </w:t>
      </w:r>
      <w:r w:rsidR="00856171" w:rsidRPr="00856171">
        <w:t xml:space="preserve">market </w:t>
      </w:r>
      <w:r w:rsidR="00C401BB">
        <w:t xml:space="preserve">value </w:t>
      </w:r>
      <w:r w:rsidR="00856171" w:rsidRPr="00856171">
        <w:t xml:space="preserve">studies that value dividends and imputation credits around the ex-dividend </w:t>
      </w:r>
      <w:r w:rsidRPr="00856171">
        <w:t>date</w:t>
      </w:r>
      <w:r w:rsidR="00856171" w:rsidRPr="00856171">
        <w:t xml:space="preserve"> are influenced by different personal tax treatment of capital gains and dividend income. These estimates are neither pre- nor post- personal tax estimates. We do not consider this is appropriate given our post (corporate) tax regulatory framework based on Officer 1994.</w:t>
      </w:r>
      <w:r w:rsidR="00856171" w:rsidRPr="00856171">
        <w:rPr>
          <w:rStyle w:val="FootnoteReference"/>
        </w:rPr>
        <w:footnoteReference w:id="118"/>
      </w:r>
      <w:r w:rsidR="00856171" w:rsidRPr="00856171">
        <w:t xml:space="preserve"> What is relevant is the cost that is imposed on a benchmark efficient entity. This is the cost before personal taxes and personal transaction costs are incurred. The face value of the imputation credit is the pre-personal tax value and personal tax is levied on this estimate.</w:t>
      </w:r>
      <w:r>
        <w:rPr>
          <w:rStyle w:val="FootnoteReference"/>
        </w:rPr>
        <w:footnoteReference w:id="119"/>
      </w:r>
    </w:p>
    <w:p w:rsidR="00856171" w:rsidRPr="00883125" w:rsidRDefault="00856171" w:rsidP="00856171">
      <w:pPr>
        <w:numPr>
          <w:ilvl w:val="0"/>
          <w:numId w:val="24"/>
        </w:numPr>
      </w:pPr>
      <w:r w:rsidRPr="00883125">
        <w:t>Consistent with the Guideline, when estimating the utilisation rate we place:</w:t>
      </w:r>
    </w:p>
    <w:p w:rsidR="00856171" w:rsidRPr="00883125" w:rsidRDefault="00856171" w:rsidP="00856171">
      <w:pPr>
        <w:pStyle w:val="AERbulletlistfirststyle"/>
      </w:pPr>
      <w:r w:rsidRPr="00883125">
        <w:t>significant reliance upon the equity ownership approach</w:t>
      </w:r>
    </w:p>
    <w:p w:rsidR="00856171" w:rsidRPr="00883125" w:rsidRDefault="00856171" w:rsidP="00856171">
      <w:pPr>
        <w:pStyle w:val="AERbulletlistfirststyle"/>
      </w:pPr>
      <w:r w:rsidRPr="00883125">
        <w:t>some reliance upon tax statistics</w:t>
      </w:r>
    </w:p>
    <w:p w:rsidR="00856171" w:rsidRDefault="00856171" w:rsidP="00856171">
      <w:pPr>
        <w:pStyle w:val="AERbulletlistfirststyle"/>
      </w:pPr>
      <w:r w:rsidRPr="00883125">
        <w:t>less reliance upon implied market value studies.</w:t>
      </w:r>
    </w:p>
    <w:p w:rsidR="006D4B92" w:rsidRPr="00883125" w:rsidRDefault="006D4B92" w:rsidP="005764F6">
      <w:r>
        <w:t>This weighting is supported by Lally.</w:t>
      </w:r>
      <w:r>
        <w:rPr>
          <w:rStyle w:val="FootnoteReference"/>
        </w:rPr>
        <w:footnoteReference w:id="120"/>
      </w:r>
    </w:p>
    <w:p w:rsidR="00856171" w:rsidRDefault="00856171" w:rsidP="00E82D06">
      <w:pPr>
        <w:numPr>
          <w:ilvl w:val="0"/>
          <w:numId w:val="24"/>
        </w:numPr>
      </w:pPr>
      <w:r w:rsidRPr="00883125">
        <w:t>The results from th</w:t>
      </w:r>
      <w:r>
        <w:t>e</w:t>
      </w:r>
      <w:r w:rsidRPr="00883125">
        <w:t xml:space="preserve">se classes of evidence are summarised in </w:t>
      </w:r>
      <w:r w:rsidRPr="00883125">
        <w:fldChar w:fldCharType="begin"/>
      </w:r>
      <w:r w:rsidRPr="00883125">
        <w:instrText xml:space="preserve"> REF  _Ref400900366 \* Lower \h </w:instrText>
      </w:r>
      <w:r w:rsidRPr="00883125">
        <w:fldChar w:fldCharType="separate"/>
      </w:r>
      <w:r w:rsidR="00881794" w:rsidRPr="00883125">
        <w:t xml:space="preserve">table </w:t>
      </w:r>
      <w:r w:rsidR="00881794">
        <w:rPr>
          <w:noProof/>
        </w:rPr>
        <w:t>4</w:t>
      </w:r>
      <w:r w:rsidR="00881794">
        <w:noBreakHyphen/>
      </w:r>
      <w:r w:rsidR="00881794">
        <w:rPr>
          <w:noProof/>
        </w:rPr>
        <w:t>3</w:t>
      </w:r>
      <w:r w:rsidRPr="00883125">
        <w:fldChar w:fldCharType="end"/>
      </w:r>
      <w:r w:rsidRPr="00883125">
        <w:t xml:space="preserve"> and </w:t>
      </w:r>
      <w:r w:rsidRPr="00883125">
        <w:fldChar w:fldCharType="begin"/>
      </w:r>
      <w:r w:rsidRPr="00883125">
        <w:instrText xml:space="preserve"> REF  _Ref404072148 \* Lower \h </w:instrText>
      </w:r>
      <w:r w:rsidRPr="00883125">
        <w:fldChar w:fldCharType="separate"/>
      </w:r>
      <w:r w:rsidR="00881794" w:rsidRPr="00883125">
        <w:t xml:space="preserve">table </w:t>
      </w:r>
      <w:r w:rsidR="00881794">
        <w:rPr>
          <w:noProof/>
        </w:rPr>
        <w:t>4</w:t>
      </w:r>
      <w:r w:rsidR="00881794">
        <w:noBreakHyphen/>
      </w:r>
      <w:r w:rsidR="00881794">
        <w:rPr>
          <w:noProof/>
        </w:rPr>
        <w:t>4</w:t>
      </w:r>
      <w:r w:rsidRPr="00883125">
        <w:fldChar w:fldCharType="end"/>
      </w:r>
      <w:r w:rsidRPr="00883125">
        <w:t>.</w:t>
      </w:r>
      <w:r>
        <w:t xml:space="preserve"> </w:t>
      </w:r>
      <w:r w:rsidRPr="00883125">
        <w:t>The relative importance that we assign to each approach is supported by Handley and Lally, while McKenzie and Partington's report for the Queensland Resources Council suggested that having regard to all of these approaches is reasonable.</w:t>
      </w:r>
      <w:r w:rsidRPr="00883125">
        <w:rPr>
          <w:rStyle w:val="FootnoteReference"/>
        </w:rPr>
        <w:footnoteReference w:id="121"/>
      </w:r>
      <w:r w:rsidRPr="00883125">
        <w:t xml:space="preserve"> We discuss each approach in the sections below.</w:t>
      </w:r>
      <w:r w:rsidRPr="00883125">
        <w:rPr>
          <w:rStyle w:val="FootnoteReference"/>
        </w:rPr>
        <w:footnoteReference w:id="122"/>
      </w:r>
      <w:r w:rsidRPr="00883125">
        <w:t xml:space="preserve"> We depart from the Guideline by not relying upon the 'conceptual goalposts approach'.</w:t>
      </w:r>
    </w:p>
    <w:p w:rsidR="00856171" w:rsidRDefault="00856171" w:rsidP="00E82D06">
      <w:pPr>
        <w:numPr>
          <w:ilvl w:val="0"/>
          <w:numId w:val="24"/>
        </w:numPr>
      </w:pPr>
      <w:r w:rsidRPr="00883125">
        <w:t xml:space="preserve">We discuss our interpretation and definition of the utilisation rate further in sections </w:t>
      </w:r>
      <w:r w:rsidRPr="00883125">
        <w:fldChar w:fldCharType="begin"/>
      </w:r>
      <w:r w:rsidRPr="00883125">
        <w:instrText xml:space="preserve"> REF _Ref400965182 \r \h </w:instrText>
      </w:r>
      <w:r w:rsidRPr="00883125">
        <w:fldChar w:fldCharType="separate"/>
      </w:r>
      <w:r w:rsidR="00881794">
        <w:t>A.6</w:t>
      </w:r>
      <w:r w:rsidRPr="00883125">
        <w:fldChar w:fldCharType="end"/>
      </w:r>
      <w:r w:rsidRPr="00883125">
        <w:t xml:space="preserve"> and </w:t>
      </w:r>
      <w:r w:rsidRPr="00883125">
        <w:fldChar w:fldCharType="begin"/>
      </w:r>
      <w:r w:rsidRPr="00883125">
        <w:instrText xml:space="preserve"> REF _Ref414623120 \r \h </w:instrText>
      </w:r>
      <w:r w:rsidRPr="00883125">
        <w:fldChar w:fldCharType="separate"/>
      </w:r>
      <w:r w:rsidR="00881794">
        <w:t>A.8</w:t>
      </w:r>
      <w:r w:rsidRPr="00883125">
        <w:fldChar w:fldCharType="end"/>
      </w:r>
      <w:r w:rsidRPr="00883125">
        <w:t xml:space="preserve">. </w:t>
      </w:r>
    </w:p>
    <w:p w:rsidR="00856171" w:rsidRPr="00856171" w:rsidRDefault="00856171" w:rsidP="00881794">
      <w:pPr>
        <w:pStyle w:val="HeadingBoldItalic"/>
      </w:pPr>
      <w:r>
        <w:t>The equity ownership approach</w:t>
      </w:r>
    </w:p>
    <w:p w:rsidR="00856171" w:rsidRPr="00883125" w:rsidRDefault="00856171" w:rsidP="00881794">
      <w:pPr>
        <w:numPr>
          <w:ilvl w:val="0"/>
          <w:numId w:val="24"/>
        </w:numPr>
      </w:pPr>
      <w:r w:rsidRPr="00883125">
        <w:t xml:space="preserve">We consider that the value-weighted proportion of domestic investors in the Australian equity market is a reasonable estimate of the utilisation rate. This is because, in general, domestic </w:t>
      </w:r>
      <w:r w:rsidRPr="00883125">
        <w:lastRenderedPageBreak/>
        <w:t>investors are eligible to utilise imputation credits and foreign investors are not. Moreover, as discussed above, we consider that eligible investors have a utilisation rate of 1 because each dollar of imputation credit received by these investors can be fully returned to them in the form of a reduction in tax payable or a refund. On a pre-personal tax basis</w:t>
      </w:r>
      <w:r>
        <w:t>,</w:t>
      </w:r>
      <w:r w:rsidRPr="00883125">
        <w:t xml:space="preserve"> one dollar of imputation credits reduces an eligible investor's tax bill by one dollar. We refer to this approach as the 'equity ownership approach', and we use data from the National Accounts of the Australian Bureau of Statistics (ABS) to estimate the domestic ownership share.</w:t>
      </w:r>
      <w:r w:rsidRPr="00883125">
        <w:rPr>
          <w:rStyle w:val="FootnoteReference"/>
        </w:rPr>
        <w:footnoteReference w:id="123"/>
      </w:r>
    </w:p>
    <w:p w:rsidR="00856171" w:rsidRPr="00883125" w:rsidRDefault="00856171" w:rsidP="00856171">
      <w:pPr>
        <w:numPr>
          <w:ilvl w:val="0"/>
          <w:numId w:val="24"/>
        </w:numPr>
      </w:pPr>
      <w:r w:rsidRPr="00883125">
        <w:t>We place significant reliance upon the equity ownership approach when considering estimates of the utilisation rate. This is because:</w:t>
      </w:r>
    </w:p>
    <w:p w:rsidR="00856171" w:rsidRPr="00883125" w:rsidRDefault="00856171" w:rsidP="00856171">
      <w:pPr>
        <w:pStyle w:val="AERbulletlistfirststyle"/>
      </w:pPr>
      <w:r w:rsidRPr="00883125">
        <w:t>it is well aligned with the definition of the utilisation rate in the Monkhouse framework</w:t>
      </w:r>
    </w:p>
    <w:p w:rsidR="00856171" w:rsidRPr="00883125" w:rsidRDefault="00856171" w:rsidP="00856171">
      <w:pPr>
        <w:pStyle w:val="AERbulletlistfirststyle"/>
      </w:pPr>
      <w:r w:rsidRPr="00883125">
        <w:t>it employs a relatively simple and intuitive methodology</w:t>
      </w:r>
    </w:p>
    <w:p w:rsidR="00856171" w:rsidRPr="00883125" w:rsidRDefault="00856171" w:rsidP="00856171">
      <w:pPr>
        <w:pStyle w:val="AERbulletlistfirststyle"/>
      </w:pPr>
      <w:r w:rsidRPr="00883125">
        <w:t>it uses a reliable and transparent source of data</w:t>
      </w:r>
    </w:p>
    <w:p w:rsidR="00372F3A" w:rsidRDefault="00856171" w:rsidP="00856171">
      <w:pPr>
        <w:pStyle w:val="AERbulletlistfirststyle"/>
      </w:pPr>
      <w:r w:rsidRPr="00883125">
        <w:t>it provides estimates of the utilisation rate for investors in both all equity and only listed equity</w:t>
      </w:r>
    </w:p>
    <w:p w:rsidR="005678EB" w:rsidRDefault="00856171" w:rsidP="005764F6">
      <w:r>
        <w:t>We recognise</w:t>
      </w:r>
      <w:r w:rsidRPr="00883125">
        <w:t xml:space="preserve"> the equity ownership approach </w:t>
      </w:r>
      <w:r>
        <w:t>does not take into account</w:t>
      </w:r>
      <w:r w:rsidRPr="00883125">
        <w:t xml:space="preserve"> </w:t>
      </w:r>
      <w:r>
        <w:t>the existence of</w:t>
      </w:r>
      <w:r w:rsidRPr="00883125">
        <w:t xml:space="preserve"> some </w:t>
      </w:r>
      <w:r>
        <w:t>domestic</w:t>
      </w:r>
      <w:r w:rsidRPr="00883125">
        <w:t xml:space="preserve"> investors </w:t>
      </w:r>
      <w:r>
        <w:t>that</w:t>
      </w:r>
      <w:r w:rsidRPr="00883125">
        <w:t xml:space="preserve"> do not hold their shares for 45 days at risk over the ex-dividend date</w:t>
      </w:r>
      <w:r>
        <w:t xml:space="preserve"> (the 45 day rule)</w:t>
      </w:r>
      <w:r w:rsidRPr="00883125">
        <w:t>.</w:t>
      </w:r>
      <w:r w:rsidRPr="00883125">
        <w:rPr>
          <w:rStyle w:val="FootnoteReference"/>
        </w:rPr>
        <w:footnoteReference w:id="124"/>
      </w:r>
      <w:r w:rsidRPr="00883125">
        <w:t xml:space="preserve"> </w:t>
      </w:r>
      <w:r>
        <w:t xml:space="preserve">However, we consider it is unlikely </w:t>
      </w:r>
      <w:r w:rsidRPr="00883125">
        <w:t>to have a material impact on the utilisation of imputation credits</w:t>
      </w:r>
      <w:r>
        <w:t xml:space="preserve"> by domestic</w:t>
      </w:r>
      <w:r w:rsidRPr="00883125">
        <w:t xml:space="preserve"> investors</w:t>
      </w:r>
      <w:r w:rsidR="005678EB">
        <w:t xml:space="preserve">. </w:t>
      </w:r>
      <w:r>
        <w:t xml:space="preserve">Importantly, </w:t>
      </w:r>
      <w:r w:rsidRPr="00883125">
        <w:t xml:space="preserve">no data has been presented that </w:t>
      </w:r>
      <w:r>
        <w:t>demonstrates a material impact</w:t>
      </w:r>
      <w:r w:rsidRPr="00883125">
        <w:t>.</w:t>
      </w:r>
    </w:p>
    <w:p w:rsidR="004F21F7" w:rsidRDefault="00856171" w:rsidP="004F21F7">
      <w:r>
        <w:t xml:space="preserve">We also recognise the equity ownership approach produces a range of estimates of the utilisation </w:t>
      </w:r>
      <w:r w:rsidR="0005260B">
        <w:t>rate</w:t>
      </w:r>
      <w:r>
        <w:t xml:space="preserve">, and the upper end of this range is higher than the estimate produced from tax statistics (see discussion under 'Tax statistics' below). However, we do not consider this means the equity ownership approach is incorrect. This is because tax statistics, like the equity ownership approach, produce an estimate of the utilisation </w:t>
      </w:r>
      <w:r w:rsidR="0005260B">
        <w:t>rate</w:t>
      </w:r>
      <w:r>
        <w:t>. These estimates are uncertain and dependent on the quality of the underlying data</w:t>
      </w:r>
      <w:r w:rsidR="001925B1">
        <w:t xml:space="preserve"> (this is a particular issue for tax statistics)</w:t>
      </w:r>
      <w:r>
        <w:t xml:space="preserve">. As such, </w:t>
      </w:r>
      <w:r w:rsidRPr="00883125">
        <w:t>the true (unknown) value could be higher or lower.</w:t>
      </w:r>
      <w:r>
        <w:t xml:space="preserve"> Following this, we do not consider </w:t>
      </w:r>
      <w:r w:rsidRPr="00883125">
        <w:t xml:space="preserve">the 45 day rule explains the difference in utilisation </w:t>
      </w:r>
      <w:r w:rsidR="0005260B">
        <w:t>rate</w:t>
      </w:r>
      <w:r w:rsidR="0005260B" w:rsidRPr="00883125">
        <w:t xml:space="preserve"> </w:t>
      </w:r>
      <w:r>
        <w:t>estimates between</w:t>
      </w:r>
      <w:r w:rsidRPr="00883125">
        <w:t xml:space="preserve"> tax statistics and the equity ownership approach.</w:t>
      </w:r>
      <w:r w:rsidRPr="00E92A90">
        <w:t xml:space="preserve"> </w:t>
      </w:r>
      <w:r w:rsidRPr="00883125">
        <w:t>We consider the difference is likely drive</w:t>
      </w:r>
      <w:r>
        <w:t>n</w:t>
      </w:r>
      <w:r w:rsidRPr="00883125">
        <w:t xml:space="preserve"> by estimation error in the taxation data</w:t>
      </w:r>
      <w:r>
        <w:t>.</w:t>
      </w:r>
      <w:r w:rsidR="005678EB">
        <w:t xml:space="preserve"> This view is supported by Lally.</w:t>
      </w:r>
      <w:r w:rsidR="005678EB">
        <w:rPr>
          <w:rStyle w:val="FootnoteReference"/>
        </w:rPr>
        <w:footnoteReference w:id="125"/>
      </w:r>
      <w:r w:rsidR="004F21F7" w:rsidRPr="004F21F7">
        <w:t xml:space="preserve"> </w:t>
      </w:r>
      <w:r w:rsidR="004F21F7">
        <w:t>We also note Lally's statement that:</w:t>
      </w:r>
      <w:r w:rsidR="004F21F7">
        <w:rPr>
          <w:rStyle w:val="FootnoteReference"/>
        </w:rPr>
        <w:footnoteReference w:id="126"/>
      </w:r>
    </w:p>
    <w:p w:rsidR="00856171" w:rsidRPr="00883125" w:rsidRDefault="004F21F7" w:rsidP="005764F6">
      <w:pPr>
        <w:pStyle w:val="AERquote"/>
      </w:pPr>
      <w:r w:rsidRPr="004F21F7">
        <w:t>Thus, if foreign investors are recognized and absent any information on the terms other than the value weights on the RHS of equation (8), the equity ownership approach is not an upper bound on theta but an unbiased estimate.</w:t>
      </w:r>
    </w:p>
    <w:p w:rsidR="00856171" w:rsidRPr="00883125" w:rsidRDefault="00856171" w:rsidP="00164D25">
      <w:pPr>
        <w:keepNext/>
        <w:numPr>
          <w:ilvl w:val="0"/>
          <w:numId w:val="24"/>
        </w:numPr>
      </w:pPr>
      <w:r w:rsidRPr="00883125">
        <w:lastRenderedPageBreak/>
        <w:t>We consider that a reasonable estimate for the utilisation rate from the equity ownership approach is between:</w:t>
      </w:r>
    </w:p>
    <w:p w:rsidR="00856171" w:rsidRPr="00883125" w:rsidRDefault="00856171" w:rsidP="00164D25">
      <w:pPr>
        <w:pStyle w:val="AERbulletlistfirststyle"/>
        <w:keepNext/>
      </w:pPr>
      <w:r w:rsidRPr="00883125">
        <w:t>0.56 and 0.68, if all equity is considered</w:t>
      </w:r>
    </w:p>
    <w:p w:rsidR="00856171" w:rsidRPr="00883125" w:rsidRDefault="00856171" w:rsidP="00856171">
      <w:pPr>
        <w:pStyle w:val="AERbulletlistfirststyle"/>
      </w:pPr>
      <w:r w:rsidRPr="00883125">
        <w:t>0.38 and 0.55, if only listed equity is considered.</w:t>
      </w:r>
    </w:p>
    <w:p w:rsidR="00856171" w:rsidRDefault="00856171" w:rsidP="00856171">
      <w:r w:rsidRPr="00883125">
        <w:t xml:space="preserve">This differs from the Guideline. In the Guideline, we considered that the equity ownership approach supported a utilisation rate between 0.7 and 0.8. Since the Guideline's publication, we have examined more closely the relevant data from the National Accounts. This has allowed us to update and refine our estimates. </w:t>
      </w:r>
    </w:p>
    <w:p w:rsidR="00856171" w:rsidRDefault="00856171" w:rsidP="00856171">
      <w:r w:rsidRPr="00883125">
        <w:t xml:space="preserve">We describe our application of the equity ownership approach and our re-examination of this source of evidence since the Guideline in detail in section </w:t>
      </w:r>
      <w:r w:rsidRPr="00883125">
        <w:fldChar w:fldCharType="begin"/>
      </w:r>
      <w:r w:rsidRPr="00883125">
        <w:instrText xml:space="preserve"> REF _Ref415049811 \r \h </w:instrText>
      </w:r>
      <w:r w:rsidRPr="00883125">
        <w:fldChar w:fldCharType="separate"/>
      </w:r>
      <w:r w:rsidR="00881794">
        <w:t>A.12</w:t>
      </w:r>
      <w:r w:rsidRPr="00883125">
        <w:fldChar w:fldCharType="end"/>
      </w:r>
      <w:r w:rsidRPr="00883125">
        <w:t>.</w:t>
      </w:r>
    </w:p>
    <w:p w:rsidR="00856171" w:rsidRPr="00856171" w:rsidRDefault="00856171" w:rsidP="00E82D06">
      <w:pPr>
        <w:pStyle w:val="HeadingBoldItalic"/>
      </w:pPr>
      <w:r>
        <w:t>Tax statistics</w:t>
      </w:r>
    </w:p>
    <w:p w:rsidR="00856171" w:rsidRPr="00883125" w:rsidRDefault="00856171" w:rsidP="00856171">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127"/>
      </w:r>
      <w:r w:rsidRPr="00883125">
        <w:t xml:space="preserve"> In theory,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the reported value of credits utilised divided by the reported value of credits distributed is </w:t>
      </w:r>
      <w:r w:rsidR="00164D25" w:rsidRPr="00883125">
        <w:t>an</w:t>
      </w:r>
      <w:r w:rsidRPr="00883125">
        <w:t xml:space="preserve"> estimate of the utilisation rate</w:t>
      </w:r>
      <w:r w:rsidR="004F21F7">
        <w:t>.</w:t>
      </w:r>
      <w:r w:rsidR="005678EB">
        <w:t xml:space="preserve"> </w:t>
      </w:r>
      <w:r w:rsidRPr="00883125">
        <w:t xml:space="preserve"> </w:t>
      </w:r>
    </w:p>
    <w:p w:rsidR="00856171" w:rsidRDefault="00856171" w:rsidP="00856171">
      <w:pPr>
        <w:numPr>
          <w:ilvl w:val="0"/>
          <w:numId w:val="24"/>
        </w:numPr>
      </w:pPr>
      <w:r w:rsidRPr="00883125">
        <w:t>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considered tax statistics to be the second most important approach to estimating the utilisation rate after the equity ownership approach.</w:t>
      </w:r>
      <w:r w:rsidRPr="00883125">
        <w:rPr>
          <w:rStyle w:val="FootnoteReference"/>
        </w:rPr>
        <w:footnoteReference w:id="128"/>
      </w:r>
      <w:r w:rsidRPr="00883125">
        <w:t xml:space="preserve"> Lally considered that the tax statistics approach lacks precision, and he did not prefer it to the equity ownership approach.</w:t>
      </w:r>
      <w:r w:rsidRPr="00883125">
        <w:rPr>
          <w:rStyle w:val="FootnoteReference"/>
        </w:rPr>
        <w:footnoteReference w:id="129"/>
      </w:r>
      <w:r w:rsidRPr="00883125">
        <w:t xml:space="preserve"> However, Lally still preferred tax statistics to implied market value studies.</w:t>
      </w:r>
      <w:r w:rsidRPr="00883125">
        <w:rPr>
          <w:rStyle w:val="FootnoteReference"/>
        </w:rPr>
        <w:footnoteReference w:id="130"/>
      </w:r>
    </w:p>
    <w:p w:rsidR="00856171" w:rsidRPr="00883125" w:rsidRDefault="00856171" w:rsidP="00856171">
      <w:pPr>
        <w:numPr>
          <w:ilvl w:val="0"/>
          <w:numId w:val="24"/>
        </w:numPr>
      </w:pPr>
      <w:r w:rsidRPr="00883125">
        <w:t>We have placed less reliance upon tax statistics compared with the equity ownership approach because we consider that tax statistics have a number of limitations:</w:t>
      </w:r>
    </w:p>
    <w:p w:rsidR="00856171" w:rsidRPr="00883125" w:rsidRDefault="00856171" w:rsidP="00856171">
      <w:pPr>
        <w:pStyle w:val="AERbulletlistfirststyle"/>
      </w:pPr>
      <w:r w:rsidRPr="00883125">
        <w:t>There are residual concerns regarding the data. While Hathaway considered that the amounts of tax paid and credits utilised can be concluded ‘with some confidence’ and that they are ‘unlikely to be in major error’</w:t>
      </w:r>
      <w:r w:rsidR="006D4B92">
        <w:t>.</w:t>
      </w:r>
      <w:r w:rsidRPr="00883125">
        <w:t xml:space="preserve"> Hathaway also identified a significant </w:t>
      </w:r>
      <w:r w:rsidRPr="00883125">
        <w:lastRenderedPageBreak/>
        <w:t>discrepancy associated with the tracking of imputation credits in the data that led him to 'urge all caution in using ATO statistics for any estimates of parameters concerned with [imputation] credits'.</w:t>
      </w:r>
      <w:r w:rsidRPr="00883125">
        <w:rPr>
          <w:rStyle w:val="FootnoteReference"/>
        </w:rPr>
        <w:footnoteReference w:id="131"/>
      </w:r>
    </w:p>
    <w:p w:rsidR="00856171" w:rsidRPr="00883125" w:rsidRDefault="00856171" w:rsidP="00856171">
      <w:pPr>
        <w:pStyle w:val="AERbulletlistfirststyle"/>
      </w:pPr>
      <w:r w:rsidRPr="00883125">
        <w:t>They do not reflect the amount of credits refunded to individuals that do not have to fill out a tax return.</w:t>
      </w:r>
    </w:p>
    <w:p w:rsidR="00856171" w:rsidRPr="00883125" w:rsidRDefault="00856171" w:rsidP="00856171">
      <w:pPr>
        <w:pStyle w:val="AERbulletlistfirststyle"/>
      </w:pPr>
      <w:r w:rsidRPr="00883125">
        <w:t>They might not reflect the amount of credits refunded to certain types of entities.</w:t>
      </w:r>
      <w:r w:rsidRPr="00883125">
        <w:rPr>
          <w:rStyle w:val="FootnoteReference"/>
        </w:rPr>
        <w:footnoteReference w:id="132"/>
      </w:r>
      <w:r w:rsidRPr="00883125">
        <w:t xml:space="preserve"> </w:t>
      </w:r>
    </w:p>
    <w:p w:rsidR="00651D7E" w:rsidRDefault="00856171" w:rsidP="00856171">
      <w:pPr>
        <w:pStyle w:val="AERbulletlistfirststyle"/>
      </w:pPr>
      <w:r w:rsidRPr="00883125">
        <w:t>They do not provide estimates of the utilisation rate for investors in only listed equity. Handley suggested that evidence from listed equity is more relevant to the benchmark efficient entity.</w:t>
      </w:r>
      <w:r w:rsidRPr="00883125">
        <w:rPr>
          <w:rStyle w:val="FootnoteReference"/>
        </w:rPr>
        <w:footnoteReference w:id="133"/>
      </w:r>
    </w:p>
    <w:p w:rsidR="00856171" w:rsidRPr="005764F6" w:rsidRDefault="00651D7E">
      <w:pPr>
        <w:pStyle w:val="AERbulletlistfirststyle"/>
      </w:pPr>
      <w:r w:rsidRPr="005764F6">
        <w:t xml:space="preserve">Lally, in his latest report, considered tax statistics </w:t>
      </w:r>
      <w:r w:rsidR="00163D19" w:rsidRPr="005764F6">
        <w:t xml:space="preserve">based estimates of the utilisation rate </w:t>
      </w:r>
      <w:r w:rsidRPr="005764F6">
        <w:t xml:space="preserve">are </w:t>
      </w:r>
      <w:r w:rsidR="00163D19" w:rsidRPr="005764F6">
        <w:t>unreliable and potentially</w:t>
      </w:r>
      <w:r w:rsidRPr="005764F6">
        <w:t xml:space="preserve"> biased.</w:t>
      </w:r>
      <w:r w:rsidRPr="005764F6">
        <w:rPr>
          <w:rStyle w:val="FootnoteReference"/>
        </w:rPr>
        <w:footnoteReference w:id="134"/>
      </w:r>
      <w:r w:rsidR="006D4B92" w:rsidRPr="005764F6">
        <w:t xml:space="preserve"> </w:t>
      </w:r>
    </w:p>
    <w:p w:rsidR="00856171" w:rsidRPr="00883125" w:rsidRDefault="00856171" w:rsidP="00856171">
      <w:pPr>
        <w:numPr>
          <w:ilvl w:val="0"/>
          <w:numId w:val="24"/>
        </w:numPr>
      </w:pPr>
      <w:r w:rsidRPr="00883125">
        <w:t>With regard to Hathaway's analysis, in the draft decisions released in 2014 we considered that tax statistics supported an estimate of the utilisation rate between 0.4 and 0.6.</w:t>
      </w:r>
      <w:r w:rsidRPr="00883125">
        <w:rPr>
          <w:rStyle w:val="FootnoteReference"/>
        </w:rPr>
        <w:footnoteReference w:id="135"/>
      </w:r>
      <w:r w:rsidRPr="00883125">
        <w:t xml:space="preserve"> However, we also recognised in the draft decisions </w:t>
      </w:r>
      <w:r w:rsidR="00C263E6">
        <w:t xml:space="preserve">released in 2014 </w:t>
      </w:r>
      <w:r w:rsidRPr="00883125">
        <w:t>that our estimate of the distribution rate (0.7) implied that we should adopt a utilisation rate of around 0.43 from within this range for consistency. This differs from the Guideline, in which we considered that tax statistics supported an estimate of the utilisation rate between 0.4 and 0.8.</w:t>
      </w:r>
    </w:p>
    <w:p w:rsidR="00856171" w:rsidRPr="00883125" w:rsidRDefault="00856171" w:rsidP="00856171">
      <w:pPr>
        <w:numPr>
          <w:ilvl w:val="0"/>
          <w:numId w:val="24"/>
        </w:numPr>
      </w:pPr>
      <w:r w:rsidRPr="00883125">
        <w:t>Since the Guideline, we have continued to examine this evidence. We now consider that greater reliance should be placed upon estimates that are:</w:t>
      </w:r>
    </w:p>
    <w:p w:rsidR="00856171" w:rsidRPr="00883125" w:rsidRDefault="00856171" w:rsidP="00856171">
      <w:pPr>
        <w:pStyle w:val="AERbulletlistfirststyle"/>
      </w:pPr>
      <w:r w:rsidRPr="00883125">
        <w:t>derived from post-2004 data, consistent with Hathaway's findings that the ATO statistics are subject to a number of issues prior to 2004</w:t>
      </w:r>
      <w:r w:rsidRPr="00883125">
        <w:rPr>
          <w:rStyle w:val="FootnoteReference"/>
        </w:rPr>
        <w:footnoteReference w:id="136"/>
      </w:r>
    </w:p>
    <w:p w:rsidR="00856171" w:rsidRPr="00883125" w:rsidRDefault="00856171" w:rsidP="00856171">
      <w:pPr>
        <w:pStyle w:val="AERbulletlistfirststyle"/>
      </w:pPr>
      <w:r w:rsidRPr="00883125">
        <w:t>consistent with our estimates of the distribution rate</w:t>
      </w:r>
      <w:r w:rsidR="00231356">
        <w:t xml:space="preserve">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w:t>
      </w:r>
      <w:r w:rsidRPr="00883125">
        <w:t>.</w:t>
      </w:r>
      <w:r w:rsidR="00231356">
        <w:rPr>
          <w:rStyle w:val="FootnoteReference"/>
        </w:rPr>
        <w:footnoteReference w:id="137"/>
      </w:r>
      <w:r w:rsidR="004820F9" w:rsidRPr="004820F9">
        <w:t xml:space="preserve"> </w:t>
      </w:r>
    </w:p>
    <w:p w:rsidR="00856171" w:rsidRPr="00856171" w:rsidRDefault="00856171" w:rsidP="00E82D06">
      <w:r w:rsidRPr="00883125">
        <w:t xml:space="preserve">In this </w:t>
      </w:r>
      <w:r w:rsidRPr="00856171">
        <w:t>final decision, we have regard to NERA's updated analysis of the ATO data to the 2012 tax year.</w:t>
      </w:r>
      <w:r w:rsidRPr="00856171">
        <w:rPr>
          <w:rStyle w:val="FootnoteReference"/>
        </w:rPr>
        <w:footnoteReference w:id="138"/>
      </w:r>
      <w:r w:rsidRPr="00856171">
        <w:t xml:space="preserve"> This analysis supports a distribution rate of 0.7 and a utilisation rate of 0.45. Using updated ATO data to the 2012-13 year, Gray (for Frontier) has estimated a </w:t>
      </w:r>
      <w:r w:rsidRPr="00856171">
        <w:lastRenderedPageBreak/>
        <w:t>slightly higher utilisation rate of 0.46 for the period 2004 to 2013. Our analysis uses updated ATO data up to 2013-14 and estimates a slightly higher utilisation rate of 0.48 for the period 2004 to 2014.</w:t>
      </w:r>
    </w:p>
    <w:p w:rsidR="00856171" w:rsidRPr="00856171" w:rsidRDefault="00856171" w:rsidP="00E82D06">
      <w:r>
        <w:t>We consider</w:t>
      </w:r>
      <w:r w:rsidRPr="00856171">
        <w:t xml:space="preserve"> tax statistics are a valid method for estimating a point estimate of the utilisation </w:t>
      </w:r>
      <w:r w:rsidR="0005260B">
        <w:t>rate</w:t>
      </w:r>
      <w:r w:rsidRPr="00856171">
        <w:t xml:space="preserve">. However, we consider it provides a less reliable estimate of the utilisation </w:t>
      </w:r>
      <w:r w:rsidR="0005260B">
        <w:t>rate</w:t>
      </w:r>
      <w:r w:rsidR="0005260B" w:rsidRPr="00856171">
        <w:t xml:space="preserve"> </w:t>
      </w:r>
      <w:r w:rsidRPr="00856171">
        <w:t>than the equity ownership approach (see discussion under 'Equity ownership approach' above). This is because there are issues with the underlying taxation data. As explained above, we consider the</w:t>
      </w:r>
      <w:r w:rsidR="00F17E04">
        <w:t>re are issues with the</w:t>
      </w:r>
      <w:r w:rsidRPr="00856171">
        <w:t xml:space="preserve"> </w:t>
      </w:r>
      <w:r w:rsidR="00EB3380">
        <w:t xml:space="preserve">underlying taxation data </w:t>
      </w:r>
      <w:r w:rsidRPr="00856171">
        <w:t xml:space="preserve">and experts </w:t>
      </w:r>
      <w:r w:rsidR="00EB3380">
        <w:t>consider it to be unreliable</w:t>
      </w:r>
      <w:r w:rsidRPr="00856171">
        <w:t>.</w:t>
      </w:r>
      <w:r w:rsidR="00F17E04" w:rsidRPr="00F17E04">
        <w:t xml:space="preserve"> </w:t>
      </w:r>
      <w:r w:rsidR="00F17E04">
        <w:t>Nevertheless, h</w:t>
      </w:r>
      <w:r w:rsidR="00F17E04" w:rsidRPr="00F17E04">
        <w:t>aving regard to the potential data limitations and alternate estimates, the evidence from tax statistics is not inconsistent with the evidence from the equity ownership approach. We also note</w:t>
      </w:r>
      <w:r w:rsidR="00F17E04">
        <w:t xml:space="preserve"> that </w:t>
      </w:r>
      <w:r w:rsidR="00F17E04" w:rsidRPr="00F17E04">
        <w:t>an estimate of gamma of approximately 0.4 is obtained when combining a utilisation rate of 0.48 (</w:t>
      </w:r>
      <w:r w:rsidR="00E35BE0">
        <w:t>consistent with</w:t>
      </w:r>
      <w:r w:rsidR="00F17E04" w:rsidRPr="00F17E04">
        <w:t xml:space="preserve"> FAB data) with Lally's preferred estimate of the distribution rate for a benchmark efficient entity of 0.83</w:t>
      </w:r>
      <w:r w:rsidR="00F17E04">
        <w:t>.</w:t>
      </w:r>
      <w:r w:rsidR="004820F9" w:rsidRPr="00856171">
        <w:t xml:space="preserve"> </w:t>
      </w:r>
    </w:p>
    <w:p w:rsidR="00856171" w:rsidRDefault="00856171" w:rsidP="00856171">
      <w:r w:rsidRPr="00883125">
        <w:t xml:space="preserve">We discuss our revised </w:t>
      </w:r>
      <w:r>
        <w:t xml:space="preserve">(post-Guideline) </w:t>
      </w:r>
      <w:r w:rsidRPr="00883125">
        <w:t xml:space="preserve">consideration of tax statistics in more detail in section </w:t>
      </w:r>
      <w:r w:rsidRPr="00883125">
        <w:fldChar w:fldCharType="begin"/>
      </w:r>
      <w:r w:rsidRPr="00883125">
        <w:instrText xml:space="preserve"> REF _Ref402179420 \r \h </w:instrText>
      </w:r>
      <w:r w:rsidRPr="00883125">
        <w:fldChar w:fldCharType="separate"/>
      </w:r>
      <w:r w:rsidR="00881794">
        <w:t>A.13</w:t>
      </w:r>
      <w:r w:rsidRPr="00883125">
        <w:fldChar w:fldCharType="end"/>
      </w:r>
      <w:r w:rsidRPr="00883125">
        <w:t>.</w:t>
      </w:r>
    </w:p>
    <w:p w:rsidR="00856171" w:rsidRPr="00856171" w:rsidRDefault="00856171" w:rsidP="00E82D06">
      <w:pPr>
        <w:pStyle w:val="HeadingBoldItalic"/>
      </w:pPr>
      <w:r>
        <w:t>Implied market value studies</w:t>
      </w:r>
    </w:p>
    <w:p w:rsidR="00856171" w:rsidRPr="00883125" w:rsidRDefault="00856171" w:rsidP="00856171">
      <w:pPr>
        <w:numPr>
          <w:ilvl w:val="0"/>
          <w:numId w:val="24"/>
        </w:numPr>
      </w:pPr>
      <w:r w:rsidRPr="00883125">
        <w:t xml:space="preserve">Implied market value studies seek to infer from market prices the value of distributed imputation credits. A wide range of such studies have been conducted over time, employing a variety of techniques. A common type of implied market value study are dividend drop off studies. These studies compare the price of a security with and without the entitlement to a dividend. Econometric techniques are then used to infer the value of the imputation credits attached to these dividends. We discuss the different types of implied market value study in section </w:t>
      </w:r>
      <w:r w:rsidRPr="00883125">
        <w:fldChar w:fldCharType="begin"/>
      </w:r>
      <w:r w:rsidRPr="00883125">
        <w:instrText xml:space="preserve"> REF _Ref402791521 \r \h </w:instrText>
      </w:r>
      <w:r w:rsidRPr="00883125">
        <w:fldChar w:fldCharType="separate"/>
      </w:r>
      <w:r w:rsidR="00881794">
        <w:t>A.15.1</w:t>
      </w:r>
      <w:r w:rsidRPr="00883125">
        <w:fldChar w:fldCharType="end"/>
      </w:r>
      <w:r w:rsidRPr="00883125">
        <w:t>.</w:t>
      </w:r>
    </w:p>
    <w:p w:rsidR="00856171" w:rsidRPr="00883125" w:rsidRDefault="00856171" w:rsidP="00856171">
      <w:pPr>
        <w:numPr>
          <w:ilvl w:val="0"/>
          <w:numId w:val="24"/>
        </w:numPr>
      </w:pPr>
      <w:r w:rsidRPr="00883125">
        <w:t>We consider that the equity ownership approach and tax statistics provide more direct and simpler evidence on the utilisation rate than implied market value studies. Handley supported this view; he noted that dividend drop off studies are the most relevant class of implied market value study, but considered them less important to estimating the utilisation rate than the equity ownership approach and tax statistics.</w:t>
      </w:r>
      <w:r w:rsidRPr="00883125">
        <w:rPr>
          <w:rStyle w:val="FootnoteReference"/>
        </w:rPr>
        <w:footnoteReference w:id="139"/>
      </w:r>
      <w:r w:rsidRPr="00883125">
        <w:t xml:space="preserve"> Lally identified a number of issues with using market prices to estimate the utilisation rate and, therefore, preferred the equity ownership approach.</w:t>
      </w:r>
      <w:r w:rsidRPr="00883125">
        <w:rPr>
          <w:rStyle w:val="FootnoteReference"/>
        </w:rPr>
        <w:footnoteReference w:id="140"/>
      </w:r>
      <w:r w:rsidR="00651D7E">
        <w:t xml:space="preserve"> </w:t>
      </w:r>
      <w:r w:rsidR="006626E2">
        <w:t>In his latest report, Lally preferred both the equity ownership approach and tax statistics to dividend drop off studies.</w:t>
      </w:r>
      <w:r w:rsidR="006626E2">
        <w:rPr>
          <w:rStyle w:val="FootnoteReference"/>
        </w:rPr>
        <w:footnoteReference w:id="141"/>
      </w:r>
    </w:p>
    <w:p w:rsidR="00856171" w:rsidRPr="00883125" w:rsidRDefault="00856171" w:rsidP="00856171">
      <w:pPr>
        <w:numPr>
          <w:ilvl w:val="0"/>
          <w:numId w:val="24"/>
        </w:numPr>
      </w:pPr>
      <w:r w:rsidRPr="00883125">
        <w:t>We also consider that these studies can be subject to a number of limitations. The limitations of implied market value studies can include:</w:t>
      </w:r>
    </w:p>
    <w:p w:rsidR="00856171" w:rsidRPr="00883125" w:rsidRDefault="00856171" w:rsidP="00856171">
      <w:pPr>
        <w:pStyle w:val="AERbulletlistfirststyle"/>
      </w:pPr>
      <w:r w:rsidRPr="00883125">
        <w:t>These studies can produce nonsensical estimates of the utilisation rate; that is, greater than one or less than zero.</w:t>
      </w:r>
    </w:p>
    <w:p w:rsidR="00856171" w:rsidRPr="00883125" w:rsidRDefault="00856171" w:rsidP="00856171">
      <w:pPr>
        <w:pStyle w:val="AERbulletlistfirststyle"/>
      </w:pPr>
      <w:r w:rsidRPr="00883125">
        <w:lastRenderedPageBreak/>
        <w:t>The results of these studies can be influenced by factors, such as differential personal taxes and risk, which are not relevant to the utilisation rate. The utilisation rate should be estimated on a pre-personal tax basis consistent with the allowed rate of return parameters and the post (corporate) tax framework in the NER/NGR.</w:t>
      </w:r>
    </w:p>
    <w:p w:rsidR="00856171" w:rsidRPr="00883125" w:rsidRDefault="00856171" w:rsidP="00856171">
      <w:pPr>
        <w:pStyle w:val="AERbulletlistfirststyle"/>
      </w:pPr>
      <w:r w:rsidRPr="00883125">
        <w:t>The results of these studies might not be reflective of the value of imputation credits to investors in the market as a whole. For instance, in dividend drop off studies the value of imputation credits is determined by the marginal investor that trade around the ex-dividend date.</w:t>
      </w:r>
      <w:r w:rsidRPr="00883125">
        <w:rPr>
          <w:rStyle w:val="FootnoteReference"/>
        </w:rPr>
        <w:footnoteReference w:id="142"/>
      </w:r>
      <w:r w:rsidRPr="00883125">
        <w:t xml:space="preserve"> There is no reason to assume this reflects the value that long term investors who provide capital to </w:t>
      </w:r>
      <w:r>
        <w:t>a</w:t>
      </w:r>
      <w:r w:rsidRPr="00883125">
        <w:t xml:space="preserve"> benchmark efficient entity place on imputation credits in aggregate</w:t>
      </w:r>
      <w:r>
        <w:t>. There is also no reason to assume</w:t>
      </w:r>
      <w:r w:rsidRPr="00883125">
        <w:t xml:space="preserve"> this value will show what proportion of company tax is a prepayment of personal tax.</w:t>
      </w:r>
      <w:r w:rsidRPr="00883125">
        <w:rPr>
          <w:rStyle w:val="FootnoteReference"/>
        </w:rPr>
        <w:footnoteReference w:id="143"/>
      </w:r>
    </w:p>
    <w:p w:rsidR="00856171" w:rsidRPr="00883125" w:rsidRDefault="00856171" w:rsidP="00856171">
      <w:pPr>
        <w:pStyle w:val="AERbulletlistfirststyle"/>
      </w:pPr>
      <w:r w:rsidRPr="00883125">
        <w:t>These studies can be data intensive and employ complex and sometimes problematic estimation methodologies.</w:t>
      </w:r>
    </w:p>
    <w:p w:rsidR="00856171" w:rsidRPr="00883125" w:rsidRDefault="00856171" w:rsidP="00856171">
      <w:pPr>
        <w:pStyle w:val="AERbulletlistfirststyle"/>
      </w:pPr>
      <w:r w:rsidRPr="00883125">
        <w:t>Regarding dividend drop off studies, it is only the value of the combined package of dividends and imputation credits that can be observed in the market. However, there is no consensus among experts on how to separate the value to the market of dividends from the value to the market of imputation credits (this is referred to as the 'allocation problem').</w:t>
      </w:r>
    </w:p>
    <w:p w:rsidR="00856171" w:rsidRDefault="00856171" w:rsidP="00856171">
      <w:pPr>
        <w:numPr>
          <w:ilvl w:val="0"/>
          <w:numId w:val="24"/>
        </w:numPr>
      </w:pPr>
      <w:r w:rsidRPr="00883125">
        <w:t xml:space="preserve">The limitations of dividend drop off studies are discussed in more detail in section </w:t>
      </w:r>
      <w:r w:rsidR="006D4B92">
        <w:fldChar w:fldCharType="begin"/>
      </w:r>
      <w:r w:rsidR="006D4B92">
        <w:instrText xml:space="preserve"> REF _Ref451242641 \r \h </w:instrText>
      </w:r>
      <w:r w:rsidR="006D4B92">
        <w:fldChar w:fldCharType="separate"/>
      </w:r>
      <w:r w:rsidR="00881794">
        <w:t>A.15</w:t>
      </w:r>
      <w:r w:rsidR="006D4B92">
        <w:fldChar w:fldCharType="end"/>
      </w:r>
      <w:r w:rsidRPr="00883125">
        <w:t>.</w:t>
      </w:r>
      <w:r w:rsidR="00375E4D" w:rsidRPr="00375E4D">
        <w:t xml:space="preserve"> </w:t>
      </w:r>
      <w:r w:rsidR="00375E4D">
        <w:t>However, we note here the following statement from Lally's latest report:</w:t>
      </w:r>
      <w:r w:rsidR="00375E4D">
        <w:rPr>
          <w:rStyle w:val="FootnoteReference"/>
        </w:rPr>
        <w:footnoteReference w:id="144"/>
      </w:r>
    </w:p>
    <w:p w:rsidR="00375E4D" w:rsidRPr="00883125" w:rsidRDefault="00375E4D" w:rsidP="005764F6">
      <w:pPr>
        <w:pStyle w:val="AERquote"/>
      </w:pPr>
      <w:r w:rsidRPr="00375E4D">
        <w:t xml:space="preserve">In respect of dividend drop-off studies, my views on the merits of this approach appear in Lally (2013, section 3.5) and they are highly adverse.  In particular, the results from such studies are subject to considerable statistical uncertainty, to the tax positions and transactions costs incurred by arbitrageurs who may be quite unrepresentative of investors in general, the contentious question of which model to use, data filtering rules, deletion of outliers, the choice of the “tuning constant” in robust regression models, the wide divergence in results from other types of studies using market evidence, the wide range of evidence on anomalous </w:t>
      </w:r>
      <w:r w:rsidR="00164D25" w:rsidRPr="00375E4D">
        <w:t>behaviour</w:t>
      </w:r>
      <w:r w:rsidRPr="00375E4D">
        <w:t xml:space="preserve"> around ex-days, and the need to correct the estimated coefficient on imputation credits for the difference in the tax rate on capital gains and dividends.</w:t>
      </w:r>
    </w:p>
    <w:p w:rsidR="00856171" w:rsidRPr="00883125" w:rsidRDefault="006626E2" w:rsidP="00856171">
      <w:pPr>
        <w:numPr>
          <w:ilvl w:val="0"/>
          <w:numId w:val="24"/>
        </w:numPr>
      </w:pPr>
      <w:r>
        <w:t>I</w:t>
      </w:r>
      <w:r w:rsidRPr="00883125">
        <w:t xml:space="preserve">n section </w:t>
      </w:r>
      <w:r w:rsidRPr="00883125">
        <w:fldChar w:fldCharType="begin"/>
      </w:r>
      <w:r w:rsidRPr="00883125">
        <w:instrText xml:space="preserve"> REF _Ref403482459 \r \h </w:instrText>
      </w:r>
      <w:r w:rsidRPr="00883125">
        <w:fldChar w:fldCharType="separate"/>
      </w:r>
      <w:r w:rsidR="00881794">
        <w:t>A.15.2</w:t>
      </w:r>
      <w:r w:rsidRPr="00883125">
        <w:fldChar w:fldCharType="end"/>
      </w:r>
      <w:r>
        <w:t>, w</w:t>
      </w:r>
      <w:r w:rsidRPr="00883125">
        <w:t xml:space="preserve">e </w:t>
      </w:r>
      <w:r w:rsidR="00856171" w:rsidRPr="00883125">
        <w:t xml:space="preserve">summarise the available </w:t>
      </w:r>
      <w:r>
        <w:t xml:space="preserve">implied market value </w:t>
      </w:r>
      <w:r w:rsidR="00856171" w:rsidRPr="00883125">
        <w:t>studies and their results. Opinion on the merits of the various studies differs:</w:t>
      </w:r>
    </w:p>
    <w:p w:rsidR="00856171" w:rsidRPr="00883125" w:rsidRDefault="00856171" w:rsidP="00856171">
      <w:pPr>
        <w:pStyle w:val="AERbulletlistfirststyle"/>
      </w:pPr>
      <w:r w:rsidRPr="00883125">
        <w:t xml:space="preserve">Gray (for SFG) considered that implied market value studies should be relied upon exclusively when estimating the (after-personal-tax and after-personal-costs) utilisation rate. Moreover, he considered that dividend drop off studies should be preferred to </w:t>
      </w:r>
      <w:r w:rsidRPr="00883125">
        <w:lastRenderedPageBreak/>
        <w:t>alternative market studies. In Gray's view, there is no reasonable basis for adopting an estimate from dividend drop off analysis above the 0.35 estimate from SFG's study.</w:t>
      </w:r>
      <w:r w:rsidRPr="00883125">
        <w:rPr>
          <w:rStyle w:val="FootnoteReference"/>
        </w:rPr>
        <w:footnoteReference w:id="145"/>
      </w:r>
    </w:p>
    <w:p w:rsidR="00856171" w:rsidRPr="00883125" w:rsidRDefault="00856171" w:rsidP="00856171">
      <w:pPr>
        <w:pStyle w:val="AERbulletlistfirststyle"/>
      </w:pPr>
      <w:r w:rsidRPr="00883125">
        <w:t>The Economic Regulation Authority of Western Australia (ERA) conducted its own dividend drop off study and concluded that a reasonable estimate is between 0.35 and 0.55.</w:t>
      </w:r>
      <w:r w:rsidRPr="00883125">
        <w:rPr>
          <w:rStyle w:val="FootnoteReference"/>
        </w:rPr>
        <w:footnoteReference w:id="146"/>
      </w:r>
    </w:p>
    <w:p w:rsidR="00856171" w:rsidRPr="00883125" w:rsidRDefault="00856171" w:rsidP="00856171">
      <w:pPr>
        <w:pStyle w:val="AERbulletlistfirststyle"/>
      </w:pPr>
      <w:r w:rsidRPr="00883125">
        <w:t>Lally concurred with the view that implied market value studies 'warrant low weight', but suggested that some studies are more useful than others based on their characteristics.</w:t>
      </w:r>
      <w:r w:rsidRPr="00883125">
        <w:rPr>
          <w:rStyle w:val="FootnoteReference"/>
        </w:rPr>
        <w:footnoteReference w:id="147"/>
      </w:r>
      <w:r w:rsidRPr="00883125">
        <w:t xml:space="preserve"> Lally also raised a number of issues in relation to SFG's dividend drop off study.</w:t>
      </w:r>
      <w:r w:rsidRPr="00883125">
        <w:rPr>
          <w:rStyle w:val="FootnoteReference"/>
        </w:rPr>
        <w:footnoteReference w:id="148"/>
      </w:r>
      <w:r w:rsidR="00CA4288">
        <w:t xml:space="preserve"> In his latest report, Lally reaffirmed his view that </w:t>
      </w:r>
      <w:r w:rsidR="006626E2">
        <w:t>'minimal</w:t>
      </w:r>
      <w:r w:rsidR="00CA4288">
        <w:t xml:space="preserve"> weight</w:t>
      </w:r>
      <w:r w:rsidR="006626E2">
        <w:t>'</w:t>
      </w:r>
      <w:r w:rsidR="00CA4288">
        <w:t xml:space="preserve"> should be placed on </w:t>
      </w:r>
      <w:r w:rsidR="006626E2">
        <w:t>dividend drop off</w:t>
      </w:r>
      <w:r w:rsidR="00CA4288">
        <w:t xml:space="preserve"> studies.</w:t>
      </w:r>
      <w:r w:rsidR="00CA4288">
        <w:rPr>
          <w:rStyle w:val="FootnoteReference"/>
        </w:rPr>
        <w:footnoteReference w:id="149"/>
      </w:r>
    </w:p>
    <w:p w:rsidR="00856171" w:rsidRPr="00883125" w:rsidRDefault="00856171" w:rsidP="00856171">
      <w:pPr>
        <w:pStyle w:val="AERbulletlistfirststyle"/>
      </w:pPr>
      <w:r w:rsidRPr="00883125">
        <w:t>McKenzie and Partington considered that there is no obvious manner in which to weigh the results from various studies based on their characteristics. They observed that a simple average of the results from a reasonably comprehensive sample of studies suggests an estimate of the utilisation rate of 0.53. They also noted that their own studies suggest a significantly higher estimate of 0.83.</w:t>
      </w:r>
      <w:r w:rsidRPr="00883125">
        <w:rPr>
          <w:rStyle w:val="FootnoteReference"/>
        </w:rPr>
        <w:footnoteReference w:id="150"/>
      </w:r>
    </w:p>
    <w:p w:rsidR="00CC0A37" w:rsidRPr="00883125" w:rsidRDefault="00856171" w:rsidP="00856171">
      <w:pPr>
        <w:pStyle w:val="AERbulletlistfirststyle"/>
      </w:pPr>
      <w:r w:rsidRPr="00883125">
        <w:t>Gray (for Frontier) expressed concerns that the reintroduction of pre-2000 and low quality studies is an error, and that it is also an error to assume all market value studies are of uniform relevance and quality.</w:t>
      </w:r>
      <w:r w:rsidRPr="00883125">
        <w:rPr>
          <w:rStyle w:val="FootnoteReference"/>
        </w:rPr>
        <w:footnoteReference w:id="151"/>
      </w:r>
      <w:r w:rsidRPr="00883125">
        <w:t xml:space="preserve"> </w:t>
      </w:r>
    </w:p>
    <w:p w:rsidR="00856171" w:rsidRPr="005764F6" w:rsidRDefault="00856171" w:rsidP="005764F6">
      <w:pPr>
        <w:rPr>
          <w:rStyle w:val="AERbody"/>
        </w:rPr>
      </w:pPr>
      <w:r w:rsidRPr="005764F6">
        <w:rPr>
          <w:rStyle w:val="AERbody"/>
        </w:rPr>
        <w:t xml:space="preserve">A further issue regarding implied market value studies is the appropriate interpretation of their results. Handley and Lally both advised that in the rate of return framework investors are assumed to value </w:t>
      </w:r>
      <w:r w:rsidR="00163D19" w:rsidRPr="005764F6">
        <w:rPr>
          <w:rStyle w:val="AERbody"/>
        </w:rPr>
        <w:t>one</w:t>
      </w:r>
      <w:r w:rsidRPr="005764F6">
        <w:rPr>
          <w:rStyle w:val="AERbody"/>
        </w:rPr>
        <w:t xml:space="preserve"> dollar of dividend</w:t>
      </w:r>
      <w:r w:rsidR="00163D19" w:rsidRPr="005764F6">
        <w:rPr>
          <w:rStyle w:val="AERbody"/>
        </w:rPr>
        <w:t>s</w:t>
      </w:r>
      <w:r w:rsidRPr="005764F6">
        <w:rPr>
          <w:rStyle w:val="AERbody"/>
        </w:rPr>
        <w:t xml:space="preserve"> at one dollar (on a pre-personal-tax basis). This is certainly true of how the MRP is estimated, where the face value of historically distributed dividends and historical capital gains </w:t>
      </w:r>
      <w:r w:rsidR="00163D19" w:rsidRPr="005764F6">
        <w:rPr>
          <w:rStyle w:val="AERbody"/>
        </w:rPr>
        <w:t>are</w:t>
      </w:r>
      <w:r w:rsidRPr="005764F6">
        <w:rPr>
          <w:rStyle w:val="AERbody"/>
        </w:rPr>
        <w:t xml:space="preserve"> used. However, the results of implied market value studies can reflect certain factors that suggest that investors value </w:t>
      </w:r>
      <w:r w:rsidR="00163D19" w:rsidRPr="005764F6">
        <w:rPr>
          <w:rStyle w:val="AERbody"/>
        </w:rPr>
        <w:t>one</w:t>
      </w:r>
      <w:r w:rsidRPr="005764F6">
        <w:rPr>
          <w:rStyle w:val="AERbody"/>
        </w:rPr>
        <w:t xml:space="preserve"> dollar of dividends at less than one dollar (such as differential personal taxes on dividends and capital gains). Moreover, any such factors will affect these studies' results for investors' valuation of imputation credits. Handley and Lally advised that the desired estimate of the utilisation rate should exclude the effect of these factors.</w:t>
      </w:r>
      <w:r w:rsidRPr="00CC0A37">
        <w:rPr>
          <w:rStyle w:val="FootnoteReference"/>
        </w:rPr>
        <w:footnoteReference w:id="152"/>
      </w:r>
      <w:r w:rsidRPr="005764F6">
        <w:rPr>
          <w:rStyle w:val="AERbody"/>
        </w:rPr>
        <w:t xml:space="preserve"> To remove the effect, they advised that the estimate of the utilisation rate from a given study can be divided by investors' estimated valuation of dividends from the same study.</w:t>
      </w:r>
      <w:r w:rsidRPr="00CC0A37">
        <w:rPr>
          <w:rStyle w:val="FootnoteReference"/>
        </w:rPr>
        <w:footnoteReference w:id="153"/>
      </w:r>
      <w:r w:rsidRPr="005764F6">
        <w:rPr>
          <w:rStyle w:val="AERbody"/>
        </w:rPr>
        <w:t xml:space="preserve"> Therefore, Handley and Lally advised that the </w:t>
      </w:r>
      <w:r w:rsidRPr="005764F6">
        <w:rPr>
          <w:rStyle w:val="AERbody"/>
        </w:rPr>
        <w:lastRenderedPageBreak/>
        <w:t>0.35 estimate from SFG's dividend drop off study should in fact be interpreted as an estimate of around 0.4.</w:t>
      </w:r>
    </w:p>
    <w:p w:rsidR="00856171" w:rsidRDefault="00856171" w:rsidP="001B618D">
      <w:pPr>
        <w:numPr>
          <w:ilvl w:val="0"/>
          <w:numId w:val="24"/>
        </w:numPr>
      </w:pPr>
      <w:r>
        <w:t>In light of this, we consider</w:t>
      </w:r>
      <w:r w:rsidRPr="00883125">
        <w:t xml:space="preserve"> </w:t>
      </w:r>
      <w:r>
        <w:t>implied market value</w:t>
      </w:r>
      <w:r w:rsidRPr="00883125">
        <w:t xml:space="preserve"> studies</w:t>
      </w:r>
      <w:r w:rsidR="00163D19">
        <w:t>, if they are to be used at all,</w:t>
      </w:r>
      <w:r w:rsidRPr="00883125">
        <w:t xml:space="preserve"> need to be adjusted for the incorrect estimates of the </w:t>
      </w:r>
      <w:r w:rsidR="00163D19">
        <w:t xml:space="preserve">post-tax </w:t>
      </w:r>
      <w:r w:rsidRPr="00883125">
        <w:t>value of cash dividends which would expect to also result in an incorrect estimate of the value of imputation credits. This is likely correcting for the effect on the observed drop of</w:t>
      </w:r>
      <w:r>
        <w:t>f</w:t>
      </w:r>
      <w:r w:rsidRPr="00883125">
        <w:t xml:space="preserve"> ratio of differential personal taxes between income and capital gains</w:t>
      </w:r>
      <w:r>
        <w:t xml:space="preserve"> (see section </w:t>
      </w:r>
      <w:r w:rsidR="00CA4288">
        <w:fldChar w:fldCharType="begin"/>
      </w:r>
      <w:r w:rsidR="00CA4288">
        <w:instrText xml:space="preserve"> REF _Ref435171205 \r \h </w:instrText>
      </w:r>
      <w:r w:rsidR="00CA4288">
        <w:fldChar w:fldCharType="separate"/>
      </w:r>
      <w:r w:rsidR="00881794">
        <w:t>A.15.3</w:t>
      </w:r>
      <w:r w:rsidR="00CA4288">
        <w:fldChar w:fldCharType="end"/>
      </w:r>
      <w:r>
        <w:t>)</w:t>
      </w:r>
      <w:r w:rsidRPr="00883125">
        <w:t>. This limitation does not apply to other market parameters in the allowed rate of return framework.</w:t>
      </w:r>
      <w:r>
        <w:t xml:space="preserve"> We also consider that, even when adjusted, we should place limited reliance on estimates of the utilisation </w:t>
      </w:r>
      <w:r w:rsidR="00C57F6C">
        <w:t xml:space="preserve">rate </w:t>
      </w:r>
      <w:r>
        <w:t xml:space="preserve">from implied market value studies because of </w:t>
      </w:r>
      <w:r w:rsidRPr="00883125">
        <w:t>residual concerns about these studies and what they are measuring.</w:t>
      </w:r>
    </w:p>
    <w:p w:rsidR="00856171" w:rsidRPr="00883125" w:rsidRDefault="00856171" w:rsidP="001B618D">
      <w:pPr>
        <w:numPr>
          <w:ilvl w:val="0"/>
          <w:numId w:val="24"/>
        </w:numPr>
      </w:pPr>
      <w:r w:rsidRPr="00883125">
        <w:t>In light of the differing views on these studies and the range of estimates they produce, we consider that implied market value studies provide limited guidance. In the Guideline, we considered that implied market value studies supported an estimate of the utilisation rate between 0 and 0.5. This range was determined with regard to a range of studies, with higher regard given to those studies that:</w:t>
      </w:r>
    </w:p>
    <w:p w:rsidR="00856171" w:rsidRPr="00883125" w:rsidRDefault="00856171" w:rsidP="00856171">
      <w:pPr>
        <w:pStyle w:val="AERbulletlistfirststyle"/>
      </w:pPr>
      <w:r w:rsidRPr="00883125">
        <w:t>used longer data periods</w:t>
      </w:r>
    </w:p>
    <w:p w:rsidR="00856171" w:rsidRPr="00883125" w:rsidRDefault="00856171" w:rsidP="00856171">
      <w:pPr>
        <w:pStyle w:val="AERbulletlistfirststyle"/>
      </w:pPr>
      <w:r w:rsidRPr="00883125">
        <w:t>used data since 2000, when the change in tax law entitled eligible investors to a refund of credits that exceeded their tax liability</w:t>
      </w:r>
    </w:p>
    <w:p w:rsidR="00856171" w:rsidRPr="00883125" w:rsidRDefault="00856171" w:rsidP="00856171">
      <w:pPr>
        <w:pStyle w:val="AERbulletlistfirststyle"/>
      </w:pPr>
      <w:r w:rsidRPr="00883125">
        <w:t>encompassed the breadth of the market instead of just selected firms, and</w:t>
      </w:r>
    </w:p>
    <w:p w:rsidR="00856171" w:rsidRPr="00883125" w:rsidRDefault="00856171" w:rsidP="00856171">
      <w:pPr>
        <w:pStyle w:val="AERbulletlistfirststyle"/>
      </w:pPr>
      <w:r w:rsidRPr="00883125">
        <w:t>appeared to use more reasonable and robust econometric treatments.</w:t>
      </w:r>
    </w:p>
    <w:p w:rsidR="00856171" w:rsidRPr="00883125" w:rsidRDefault="00856171" w:rsidP="00856171">
      <w:pPr>
        <w:numPr>
          <w:ilvl w:val="0"/>
          <w:numId w:val="24"/>
        </w:numPr>
      </w:pPr>
      <w:r w:rsidRPr="00883125">
        <w:t>However, in this final decision we recognise that experts advocate both broader and narrower assessments of the evidence from implied market value studies. McKenzie and Partington considered it reasonable to have regard to a range of studies, including those that produced estimates above 0.5.</w:t>
      </w:r>
      <w:r w:rsidRPr="00883125">
        <w:rPr>
          <w:rStyle w:val="FootnoteReference"/>
        </w:rPr>
        <w:footnoteReference w:id="154"/>
      </w:r>
      <w:r w:rsidRPr="00883125">
        <w:t xml:space="preserve"> In Gray's view (for SFG), there is no reasonable basis for adopting an estimate from dividend drop off analysis above the 0.35 estimate from SFG's study.</w:t>
      </w:r>
      <w:r w:rsidRPr="00883125">
        <w:rPr>
          <w:rStyle w:val="FootnoteReference"/>
        </w:rPr>
        <w:footnoteReference w:id="155"/>
      </w:r>
      <w:r w:rsidRPr="00883125">
        <w:t xml:space="preserve"> It appears that Gray (for Frontier) continues to hold this view.</w:t>
      </w:r>
      <w:r w:rsidRPr="00883125">
        <w:rPr>
          <w:rStyle w:val="FootnoteReference"/>
        </w:rPr>
        <w:footnoteReference w:id="156"/>
      </w:r>
      <w:r w:rsidRPr="00883125">
        <w:t xml:space="preserve"> </w:t>
      </w:r>
    </w:p>
    <w:p w:rsidR="00856171" w:rsidRPr="00883125" w:rsidRDefault="00856171" w:rsidP="00856171">
      <w:pPr>
        <w:numPr>
          <w:ilvl w:val="0"/>
          <w:numId w:val="24"/>
        </w:numPr>
      </w:pPr>
      <w:r w:rsidRPr="00883125">
        <w:t xml:space="preserve">Ultimately, as discussed in section </w:t>
      </w:r>
      <w:r w:rsidRPr="00883125">
        <w:fldChar w:fldCharType="begin"/>
      </w:r>
      <w:r w:rsidRPr="00883125">
        <w:instrText xml:space="preserve"> REF _Ref414624721 \r \h </w:instrText>
      </w:r>
      <w:r w:rsidRPr="00883125">
        <w:fldChar w:fldCharType="separate"/>
      </w:r>
      <w:r w:rsidR="00881794">
        <w:t>A.15.5</w:t>
      </w:r>
      <w:r w:rsidRPr="00883125">
        <w:fldChar w:fldCharType="end"/>
      </w:r>
      <w:r>
        <w:t>,</w:t>
      </w:r>
      <w:r w:rsidRPr="00883125">
        <w:t xml:space="preserve"> estimates from implied market value studies and the level of reliance we place on them (including SFG's dividend drop off study) do not give us cause to move from the estimate of the value of imputation credits that we determine with regard to evidence from the equity ownership approach and tax statistics. In response to Gray's comments (for Frontier) on our consideration of "pre-2000 and low-quality studies"</w:t>
      </w:r>
      <w:r w:rsidRPr="00883125">
        <w:rPr>
          <w:rStyle w:val="FootnoteReference"/>
        </w:rPr>
        <w:footnoteReference w:id="157"/>
      </w:r>
      <w:r>
        <w:t xml:space="preserve"> </w:t>
      </w:r>
      <w:r w:rsidRPr="00883125">
        <w:t xml:space="preserve">we note that our having regard to more studies since the Guideline, including those that use pre 2000 data and those that estimate a value for theta between 0.5 and 1, was not material </w:t>
      </w:r>
      <w:r w:rsidRPr="00883125">
        <w:lastRenderedPageBreak/>
        <w:t xml:space="preserve">to our decision to set gamma at 0.4, and that we have had particular regard to SFG's dividend drop off study in making our decision. </w:t>
      </w:r>
    </w:p>
    <w:p w:rsidR="00856171" w:rsidRDefault="00856171" w:rsidP="00856171">
      <w:r>
        <w:t>We discuss our consideration of implied market value studies in detail in section A.15.</w:t>
      </w:r>
    </w:p>
    <w:p w:rsidR="00854A13" w:rsidRPr="00883125" w:rsidRDefault="00854A13" w:rsidP="00856171">
      <w:pPr>
        <w:pStyle w:val="Heading3"/>
      </w:pPr>
      <w:bookmarkStart w:id="75" w:name="_Ref451240961"/>
      <w:bookmarkStart w:id="76" w:name="_Ref451816460"/>
      <w:bookmarkStart w:id="77" w:name="_Toc451928273"/>
      <w:r>
        <w:t>Response to submissions by stakeholders</w:t>
      </w:r>
      <w:bookmarkEnd w:id="75"/>
      <w:bookmarkEnd w:id="76"/>
      <w:bookmarkEnd w:id="77"/>
    </w:p>
    <w:p w:rsidR="00856171" w:rsidRDefault="00856171" w:rsidP="00856171">
      <w:r>
        <w:t>The service providers currently under assessment submitted their initial proposals in April/June 2015 and their revised proposals in January 2016.</w:t>
      </w:r>
      <w:r>
        <w:rPr>
          <w:rStyle w:val="FootnoteReference"/>
        </w:rPr>
        <w:footnoteReference w:id="158"/>
      </w:r>
      <w:r>
        <w:t xml:space="preserve"> In section </w:t>
      </w:r>
      <w:r>
        <w:fldChar w:fldCharType="begin"/>
      </w:r>
      <w:r>
        <w:instrText xml:space="preserve"> REF _Ref415070393 \r \h </w:instrText>
      </w:r>
      <w:r>
        <w:fldChar w:fldCharType="separate"/>
      </w:r>
      <w:r w:rsidR="00881794">
        <w:t>A.4</w:t>
      </w:r>
      <w:r>
        <w:fldChar w:fldCharType="end"/>
      </w:r>
      <w:r>
        <w:t xml:space="preserve">, we set out the key issues raised by these service providers, as well as the key issues raised by service providers we have assessed in the past (post-Guideline). </w:t>
      </w:r>
      <w:r w:rsidR="00ED0174">
        <w:t>T</w:t>
      </w:r>
      <w:r>
        <w:t xml:space="preserve">he key issues raised are broadly consistent across the service providers. </w:t>
      </w:r>
    </w:p>
    <w:p w:rsidR="00856171" w:rsidRDefault="00856171" w:rsidP="00856171">
      <w:pPr>
        <w:numPr>
          <w:ilvl w:val="0"/>
          <w:numId w:val="24"/>
        </w:numPr>
      </w:pPr>
      <w:r w:rsidRPr="00883125">
        <w:t>Since the service providers</w:t>
      </w:r>
      <w:r>
        <w:t xml:space="preserve"> currently under assessment</w:t>
      </w:r>
      <w:r w:rsidRPr="00883125">
        <w:t xml:space="preserve"> submitted their revised proposals, </w:t>
      </w:r>
      <w:r>
        <w:t>a number have made late submissions.</w:t>
      </w:r>
      <w:r>
        <w:rPr>
          <w:rStyle w:val="FootnoteReference"/>
        </w:rPr>
        <w:footnoteReference w:id="159"/>
      </w:r>
      <w:r>
        <w:t xml:space="preserve"> These late submissions have asked us to take into account a range of issues identified in </w:t>
      </w:r>
      <w:r w:rsidRPr="00883125">
        <w:t xml:space="preserve">the </w:t>
      </w:r>
      <w:r>
        <w:t>Tribunal's</w:t>
      </w:r>
      <w:r w:rsidRPr="00883125">
        <w:t xml:space="preserve"> </w:t>
      </w:r>
      <w:r>
        <w:t xml:space="preserve">recent </w:t>
      </w:r>
      <w:r w:rsidRPr="00883125">
        <w:t>decisions for ActewAGL Distribution, Ausgrid, Endeavour Energy, Essential Energy and Jemena Gas Networks.</w:t>
      </w:r>
      <w:r>
        <w:rPr>
          <w:rStyle w:val="FootnoteReference"/>
        </w:rPr>
        <w:footnoteReference w:id="160"/>
      </w:r>
      <w:r w:rsidRPr="00883125">
        <w:t xml:space="preserve"> The Tribunal </w:t>
      </w:r>
      <w:r>
        <w:t>ordered the remittal of our final decisions for these service providers, with directions to remake by reference to an estimated cost of corporate income tax based on a gamma of 0.25</w:t>
      </w:r>
      <w:r w:rsidRPr="00883125">
        <w:t>.</w:t>
      </w:r>
    </w:p>
    <w:p w:rsidR="00856171" w:rsidRPr="00883125" w:rsidRDefault="00856171" w:rsidP="00856171">
      <w:pPr>
        <w:numPr>
          <w:ilvl w:val="0"/>
          <w:numId w:val="24"/>
        </w:numPr>
      </w:pPr>
      <w:r>
        <w:t xml:space="preserve">As discussed in section </w:t>
      </w:r>
      <w:r w:rsidR="00ED0174">
        <w:fldChar w:fldCharType="begin"/>
      </w:r>
      <w:r w:rsidR="00ED0174">
        <w:instrText xml:space="preserve"> REF _Ref451246970 \r \h </w:instrText>
      </w:r>
      <w:r w:rsidR="00ED0174">
        <w:fldChar w:fldCharType="separate"/>
      </w:r>
      <w:r w:rsidR="00881794">
        <w:t>4.1</w:t>
      </w:r>
      <w:r w:rsidR="00ED0174">
        <w:fldChar w:fldCharType="end"/>
      </w:r>
      <w:r>
        <w:t xml:space="preserve">, at this time we have not completed the remittal of our final </w:t>
      </w:r>
      <w:r w:rsidRPr="008C419F">
        <w:t>decisions for ActewAGL Distribution, Ausgrid, Endeavour Energy, Essential Energy and Jemena Gas Networks</w:t>
      </w:r>
      <w:r>
        <w:t xml:space="preserve">. As such, we have not fully considered the Tribunal’s reasons nor formed a concluded view on how they should be applied in future decisions. However, in the limited time available, we have reviewed the late submissions from United Energy, </w:t>
      </w:r>
      <w:r w:rsidR="0005260B">
        <w:t xml:space="preserve">ActewAGL, </w:t>
      </w:r>
      <w:r>
        <w:t>CitiPower and Powercor.</w:t>
      </w:r>
      <w:r>
        <w:rPr>
          <w:rStyle w:val="FootnoteReference"/>
        </w:rPr>
        <w:footnoteReference w:id="161"/>
      </w:r>
      <w:r>
        <w:t xml:space="preserve"> We have updated this decision to include a limited response to the key issues raised in the late submissions, with reference to the Tribunal's reasoning on these specific issues. </w:t>
      </w:r>
    </w:p>
    <w:p w:rsidR="00856171" w:rsidRPr="00883125" w:rsidRDefault="00120700" w:rsidP="00856171">
      <w:r>
        <w:fldChar w:fldCharType="begin"/>
      </w:r>
      <w:r>
        <w:instrText xml:space="preserve"> REF _Ref450761546 \h </w:instrText>
      </w:r>
      <w:r>
        <w:fldChar w:fldCharType="separate"/>
      </w:r>
      <w:r w:rsidR="00881794">
        <w:t xml:space="preserve">Table </w:t>
      </w:r>
      <w:r w:rsidR="00881794">
        <w:rPr>
          <w:noProof/>
        </w:rPr>
        <w:t>4</w:t>
      </w:r>
      <w:r w:rsidR="00881794" w:rsidRPr="00856171">
        <w:noBreakHyphen/>
      </w:r>
      <w:r w:rsidR="00881794">
        <w:rPr>
          <w:noProof/>
        </w:rPr>
        <w:t>5</w:t>
      </w:r>
      <w:r>
        <w:fldChar w:fldCharType="end"/>
      </w:r>
      <w:r w:rsidR="00856171">
        <w:t xml:space="preserve"> sets out the key issues raised by the service providers in their revised proposals and late submissions. We also provide a summary of our response and a reference to our more detailed response. </w:t>
      </w:r>
    </w:p>
    <w:p w:rsidR="00856171" w:rsidRPr="00856171" w:rsidRDefault="00856171" w:rsidP="00E82D06">
      <w:pPr>
        <w:pStyle w:val="Caption"/>
      </w:pPr>
      <w:bookmarkStart w:id="78" w:name="_Ref450761546"/>
      <w:r>
        <w:lastRenderedPageBreak/>
        <w:t xml:space="preserve">Table </w:t>
      </w:r>
      <w:r w:rsidR="004B4BF3">
        <w:fldChar w:fldCharType="begin"/>
      </w:r>
      <w:r w:rsidR="004B4BF3">
        <w:instrText xml:space="preserve"> STYLEREF 1 \s </w:instrText>
      </w:r>
      <w:r w:rsidR="004B4BF3">
        <w:fldChar w:fldCharType="separate"/>
      </w:r>
      <w:r w:rsidR="00881794">
        <w:rPr>
          <w:noProof/>
        </w:rPr>
        <w:t>4</w:t>
      </w:r>
      <w:r w:rsidR="004B4BF3">
        <w:rPr>
          <w:noProof/>
        </w:rPr>
        <w:fldChar w:fldCharType="end"/>
      </w:r>
      <w:r w:rsidRPr="00856171">
        <w:noBreakHyphen/>
      </w:r>
      <w:r w:rsidR="004B4BF3">
        <w:fldChar w:fldCharType="begin"/>
      </w:r>
      <w:r w:rsidR="004B4BF3">
        <w:instrText xml:space="preserve"> SEQ Table \* ARABIC \s 1 </w:instrText>
      </w:r>
      <w:r w:rsidR="004B4BF3">
        <w:fldChar w:fldCharType="separate"/>
      </w:r>
      <w:r w:rsidR="00881794">
        <w:rPr>
          <w:noProof/>
        </w:rPr>
        <w:t>5</w:t>
      </w:r>
      <w:r w:rsidR="004B4BF3">
        <w:rPr>
          <w:noProof/>
        </w:rPr>
        <w:fldChar w:fldCharType="end"/>
      </w:r>
      <w:bookmarkEnd w:id="78"/>
      <w:r w:rsidRPr="00856171">
        <w:tab/>
        <w:t>Key issues raised by service providers</w:t>
      </w:r>
    </w:p>
    <w:tbl>
      <w:tblPr>
        <w:tblStyle w:val="AERtable-text0"/>
        <w:tblW w:w="0" w:type="auto"/>
        <w:tblLook w:val="04A0" w:firstRow="1" w:lastRow="0" w:firstColumn="1" w:lastColumn="0" w:noHBand="0" w:noVBand="1"/>
      </w:tblPr>
      <w:tblGrid>
        <w:gridCol w:w="3652"/>
        <w:gridCol w:w="4394"/>
        <w:gridCol w:w="851"/>
      </w:tblGrid>
      <w:tr w:rsidR="00195F35" w:rsidTr="00164D25">
        <w:trPr>
          <w:cnfStyle w:val="100000000000" w:firstRow="1" w:lastRow="0" w:firstColumn="0" w:lastColumn="0" w:oddVBand="0" w:evenVBand="0" w:oddHBand="0" w:evenHBand="0" w:firstRowFirstColumn="0" w:firstRowLastColumn="0" w:lastRowFirstColumn="0" w:lastRowLastColumn="0"/>
          <w:tblHeader/>
        </w:trPr>
        <w:tc>
          <w:tcPr>
            <w:tcW w:w="3652" w:type="dxa"/>
          </w:tcPr>
          <w:p w:rsidR="00195F35" w:rsidRPr="00856171" w:rsidRDefault="00195F35" w:rsidP="00856171">
            <w:r>
              <w:t>Issue</w:t>
            </w:r>
          </w:p>
        </w:tc>
        <w:tc>
          <w:tcPr>
            <w:tcW w:w="4394" w:type="dxa"/>
          </w:tcPr>
          <w:p w:rsidR="00195F35" w:rsidRPr="00856171" w:rsidRDefault="00195F35" w:rsidP="00856171">
            <w:r>
              <w:t>Summary of response</w:t>
            </w:r>
          </w:p>
        </w:tc>
        <w:tc>
          <w:tcPr>
            <w:tcW w:w="851" w:type="dxa"/>
          </w:tcPr>
          <w:p w:rsidR="00195F35" w:rsidRPr="00856171" w:rsidRDefault="00195F35" w:rsidP="00856171">
            <w:r>
              <w:t>S</w:t>
            </w:r>
            <w:r w:rsidRPr="00856171">
              <w:t>ection</w:t>
            </w:r>
          </w:p>
        </w:tc>
      </w:tr>
      <w:tr w:rsidR="00195F35" w:rsidTr="00195F35">
        <w:tc>
          <w:tcPr>
            <w:tcW w:w="3652" w:type="dxa"/>
          </w:tcPr>
          <w:p w:rsidR="00195F35" w:rsidRPr="00E82D06" w:rsidRDefault="00195F35" w:rsidP="00856171">
            <w:pPr>
              <w:rPr>
                <w:rStyle w:val="Strong"/>
              </w:rPr>
            </w:pPr>
            <w:r w:rsidRPr="00E82D06">
              <w:rPr>
                <w:rStyle w:val="Strong"/>
              </w:rPr>
              <w:t>Conceptual framework</w:t>
            </w:r>
          </w:p>
        </w:tc>
        <w:tc>
          <w:tcPr>
            <w:tcW w:w="4394" w:type="dxa"/>
          </w:tcPr>
          <w:p w:rsidR="00195F35" w:rsidRDefault="00195F35" w:rsidP="00856171"/>
        </w:tc>
        <w:tc>
          <w:tcPr>
            <w:tcW w:w="851" w:type="dxa"/>
          </w:tcPr>
          <w:p w:rsidR="00195F35" w:rsidRDefault="00195F35" w:rsidP="00856171"/>
        </w:tc>
      </w:tr>
      <w:tr w:rsidR="00195F35" w:rsidTr="00195F35">
        <w:trPr>
          <w:cnfStyle w:val="000000010000" w:firstRow="0" w:lastRow="0" w:firstColumn="0" w:lastColumn="0" w:oddVBand="0" w:evenVBand="0" w:oddHBand="0" w:evenHBand="1" w:firstRowFirstColumn="0" w:firstRowLastColumn="0" w:lastRowFirstColumn="0" w:lastRowLastColumn="0"/>
        </w:trPr>
        <w:tc>
          <w:tcPr>
            <w:tcW w:w="3652" w:type="dxa"/>
          </w:tcPr>
          <w:p w:rsidR="00195F35" w:rsidRDefault="00195F35" w:rsidP="00365D40">
            <w:r>
              <w:t xml:space="preserve">Our </w:t>
            </w:r>
            <w:r w:rsidRPr="00120700">
              <w:t>conceptual approach to gamma, redefining it as the value of imputation credits that are available for redemption, is inconsistent with the concept of gamma in the Officer framework for the WACC</w:t>
            </w:r>
            <w:r>
              <w:t xml:space="preserve"> and inconsistent with the requirements of the NGR</w:t>
            </w:r>
            <w:r w:rsidRPr="00120700">
              <w:t>. It is also inconsistent with the objective of ensuring a market rate of return on equity.</w:t>
            </w:r>
            <w:r>
              <w:rPr>
                <w:rStyle w:val="FootnoteReference"/>
              </w:rPr>
              <w:footnoteReference w:id="162"/>
            </w:r>
          </w:p>
          <w:p w:rsidR="00195F35" w:rsidRDefault="00195F35" w:rsidP="007F675F">
            <w:r>
              <w:t>The Tribunal considered</w:t>
            </w:r>
            <w:r w:rsidRPr="00692B72">
              <w:t xml:space="preserve"> the equity ownership and tax statistics approaches </w:t>
            </w:r>
            <w:r>
              <w:t>to estimating the utilisation rate ignore</w:t>
            </w:r>
            <w:r w:rsidRPr="00692B72">
              <w:t xml:space="preserve"> factors which reduce the value of imputation cre</w:t>
            </w:r>
            <w:r>
              <w:t xml:space="preserve">dits to shareholders below the </w:t>
            </w:r>
            <w:r w:rsidRPr="00692B72">
              <w:t xml:space="preserve">face value. As a result, </w:t>
            </w:r>
            <w:r>
              <w:t xml:space="preserve">it considered </w:t>
            </w:r>
            <w:r w:rsidRPr="00692B72">
              <w:t xml:space="preserve">these approaches are inconsistent with a proper interpretation of the Officer </w:t>
            </w:r>
            <w:r>
              <w:t>f</w:t>
            </w:r>
            <w:r w:rsidRPr="00692B72">
              <w:t>ramework</w:t>
            </w:r>
            <w:r>
              <w:t>.</w:t>
            </w:r>
            <w:r>
              <w:rPr>
                <w:rStyle w:val="FootnoteReference"/>
              </w:rPr>
              <w:footnoteReference w:id="163"/>
            </w:r>
          </w:p>
        </w:tc>
        <w:tc>
          <w:tcPr>
            <w:tcW w:w="4394" w:type="dxa"/>
          </w:tcPr>
          <w:p w:rsidR="00195F35" w:rsidRDefault="00195F35" w:rsidP="00856171">
            <w:r w:rsidRPr="00365D40">
              <w:t xml:space="preserve">We have not redefined gamma as the value of imputation credits available for redemption. Rather, our conceptual approach considers </w:t>
            </w:r>
            <w:r>
              <w:t>imputation credits should be valued at face value on a post-company tax basis,</w:t>
            </w:r>
            <w:r w:rsidRPr="00365D40">
              <w:t xml:space="preserve"> before the impact of personal taxes and transaction costs. </w:t>
            </w:r>
            <w:r>
              <w:t>This is consistent with the Officer framework. Based on this, we consider</w:t>
            </w:r>
            <w:r w:rsidRPr="00365D40">
              <w:t xml:space="preserve"> gamma to be equal to the</w:t>
            </w:r>
            <w:r>
              <w:t xml:space="preserve"> product of the distribution rate and the utilisation rate to investors in the market per dollar of credits distributed (the 'utilisation rate'). </w:t>
            </w:r>
          </w:p>
          <w:p w:rsidR="00195F35" w:rsidRDefault="00195F35" w:rsidP="00856171">
            <w:r>
              <w:t xml:space="preserve">The equity ownership approach and tax statistics are consistent with our conceptual approach. They value </w:t>
            </w:r>
            <w:r w:rsidRPr="00841075">
              <w:t xml:space="preserve">imputation credits expected to be utilised </w:t>
            </w:r>
            <w:r>
              <w:t xml:space="preserve">(the utilisation rate) </w:t>
            </w:r>
            <w:r w:rsidRPr="00841075">
              <w:t xml:space="preserve">at full face value on a pre-personal tax </w:t>
            </w:r>
            <w:r>
              <w:t xml:space="preserve">and costs </w:t>
            </w:r>
            <w:r w:rsidRPr="00841075">
              <w:t>basis.</w:t>
            </w:r>
            <w:r>
              <w:t xml:space="preserve"> Conversely, estimates of the utilisation rate from implied market value studies are </w:t>
            </w:r>
            <w:r w:rsidRPr="00D00AC9">
              <w:t>influenced by different personal tax treatment of capital gains and dividend income</w:t>
            </w:r>
            <w:r>
              <w:t>.</w:t>
            </w:r>
          </w:p>
          <w:p w:rsidR="00195F35" w:rsidRDefault="00195F35" w:rsidP="00201E75">
            <w:r>
              <w:t>Also, v</w:t>
            </w:r>
            <w:r w:rsidRPr="00841075">
              <w:t>aluing imputation credits at face value is consistent with how all inputs into the allowed rate of return are estimated.</w:t>
            </w:r>
          </w:p>
          <w:p w:rsidR="00195F35" w:rsidRDefault="00195F35" w:rsidP="00C57F6C">
            <w:r>
              <w:t>In regards to the 'factors', w</w:t>
            </w:r>
            <w:r w:rsidRPr="00EB3380">
              <w:t>e have received advice from Handley on these factors</w:t>
            </w:r>
            <w:r w:rsidRPr="007F675F">
              <w:t xml:space="preserve">. We consider such factors are either immaterial or should not be accounted for when estimating the properly defined utilisation </w:t>
            </w:r>
            <w:r>
              <w:t>rate.</w:t>
            </w:r>
          </w:p>
        </w:tc>
        <w:tc>
          <w:tcPr>
            <w:tcW w:w="851" w:type="dxa"/>
          </w:tcPr>
          <w:p w:rsidR="00195F35" w:rsidRDefault="00195F35" w:rsidP="00856171">
            <w:r>
              <w:fldChar w:fldCharType="begin"/>
            </w:r>
            <w:r>
              <w:instrText xml:space="preserve"> REF _Ref451789904 \r \h </w:instrText>
            </w:r>
            <w:r>
              <w:fldChar w:fldCharType="separate"/>
            </w:r>
            <w:r w:rsidR="00881794">
              <w:t>4.1</w:t>
            </w:r>
            <w:r>
              <w:fldChar w:fldCharType="end"/>
            </w:r>
          </w:p>
          <w:p w:rsidR="00195F35" w:rsidRDefault="00195F35" w:rsidP="00856171">
            <w:r>
              <w:fldChar w:fldCharType="begin"/>
            </w:r>
            <w:r>
              <w:instrText xml:space="preserve"> REF _Ref416802130 \r \h </w:instrText>
            </w:r>
            <w:r>
              <w:fldChar w:fldCharType="separate"/>
            </w:r>
            <w:r w:rsidR="00881794">
              <w:t>4.3.1</w:t>
            </w:r>
            <w:r>
              <w:fldChar w:fldCharType="end"/>
            </w:r>
          </w:p>
          <w:p w:rsidR="00195F35" w:rsidRDefault="00195F35" w:rsidP="00856171">
            <w:r>
              <w:fldChar w:fldCharType="begin"/>
            </w:r>
            <w:r>
              <w:instrText xml:space="preserve"> REF _Ref415144114 \r \h </w:instrText>
            </w:r>
            <w:r>
              <w:fldChar w:fldCharType="separate"/>
            </w:r>
            <w:r w:rsidR="00881794">
              <w:t>A.5</w:t>
            </w:r>
            <w:r>
              <w:fldChar w:fldCharType="end"/>
            </w:r>
          </w:p>
          <w:p w:rsidR="00195F35" w:rsidRDefault="00195F35" w:rsidP="00856171">
            <w:r>
              <w:fldChar w:fldCharType="begin"/>
            </w:r>
            <w:r>
              <w:instrText xml:space="preserve"> REF _Ref400965182 \r \h </w:instrText>
            </w:r>
            <w:r>
              <w:fldChar w:fldCharType="separate"/>
            </w:r>
            <w:r w:rsidR="00881794">
              <w:t>A.6</w:t>
            </w:r>
            <w:r>
              <w:fldChar w:fldCharType="end"/>
            </w:r>
          </w:p>
          <w:p w:rsidR="00195F35" w:rsidRDefault="00195F35" w:rsidP="00856171">
            <w:r>
              <w:fldChar w:fldCharType="begin"/>
            </w:r>
            <w:r>
              <w:instrText xml:space="preserve"> REF _Ref451789926 \r \h </w:instrText>
            </w:r>
            <w:r>
              <w:fldChar w:fldCharType="separate"/>
            </w:r>
            <w:r w:rsidR="00881794">
              <w:t>A.7</w:t>
            </w:r>
            <w:r>
              <w:fldChar w:fldCharType="end"/>
            </w:r>
          </w:p>
          <w:p w:rsidR="00195F35" w:rsidRDefault="00195F35" w:rsidP="003E3D49">
            <w:r>
              <w:fldChar w:fldCharType="begin"/>
            </w:r>
            <w:r>
              <w:instrText xml:space="preserve"> REF _Ref414623120 \r \h </w:instrText>
            </w:r>
            <w:r>
              <w:fldChar w:fldCharType="separate"/>
            </w:r>
            <w:r w:rsidR="00881794">
              <w:t>A.8</w:t>
            </w:r>
            <w:r>
              <w:fldChar w:fldCharType="end"/>
            </w:r>
          </w:p>
        </w:tc>
      </w:tr>
      <w:tr w:rsidR="00195F35" w:rsidTr="00195F35">
        <w:tc>
          <w:tcPr>
            <w:tcW w:w="3652" w:type="dxa"/>
          </w:tcPr>
          <w:p w:rsidR="00195F35" w:rsidRPr="00E82D06" w:rsidRDefault="00195F35" w:rsidP="00856171">
            <w:pPr>
              <w:rPr>
                <w:rStyle w:val="Strong"/>
              </w:rPr>
            </w:pPr>
            <w:r w:rsidRPr="00E82D06">
              <w:rPr>
                <w:rStyle w:val="Strong"/>
              </w:rPr>
              <w:t>Distribution rate</w:t>
            </w:r>
          </w:p>
        </w:tc>
        <w:tc>
          <w:tcPr>
            <w:tcW w:w="4394" w:type="dxa"/>
          </w:tcPr>
          <w:p w:rsidR="00195F35" w:rsidRDefault="00195F35" w:rsidP="00856171"/>
        </w:tc>
        <w:tc>
          <w:tcPr>
            <w:tcW w:w="851" w:type="dxa"/>
          </w:tcPr>
          <w:p w:rsidR="00195F35" w:rsidRDefault="00195F35" w:rsidP="00856171"/>
        </w:tc>
      </w:tr>
      <w:tr w:rsidR="00195F35" w:rsidTr="00195F35">
        <w:trPr>
          <w:cnfStyle w:val="000000010000" w:firstRow="0" w:lastRow="0" w:firstColumn="0" w:lastColumn="0" w:oddVBand="0" w:evenVBand="0" w:oddHBand="0" w:evenHBand="1" w:firstRowFirstColumn="0" w:firstRowLastColumn="0" w:lastRowFirstColumn="0" w:lastRowLastColumn="0"/>
        </w:trPr>
        <w:tc>
          <w:tcPr>
            <w:tcW w:w="3652" w:type="dxa"/>
          </w:tcPr>
          <w:p w:rsidR="00195F35" w:rsidRDefault="00195F35" w:rsidP="00D963B4">
            <w:r>
              <w:t>It is appropriate to use an all equity based estimate of the distribution rate.</w:t>
            </w:r>
            <w:r>
              <w:rPr>
                <w:rStyle w:val="FootnoteReference"/>
              </w:rPr>
              <w:footnoteReference w:id="164"/>
            </w:r>
            <w:r>
              <w:t xml:space="preserve"> T</w:t>
            </w:r>
            <w:r w:rsidRPr="00D963B4">
              <w:t>he distribution rate for listed equity is likely to be a poor proxy</w:t>
            </w:r>
            <w:r>
              <w:t xml:space="preserve"> for a benchmark efficient entity</w:t>
            </w:r>
            <w:r w:rsidRPr="00D963B4">
              <w:t>.</w:t>
            </w:r>
            <w:r w:rsidRPr="00883125">
              <w:rPr>
                <w:rStyle w:val="FootnoteReference"/>
              </w:rPr>
              <w:footnoteReference w:id="165"/>
            </w:r>
          </w:p>
          <w:p w:rsidR="00195F35" w:rsidRPr="00856171" w:rsidRDefault="00195F35" w:rsidP="00D963B4">
            <w:r w:rsidRPr="00692B72">
              <w:lastRenderedPageBreak/>
              <w:t>The Tribunal considered we provided insufficient</w:t>
            </w:r>
            <w:r>
              <w:t xml:space="preserve"> reasoning</w:t>
            </w:r>
            <w:r w:rsidRPr="00692B72">
              <w:t xml:space="preserve"> for introducing listed equity distribution rate</w:t>
            </w:r>
            <w:r>
              <w:t>.</w:t>
            </w:r>
            <w:r>
              <w:rPr>
                <w:rStyle w:val="FootnoteReference"/>
              </w:rPr>
              <w:footnoteReference w:id="166"/>
            </w:r>
          </w:p>
        </w:tc>
        <w:tc>
          <w:tcPr>
            <w:tcW w:w="4394" w:type="dxa"/>
          </w:tcPr>
          <w:p w:rsidR="00195F35" w:rsidRDefault="00195F35" w:rsidP="00856171">
            <w:r>
              <w:lastRenderedPageBreak/>
              <w:t>We consider the use of a distribution rate for listed equity is open to us</w:t>
            </w:r>
            <w:r w:rsidRPr="00F24CFD">
              <w:t xml:space="preserve"> </w:t>
            </w:r>
            <w:r>
              <w:t>and reasonably reflective of a benchmark efficient entity given the difficulties asso</w:t>
            </w:r>
            <w:r w:rsidRPr="00F24CFD">
              <w:t>ciated with choosing a representative dataset</w:t>
            </w:r>
            <w:r>
              <w:t xml:space="preserve">. Lally also recommends </w:t>
            </w:r>
            <w:r>
              <w:lastRenderedPageBreak/>
              <w:t>distribution rate based on listed equity for a benchmark efficient entity, although he estimates this using financial statements of the top 20 listed firms.</w:t>
            </w:r>
          </w:p>
          <w:p w:rsidR="00195F35" w:rsidRDefault="00195F35" w:rsidP="00203DC0">
            <w:r>
              <w:t>Further, w</w:t>
            </w:r>
            <w:r w:rsidRPr="00203DC0">
              <w:t>e consider it is inappropriate to focus on individual elements of a benchmark efficient entity, such as foreign income and foreign ownership. Instead, we consider a benchmark efficient entity should be assessed holistically. When determining gamma for a benchmark efficient entity, what is relevant is how it generates and distributes imputation credits.</w:t>
            </w:r>
            <w:r>
              <w:t xml:space="preserve"> We also note </w:t>
            </w:r>
            <w:r w:rsidRPr="00F24CFD">
              <w:t xml:space="preserve">that if we estimated a distribution rate strictly in accordance with our benchmark definition we would </w:t>
            </w:r>
            <w:r>
              <w:t>use</w:t>
            </w:r>
            <w:r w:rsidRPr="00F24CFD">
              <w:t xml:space="preserve"> only the firms we regulate, or an observable set of similar firms.</w:t>
            </w:r>
            <w:r>
              <w:t xml:space="preserve"> </w:t>
            </w:r>
          </w:p>
          <w:p w:rsidR="00195F35" w:rsidRDefault="00195F35" w:rsidP="000076F2">
            <w:r w:rsidRPr="000076F2">
              <w:t>Finally, it is not clear that foreign income results in a higher imputation payout ratio. In fact, Lally's analysis suggests the opposite.</w:t>
            </w:r>
          </w:p>
        </w:tc>
        <w:tc>
          <w:tcPr>
            <w:tcW w:w="851" w:type="dxa"/>
          </w:tcPr>
          <w:p w:rsidR="00195F35" w:rsidRDefault="00195F35" w:rsidP="00856171">
            <w:r>
              <w:lastRenderedPageBreak/>
              <w:fldChar w:fldCharType="begin"/>
            </w:r>
            <w:r>
              <w:instrText xml:space="preserve"> REF _Ref450761230 \r \h </w:instrText>
            </w:r>
            <w:r>
              <w:fldChar w:fldCharType="separate"/>
            </w:r>
            <w:r w:rsidR="00881794">
              <w:t>4.4.1</w:t>
            </w:r>
            <w:r>
              <w:fldChar w:fldCharType="end"/>
            </w:r>
          </w:p>
          <w:p w:rsidR="00195F35" w:rsidRDefault="00195F35" w:rsidP="00856171">
            <w:r>
              <w:fldChar w:fldCharType="begin"/>
            </w:r>
            <w:r>
              <w:instrText xml:space="preserve"> REF _Ref401133206 \r \h </w:instrText>
            </w:r>
            <w:r>
              <w:fldChar w:fldCharType="separate"/>
            </w:r>
            <w:r w:rsidR="00881794">
              <w:t>A.10</w:t>
            </w:r>
            <w:r>
              <w:fldChar w:fldCharType="end"/>
            </w:r>
          </w:p>
        </w:tc>
      </w:tr>
      <w:tr w:rsidR="00195F35" w:rsidTr="00195F35">
        <w:tc>
          <w:tcPr>
            <w:tcW w:w="3652" w:type="dxa"/>
          </w:tcPr>
          <w:p w:rsidR="00195F35" w:rsidRDefault="00195F35" w:rsidP="00BE14BD">
            <w:r>
              <w:lastRenderedPageBreak/>
              <w:t>Estimates of the utilisation rate from listed equity (all equity) do not have to be paired with estimates of the distribution rate from listed equity (all equity).</w:t>
            </w:r>
            <w:r>
              <w:rPr>
                <w:rStyle w:val="FootnoteReference"/>
              </w:rPr>
              <w:footnoteReference w:id="167"/>
            </w:r>
            <w:r>
              <w:t xml:space="preserve"> </w:t>
            </w:r>
          </w:p>
        </w:tc>
        <w:tc>
          <w:tcPr>
            <w:tcW w:w="4394" w:type="dxa"/>
          </w:tcPr>
          <w:p w:rsidR="00195F35" w:rsidRDefault="00195F35" w:rsidP="00BE14BD">
            <w:r>
              <w:t>F</w:t>
            </w:r>
            <w:r w:rsidRPr="00BE14BD">
              <w:t>ollowing Lally's latest report, we consider it is not essential to 'match' estimates of distribution rates and utilisation rates based on the dataset used; although we note the choice is open to us.</w:t>
            </w:r>
            <w:r>
              <w:t xml:space="preserve"> While we primarily rely on 'matched' estimates, we also have regard to Lally's preferred estimate based on an all equity utilisation rate from the equity ownership approach and a distribution rate for listed equity from </w:t>
            </w:r>
            <w:r w:rsidRPr="00BE14BD">
              <w:t>financial reports of the top 20 listed firms</w:t>
            </w:r>
            <w:r>
              <w:t>.</w:t>
            </w:r>
          </w:p>
        </w:tc>
        <w:tc>
          <w:tcPr>
            <w:tcW w:w="851" w:type="dxa"/>
          </w:tcPr>
          <w:p w:rsidR="00195F35" w:rsidRPr="00B33B56" w:rsidRDefault="00195F35" w:rsidP="00B33B56">
            <w:r>
              <w:fldChar w:fldCharType="begin"/>
            </w:r>
            <w:r>
              <w:instrText xml:space="preserve"> REF _Ref450761230 \r \h </w:instrText>
            </w:r>
            <w:r>
              <w:fldChar w:fldCharType="separate"/>
            </w:r>
            <w:r w:rsidR="00881794">
              <w:t>4.4.1</w:t>
            </w:r>
            <w:r>
              <w:fldChar w:fldCharType="end"/>
            </w:r>
          </w:p>
          <w:p w:rsidR="00195F35" w:rsidRDefault="00195F35" w:rsidP="00856171">
            <w:r>
              <w:fldChar w:fldCharType="begin"/>
            </w:r>
            <w:r>
              <w:instrText xml:space="preserve"> REF _Ref451790065 \r \h </w:instrText>
            </w:r>
            <w:r>
              <w:fldChar w:fldCharType="separate"/>
            </w:r>
            <w:r w:rsidR="00881794">
              <w:t>A.9</w:t>
            </w:r>
            <w:r>
              <w:fldChar w:fldCharType="end"/>
            </w:r>
          </w:p>
        </w:tc>
      </w:tr>
      <w:tr w:rsidR="00195F35" w:rsidTr="00195F35">
        <w:trPr>
          <w:cnfStyle w:val="000000010000" w:firstRow="0" w:lastRow="0" w:firstColumn="0" w:lastColumn="0" w:oddVBand="0" w:evenVBand="0" w:oddHBand="0" w:evenHBand="1" w:firstRowFirstColumn="0" w:firstRowLastColumn="0" w:lastRowFirstColumn="0" w:lastRowLastColumn="0"/>
        </w:trPr>
        <w:tc>
          <w:tcPr>
            <w:tcW w:w="3652" w:type="dxa"/>
          </w:tcPr>
          <w:p w:rsidR="00195F35" w:rsidRPr="00E82D06" w:rsidRDefault="00195F35" w:rsidP="00856171">
            <w:pPr>
              <w:rPr>
                <w:rStyle w:val="Strong"/>
              </w:rPr>
            </w:pPr>
            <w:r w:rsidRPr="00E82D06">
              <w:rPr>
                <w:rStyle w:val="Strong"/>
              </w:rPr>
              <w:t>Utilisation rate</w:t>
            </w:r>
          </w:p>
        </w:tc>
        <w:tc>
          <w:tcPr>
            <w:tcW w:w="4394" w:type="dxa"/>
          </w:tcPr>
          <w:p w:rsidR="00195F35" w:rsidRDefault="00195F35" w:rsidP="00856171"/>
        </w:tc>
        <w:tc>
          <w:tcPr>
            <w:tcW w:w="851" w:type="dxa"/>
          </w:tcPr>
          <w:p w:rsidR="00195F35" w:rsidRDefault="00195F35" w:rsidP="00856171"/>
        </w:tc>
      </w:tr>
      <w:tr w:rsidR="00195F35" w:rsidTr="00195F35">
        <w:tc>
          <w:tcPr>
            <w:tcW w:w="3652" w:type="dxa"/>
          </w:tcPr>
          <w:p w:rsidR="00195F35" w:rsidRPr="00C70506" w:rsidRDefault="00195F35" w:rsidP="00C70506">
            <w:r w:rsidRPr="006B5C23">
              <w:rPr>
                <w:rStyle w:val="AERtextitalic"/>
              </w:rPr>
              <w:t>Equity ownership approach</w:t>
            </w:r>
          </w:p>
        </w:tc>
        <w:tc>
          <w:tcPr>
            <w:tcW w:w="4394" w:type="dxa"/>
          </w:tcPr>
          <w:p w:rsidR="00195F35" w:rsidRDefault="00195F35" w:rsidP="00C70506"/>
        </w:tc>
        <w:tc>
          <w:tcPr>
            <w:tcW w:w="851" w:type="dxa"/>
          </w:tcPr>
          <w:p w:rsidR="00195F35" w:rsidRDefault="00195F35" w:rsidP="00C70506"/>
        </w:tc>
      </w:tr>
      <w:tr w:rsidR="00195F35" w:rsidTr="00195F35">
        <w:trPr>
          <w:cnfStyle w:val="000000010000" w:firstRow="0" w:lastRow="0" w:firstColumn="0" w:lastColumn="0" w:oddVBand="0" w:evenVBand="0" w:oddHBand="0" w:evenHBand="1" w:firstRowFirstColumn="0" w:firstRowLastColumn="0" w:lastRowFirstColumn="0" w:lastRowLastColumn="0"/>
        </w:trPr>
        <w:tc>
          <w:tcPr>
            <w:tcW w:w="3652" w:type="dxa"/>
          </w:tcPr>
          <w:p w:rsidR="00195F35" w:rsidRDefault="00195F35" w:rsidP="00C70506">
            <w:r>
              <w:t>The equity ownership approach overstates the utilisation rate (</w:t>
            </w:r>
            <w:r w:rsidRPr="00C70506">
              <w:t>relative to an upper bound based on tax statistics)</w:t>
            </w:r>
            <w:r>
              <w:rPr>
                <w:rStyle w:val="FootnoteReference"/>
              </w:rPr>
              <w:footnoteReference w:id="168"/>
            </w:r>
            <w:r w:rsidRPr="00C70506">
              <w:t xml:space="preserve"> </w:t>
            </w:r>
          </w:p>
          <w:p w:rsidR="00195F35" w:rsidRPr="005764F6" w:rsidRDefault="00195F35" w:rsidP="00E86083">
            <w:pPr>
              <w:rPr>
                <w:rStyle w:val="AERtextitalic"/>
                <w:i w:val="0"/>
              </w:rPr>
            </w:pPr>
            <w:r>
              <w:lastRenderedPageBreak/>
              <w:t>The Tribunal consider</w:t>
            </w:r>
            <w:r w:rsidR="00010381">
              <w:t>ed</w:t>
            </w:r>
            <w:r>
              <w:t xml:space="preserve"> this </w:t>
            </w:r>
            <w:r w:rsidR="00010381">
              <w:t xml:space="preserve">shows </w:t>
            </w:r>
            <w:r w:rsidR="00010381" w:rsidRPr="00010381">
              <w:t>there are investors who we assume are eligible to redeem imputation credits but, for whatever reasons, either cannot redeem them or attribute so little value to the credits that they do not utilise them</w:t>
            </w:r>
            <w:r w:rsidR="00010381">
              <w:t>. In particular, t</w:t>
            </w:r>
            <w:r w:rsidR="00010381" w:rsidRPr="00010381">
              <w:t>here are investors who hold shares for less than 45 days</w:t>
            </w:r>
            <w:r>
              <w:t>.</w:t>
            </w:r>
            <w:r>
              <w:rPr>
                <w:rStyle w:val="FootnoteReference"/>
              </w:rPr>
              <w:footnoteReference w:id="169"/>
            </w:r>
          </w:p>
        </w:tc>
        <w:tc>
          <w:tcPr>
            <w:tcW w:w="4394" w:type="dxa"/>
          </w:tcPr>
          <w:p w:rsidR="00195F35" w:rsidRDefault="00195F35" w:rsidP="00C70506">
            <w:r>
              <w:lastRenderedPageBreak/>
              <w:t xml:space="preserve">We do not consider the estimate of the utilisation rate from tax statistics is an upper bound (see </w:t>
            </w:r>
            <w:r w:rsidRPr="00B75EA1">
              <w:t>response under '</w:t>
            </w:r>
            <w:r>
              <w:t>Tax statistics</w:t>
            </w:r>
            <w:r w:rsidRPr="00B75EA1">
              <w:t>'</w:t>
            </w:r>
            <w:r>
              <w:t xml:space="preserve">). </w:t>
            </w:r>
          </w:p>
          <w:p w:rsidR="00195F35" w:rsidRDefault="00195F35" w:rsidP="00C70506">
            <w:r>
              <w:lastRenderedPageBreak/>
              <w:t>We consider the 45 day rule</w:t>
            </w:r>
            <w:r w:rsidRPr="00C401BB">
              <w:t xml:space="preserve"> is unlikely to have a material impact on the utilisation of imputation credits by domestic investors</w:t>
            </w:r>
            <w:r>
              <w:t>, and</w:t>
            </w:r>
            <w:r w:rsidRPr="00C401BB">
              <w:t xml:space="preserve"> no data has been presented that demonstrates a material impact. </w:t>
            </w:r>
            <w:r>
              <w:t xml:space="preserve">As such, </w:t>
            </w:r>
            <w:r w:rsidRPr="00C401BB">
              <w:t xml:space="preserve">we do not consider the 45 day rule explains the difference in utilisation </w:t>
            </w:r>
            <w:r>
              <w:t>rate</w:t>
            </w:r>
            <w:r w:rsidRPr="00C401BB">
              <w:t xml:space="preserve"> estimates between tax statistics and the equity ownership approach. We consider the difference is likely driven by estimation error in the taxation data.</w:t>
            </w:r>
            <w:r>
              <w:t xml:space="preserve"> Lally considers the </w:t>
            </w:r>
            <w:r w:rsidR="00AC0681">
              <w:t xml:space="preserve">most obvious explanation for the </w:t>
            </w:r>
            <w:r>
              <w:t xml:space="preserve">difference is </w:t>
            </w:r>
            <w:r w:rsidR="00AC0681">
              <w:t>the estimate of the redemption rate from</w:t>
            </w:r>
            <w:r>
              <w:t xml:space="preserve"> tax statistics used by the AER </w:t>
            </w:r>
            <w:r w:rsidR="00AC0681">
              <w:t>is</w:t>
            </w:r>
            <w:r w:rsidR="00D53487">
              <w:t xml:space="preserve"> </w:t>
            </w:r>
            <w:r>
              <w:t>too low.</w:t>
            </w:r>
            <w:r>
              <w:rPr>
                <w:rStyle w:val="FootnoteReference"/>
              </w:rPr>
              <w:footnoteReference w:id="170"/>
            </w:r>
          </w:p>
          <w:p w:rsidR="00195F35" w:rsidRDefault="00195F35" w:rsidP="00B75EA1">
            <w:r>
              <w:t>We use an estimate of the utilisation rate below the top of the range from the equity ownership approach.</w:t>
            </w:r>
          </w:p>
        </w:tc>
        <w:tc>
          <w:tcPr>
            <w:tcW w:w="851" w:type="dxa"/>
          </w:tcPr>
          <w:p w:rsidR="00195F35" w:rsidRDefault="00195F35" w:rsidP="00C70506">
            <w:r>
              <w:lastRenderedPageBreak/>
              <w:fldChar w:fldCharType="begin"/>
            </w:r>
            <w:r>
              <w:instrText xml:space="preserve"> REF _Ref450761230 \r \h </w:instrText>
            </w:r>
            <w:r>
              <w:fldChar w:fldCharType="separate"/>
            </w:r>
            <w:r w:rsidR="00881794">
              <w:t>4.4.1</w:t>
            </w:r>
            <w:r>
              <w:fldChar w:fldCharType="end"/>
            </w:r>
          </w:p>
          <w:p w:rsidR="00195F35" w:rsidRDefault="00195F35" w:rsidP="00C70506">
            <w:r>
              <w:fldChar w:fldCharType="begin"/>
            </w:r>
            <w:r>
              <w:instrText xml:space="preserve"> REF _Ref415049811 \r \h </w:instrText>
            </w:r>
            <w:r>
              <w:fldChar w:fldCharType="separate"/>
            </w:r>
            <w:r w:rsidR="00881794">
              <w:t>A.12</w:t>
            </w:r>
            <w:r>
              <w:fldChar w:fldCharType="end"/>
            </w:r>
          </w:p>
          <w:p w:rsidR="00195F35" w:rsidRDefault="00195F35" w:rsidP="00C70506">
            <w:r>
              <w:lastRenderedPageBreak/>
              <w:fldChar w:fldCharType="begin"/>
            </w:r>
            <w:r>
              <w:instrText xml:space="preserve"> REF _Ref450298682 \r \h </w:instrText>
            </w:r>
            <w:r>
              <w:fldChar w:fldCharType="separate"/>
            </w:r>
            <w:r w:rsidR="00881794">
              <w:t>A.14</w:t>
            </w:r>
            <w:r>
              <w:fldChar w:fldCharType="end"/>
            </w:r>
          </w:p>
          <w:p w:rsidR="00195F35" w:rsidRDefault="00195F35" w:rsidP="00C70506">
            <w:r>
              <w:fldChar w:fldCharType="begin"/>
            </w:r>
            <w:r>
              <w:instrText xml:space="preserve"> REF _Ref414099389 \r \h </w:instrText>
            </w:r>
            <w:r>
              <w:fldChar w:fldCharType="separate"/>
            </w:r>
            <w:r w:rsidR="00881794">
              <w:t>A.8.3</w:t>
            </w:r>
            <w:r>
              <w:fldChar w:fldCharType="end"/>
            </w:r>
          </w:p>
        </w:tc>
      </w:tr>
      <w:tr w:rsidR="00195F35" w:rsidTr="00195F35">
        <w:tc>
          <w:tcPr>
            <w:tcW w:w="3652" w:type="dxa"/>
          </w:tcPr>
          <w:p w:rsidR="00195F35" w:rsidRDefault="00195F35" w:rsidP="00C70506">
            <w:r>
              <w:lastRenderedPageBreak/>
              <w:t>T</w:t>
            </w:r>
            <w:r w:rsidRPr="00C70506">
              <w:t>he equity ownership approach is inconsistent with the proper interpretation of the Officer framework</w:t>
            </w:r>
            <w:r>
              <w:t>.</w:t>
            </w:r>
            <w:r>
              <w:rPr>
                <w:rStyle w:val="FootnoteReference"/>
              </w:rPr>
              <w:footnoteReference w:id="171"/>
            </w:r>
          </w:p>
          <w:p w:rsidR="00195F35" w:rsidRPr="00C70506" w:rsidRDefault="00195F35" w:rsidP="005E0D7F">
            <w:r>
              <w:t xml:space="preserve">The equity ownership approach does not </w:t>
            </w:r>
            <w:r w:rsidRPr="00E80ED3">
              <w:t>reflect factors which affect investors' valuation of imputation credits</w:t>
            </w:r>
            <w:r>
              <w:t xml:space="preserve"> (below their full face value)</w:t>
            </w:r>
            <w:r w:rsidRPr="00E80ED3">
              <w:t>.</w:t>
            </w:r>
            <w:r>
              <w:rPr>
                <w:rStyle w:val="FootnoteReference"/>
              </w:rPr>
              <w:footnoteReference w:id="172"/>
            </w:r>
          </w:p>
        </w:tc>
        <w:tc>
          <w:tcPr>
            <w:tcW w:w="4394" w:type="dxa"/>
          </w:tcPr>
          <w:p w:rsidR="00195F35" w:rsidRPr="00C70506" w:rsidRDefault="00195F35" w:rsidP="007F675F">
            <w:r>
              <w:t>See response under 'Conceptual framework'</w:t>
            </w:r>
            <w:r w:rsidRPr="00C70506">
              <w:t xml:space="preserve">. </w:t>
            </w:r>
          </w:p>
        </w:tc>
        <w:tc>
          <w:tcPr>
            <w:tcW w:w="851" w:type="dxa"/>
          </w:tcPr>
          <w:p w:rsidR="00195F35" w:rsidRDefault="00195F35" w:rsidP="007F675F">
            <w:r>
              <w:fldChar w:fldCharType="begin"/>
            </w:r>
            <w:r>
              <w:instrText xml:space="preserve"> REF _Ref414099389 \r \h </w:instrText>
            </w:r>
            <w:r>
              <w:fldChar w:fldCharType="separate"/>
            </w:r>
            <w:r w:rsidR="00881794">
              <w:t>A.8.3</w:t>
            </w:r>
            <w:r>
              <w:fldChar w:fldCharType="end"/>
            </w:r>
          </w:p>
          <w:p w:rsidR="00195F35" w:rsidRDefault="00195F35" w:rsidP="007F675F">
            <w:r>
              <w:fldChar w:fldCharType="begin"/>
            </w:r>
            <w:r>
              <w:instrText xml:space="preserve"> REF _Ref415049811 \r \h </w:instrText>
            </w:r>
            <w:r>
              <w:fldChar w:fldCharType="separate"/>
            </w:r>
            <w:r w:rsidR="00881794">
              <w:t>A.12</w:t>
            </w:r>
            <w:r>
              <w:fldChar w:fldCharType="end"/>
            </w:r>
          </w:p>
        </w:tc>
      </w:tr>
      <w:tr w:rsidR="00195F35" w:rsidTr="00195F35">
        <w:trPr>
          <w:cnfStyle w:val="000000010000" w:firstRow="0" w:lastRow="0" w:firstColumn="0" w:lastColumn="0" w:oddVBand="0" w:evenVBand="0" w:oddHBand="0" w:evenHBand="1" w:firstRowFirstColumn="0" w:firstRowLastColumn="0" w:lastRowFirstColumn="0" w:lastRowLastColumn="0"/>
        </w:trPr>
        <w:tc>
          <w:tcPr>
            <w:tcW w:w="3652" w:type="dxa"/>
          </w:tcPr>
          <w:p w:rsidR="00195F35" w:rsidRPr="00E86083" w:rsidRDefault="00195F35" w:rsidP="00E86083">
            <w:r>
              <w:t>The equity ownership approach can only be used informatively</w:t>
            </w:r>
            <w:r w:rsidRPr="00E86083">
              <w:t xml:space="preserve"> as an upper bound or as a check on other estimates (like tax statistics)</w:t>
            </w:r>
            <w:r w:rsidRPr="00E86083">
              <w:rPr>
                <w:rStyle w:val="FootnoteReference"/>
              </w:rPr>
              <w:footnoteReference w:id="173"/>
            </w:r>
          </w:p>
        </w:tc>
        <w:tc>
          <w:tcPr>
            <w:tcW w:w="4394" w:type="dxa"/>
          </w:tcPr>
          <w:p w:rsidR="00195F35" w:rsidRPr="00E86083" w:rsidRDefault="00195F35" w:rsidP="00E86083">
            <w:r>
              <w:t>The equity ownership approach (and tax statistics) can</w:t>
            </w:r>
            <w:r w:rsidRPr="00E86083">
              <w:t xml:space="preserve"> used to generate a point estimate of the utilisation rate.</w:t>
            </w:r>
            <w:r w:rsidRPr="00E86083">
              <w:tab/>
            </w:r>
          </w:p>
        </w:tc>
        <w:tc>
          <w:tcPr>
            <w:tcW w:w="851" w:type="dxa"/>
          </w:tcPr>
          <w:p w:rsidR="00195F35" w:rsidRDefault="00195F35" w:rsidP="00E86083">
            <w:r>
              <w:fldChar w:fldCharType="begin"/>
            </w:r>
            <w:r>
              <w:instrText xml:space="preserve"> REF _Ref451790207 \r \h </w:instrText>
            </w:r>
            <w:r>
              <w:fldChar w:fldCharType="separate"/>
            </w:r>
            <w:r w:rsidR="00881794">
              <w:t>4.4</w:t>
            </w:r>
            <w:r>
              <w:fldChar w:fldCharType="end"/>
            </w:r>
          </w:p>
          <w:p w:rsidR="00195F35" w:rsidRPr="00E86083" w:rsidRDefault="00195F35" w:rsidP="00E86083">
            <w:r>
              <w:fldChar w:fldCharType="begin"/>
            </w:r>
            <w:r>
              <w:instrText xml:space="preserve"> REF _Ref415049811 \r \h </w:instrText>
            </w:r>
            <w:r>
              <w:fldChar w:fldCharType="separate"/>
            </w:r>
            <w:r w:rsidR="00881794">
              <w:t>A.12</w:t>
            </w:r>
            <w:r>
              <w:fldChar w:fldCharType="end"/>
            </w:r>
          </w:p>
        </w:tc>
      </w:tr>
      <w:tr w:rsidR="00195F35" w:rsidTr="00195F35">
        <w:tc>
          <w:tcPr>
            <w:tcW w:w="3652" w:type="dxa"/>
          </w:tcPr>
          <w:p w:rsidR="00195F35" w:rsidRDefault="00195F35" w:rsidP="00E86083">
            <w:r>
              <w:t>The equity ownership approach estimate of the utilisation rate should be based on listed equity</w:t>
            </w:r>
            <w:r>
              <w:rPr>
                <w:rStyle w:val="FootnoteReference"/>
              </w:rPr>
              <w:footnoteReference w:id="174"/>
            </w:r>
          </w:p>
        </w:tc>
        <w:tc>
          <w:tcPr>
            <w:tcW w:w="4394" w:type="dxa"/>
          </w:tcPr>
          <w:p w:rsidR="00195F35" w:rsidRDefault="00195F35" w:rsidP="00E86083">
            <w:r>
              <w:t>We consider utilisation rates from the equity ownership approach based on listed equity and all equity.</w:t>
            </w:r>
          </w:p>
        </w:tc>
        <w:tc>
          <w:tcPr>
            <w:tcW w:w="851" w:type="dxa"/>
          </w:tcPr>
          <w:p w:rsidR="00195F35" w:rsidRDefault="00195F35" w:rsidP="00E86083">
            <w:r>
              <w:fldChar w:fldCharType="begin"/>
            </w:r>
            <w:r>
              <w:instrText xml:space="preserve"> REF _Ref401048631 \r \h </w:instrText>
            </w:r>
            <w:r>
              <w:fldChar w:fldCharType="separate"/>
            </w:r>
            <w:r w:rsidR="00881794">
              <w:t>A.9.1</w:t>
            </w:r>
            <w:r>
              <w:fldChar w:fldCharType="end"/>
            </w:r>
          </w:p>
          <w:p w:rsidR="00195F35" w:rsidRDefault="00195F35" w:rsidP="00E86083">
            <w:r>
              <w:fldChar w:fldCharType="begin"/>
            </w:r>
            <w:r>
              <w:instrText xml:space="preserve"> REF _Ref415049811 \r \h </w:instrText>
            </w:r>
            <w:r>
              <w:fldChar w:fldCharType="separate"/>
            </w:r>
            <w:r w:rsidR="00881794">
              <w:t>A.12</w:t>
            </w:r>
            <w:r>
              <w:fldChar w:fldCharType="end"/>
            </w:r>
          </w:p>
        </w:tc>
      </w:tr>
      <w:tr w:rsidR="00195F35" w:rsidTr="00195F35">
        <w:trPr>
          <w:cnfStyle w:val="000000010000" w:firstRow="0" w:lastRow="0" w:firstColumn="0" w:lastColumn="0" w:oddVBand="0" w:evenVBand="0" w:oddHBand="0" w:evenHBand="1" w:firstRowFirstColumn="0" w:firstRowLastColumn="0" w:lastRowFirstColumn="0" w:lastRowLastColumn="0"/>
        </w:trPr>
        <w:tc>
          <w:tcPr>
            <w:tcW w:w="3652" w:type="dxa"/>
          </w:tcPr>
          <w:p w:rsidR="00195F35" w:rsidRDefault="00195F35" w:rsidP="00195F35">
            <w:r>
              <w:lastRenderedPageBreak/>
              <w:t>O</w:t>
            </w:r>
            <w:r w:rsidRPr="005B650B">
              <w:t>nly the most recent point estimates of the equity ownership share are relevant</w:t>
            </w:r>
            <w:r>
              <w:t>.</w:t>
            </w:r>
            <w:r>
              <w:rPr>
                <w:rStyle w:val="FootnoteReference"/>
              </w:rPr>
              <w:footnoteReference w:id="175"/>
            </w:r>
          </w:p>
        </w:tc>
        <w:tc>
          <w:tcPr>
            <w:tcW w:w="4394" w:type="dxa"/>
          </w:tcPr>
          <w:p w:rsidR="00195F35" w:rsidRDefault="00195F35" w:rsidP="001A60DE">
            <w:r w:rsidRPr="005B650B">
              <w:t xml:space="preserve">We disagree. Given that the series exhibits considerable volatility, we </w:t>
            </w:r>
            <w:r>
              <w:t>consider</w:t>
            </w:r>
            <w:r w:rsidRPr="005B650B">
              <w:t xml:space="preserve"> it is reasonable to not rely solely on the most recent point estimate.</w:t>
            </w:r>
            <w:r>
              <w:t xml:space="preserve"> Similarly, we estimate an MRP (</w:t>
            </w:r>
            <w:r w:rsidRPr="005B650B">
              <w:t>for the return on equity)</w:t>
            </w:r>
            <w:r>
              <w:t xml:space="preserve"> that reflects prevailing market conditions using a historical series of excess returns. </w:t>
            </w:r>
          </w:p>
        </w:tc>
        <w:tc>
          <w:tcPr>
            <w:tcW w:w="851" w:type="dxa"/>
          </w:tcPr>
          <w:p w:rsidR="00195F35" w:rsidRDefault="00195F35" w:rsidP="00E86083">
            <w:r w:rsidRPr="005B650B">
              <w:fldChar w:fldCharType="begin"/>
            </w:r>
            <w:r w:rsidRPr="005B650B">
              <w:instrText xml:space="preserve"> REF _Ref415049811 \r \h </w:instrText>
            </w:r>
            <w:r w:rsidRPr="005B650B">
              <w:fldChar w:fldCharType="separate"/>
            </w:r>
            <w:r w:rsidR="00881794">
              <w:t>A.12</w:t>
            </w:r>
            <w:r w:rsidRPr="005B650B">
              <w:fldChar w:fldCharType="end"/>
            </w:r>
          </w:p>
        </w:tc>
      </w:tr>
      <w:tr w:rsidR="00195F35" w:rsidTr="00195F35">
        <w:tc>
          <w:tcPr>
            <w:tcW w:w="3652" w:type="dxa"/>
          </w:tcPr>
          <w:p w:rsidR="00195F35" w:rsidRPr="00C70506" w:rsidRDefault="00195F35" w:rsidP="00C70506">
            <w:r w:rsidRPr="006B5C23">
              <w:rPr>
                <w:rStyle w:val="AERtextitalic"/>
              </w:rPr>
              <w:t>Tax statistics</w:t>
            </w:r>
          </w:p>
        </w:tc>
        <w:tc>
          <w:tcPr>
            <w:tcW w:w="4394" w:type="dxa"/>
          </w:tcPr>
          <w:p w:rsidR="00195F35" w:rsidRDefault="00195F35" w:rsidP="00C70506"/>
        </w:tc>
        <w:tc>
          <w:tcPr>
            <w:tcW w:w="851" w:type="dxa"/>
          </w:tcPr>
          <w:p w:rsidR="00195F35" w:rsidRDefault="00195F35" w:rsidP="00C70506"/>
        </w:tc>
      </w:tr>
      <w:tr w:rsidR="00195F35" w:rsidTr="00195F35">
        <w:trPr>
          <w:cnfStyle w:val="000000010000" w:firstRow="0" w:lastRow="0" w:firstColumn="0" w:lastColumn="0" w:oddVBand="0" w:evenVBand="0" w:oddHBand="0" w:evenHBand="1" w:firstRowFirstColumn="0" w:firstRowLastColumn="0" w:lastRowFirstColumn="0" w:lastRowLastColumn="0"/>
        </w:trPr>
        <w:tc>
          <w:tcPr>
            <w:tcW w:w="3652" w:type="dxa"/>
          </w:tcPr>
          <w:p w:rsidR="00195F35" w:rsidRPr="00E86083" w:rsidRDefault="00195F35" w:rsidP="00E86083">
            <w:r>
              <w:t xml:space="preserve">Tax statistics are inconsistent with the </w:t>
            </w:r>
            <w:r w:rsidRPr="00E86083">
              <w:t>proper interpretation of the Officer framework</w:t>
            </w:r>
            <w:r w:rsidRPr="00E86083">
              <w:rPr>
                <w:rStyle w:val="FootnoteReference"/>
              </w:rPr>
              <w:footnoteReference w:id="176"/>
            </w:r>
          </w:p>
          <w:p w:rsidR="00195F35" w:rsidRPr="00E86083" w:rsidRDefault="00195F35" w:rsidP="00E86083">
            <w:r>
              <w:t>Tax statistics do</w:t>
            </w:r>
            <w:r w:rsidRPr="00E86083">
              <w:t xml:space="preserve"> not reflect factors which affect investors' valuation of imputation credits (below their full face value).</w:t>
            </w:r>
            <w:r w:rsidRPr="00E86083">
              <w:rPr>
                <w:rStyle w:val="FootnoteReference"/>
              </w:rPr>
              <w:footnoteReference w:id="177"/>
            </w:r>
          </w:p>
        </w:tc>
        <w:tc>
          <w:tcPr>
            <w:tcW w:w="4394" w:type="dxa"/>
          </w:tcPr>
          <w:p w:rsidR="00195F35" w:rsidRPr="00E86083" w:rsidRDefault="00195F35" w:rsidP="00E86083">
            <w:r>
              <w:t xml:space="preserve">See </w:t>
            </w:r>
            <w:r w:rsidRPr="00E86083">
              <w:t>response under 'Conceptual framework'.</w:t>
            </w:r>
          </w:p>
        </w:tc>
        <w:tc>
          <w:tcPr>
            <w:tcW w:w="851" w:type="dxa"/>
          </w:tcPr>
          <w:p w:rsidR="00195F35" w:rsidRDefault="00195F35" w:rsidP="00E86083">
            <w:r>
              <w:fldChar w:fldCharType="begin"/>
            </w:r>
            <w:r>
              <w:instrText xml:space="preserve"> REF _Ref451793040 \r \h </w:instrText>
            </w:r>
            <w:r>
              <w:fldChar w:fldCharType="separate"/>
            </w:r>
            <w:r w:rsidR="00881794">
              <w:t>4.1</w:t>
            </w:r>
            <w:r>
              <w:fldChar w:fldCharType="end"/>
            </w:r>
          </w:p>
          <w:p w:rsidR="00195F35" w:rsidRDefault="00195F35" w:rsidP="00E86083">
            <w:r>
              <w:fldChar w:fldCharType="begin"/>
            </w:r>
            <w:r>
              <w:instrText xml:space="preserve"> REF _Ref414099389 \r \h </w:instrText>
            </w:r>
            <w:r>
              <w:fldChar w:fldCharType="separate"/>
            </w:r>
            <w:r w:rsidR="00881794">
              <w:t>A.8.3</w:t>
            </w:r>
            <w:r>
              <w:fldChar w:fldCharType="end"/>
            </w:r>
          </w:p>
          <w:p w:rsidR="00195F35" w:rsidRPr="00E86083" w:rsidRDefault="00195F35" w:rsidP="00E86083">
            <w:r>
              <w:fldChar w:fldCharType="begin"/>
            </w:r>
            <w:r>
              <w:instrText xml:space="preserve"> REF _Ref402179420 \r \h </w:instrText>
            </w:r>
            <w:r>
              <w:fldChar w:fldCharType="separate"/>
            </w:r>
            <w:r w:rsidR="00881794">
              <w:t>A.13</w:t>
            </w:r>
            <w:r>
              <w:fldChar w:fldCharType="end"/>
            </w:r>
          </w:p>
        </w:tc>
      </w:tr>
      <w:tr w:rsidR="00195F35" w:rsidTr="00195F35">
        <w:tc>
          <w:tcPr>
            <w:tcW w:w="3652" w:type="dxa"/>
          </w:tcPr>
          <w:p w:rsidR="00195F35" w:rsidRPr="00E82D06" w:rsidRDefault="00195F35" w:rsidP="00C70506">
            <w:pPr>
              <w:rPr>
                <w:rStyle w:val="AERtextitalic"/>
              </w:rPr>
            </w:pPr>
            <w:r>
              <w:t>Tax statistics can only provide an upper bound for the estimate of the utilisation rate</w:t>
            </w:r>
            <w:r>
              <w:rPr>
                <w:rStyle w:val="FootnoteReference"/>
              </w:rPr>
              <w:footnoteReference w:id="178"/>
            </w:r>
          </w:p>
        </w:tc>
        <w:tc>
          <w:tcPr>
            <w:tcW w:w="4394" w:type="dxa"/>
          </w:tcPr>
          <w:p w:rsidR="00195F35" w:rsidRDefault="00195F35" w:rsidP="00C70506">
            <w:r>
              <w:t>We do not consider t</w:t>
            </w:r>
            <w:r w:rsidRPr="00C70506">
              <w:t xml:space="preserve">ax statistics provide an upper bound estimate. </w:t>
            </w:r>
            <w:r w:rsidRPr="00883125">
              <w:t>An upper bound is a value above which the true value cannot exceed.</w:t>
            </w:r>
            <w:r w:rsidRPr="00EB3380">
              <w:rPr>
                <w:rStyle w:val="FootnoteReference"/>
              </w:rPr>
              <w:footnoteReference w:id="179"/>
            </w:r>
          </w:p>
          <w:p w:rsidR="00195F35" w:rsidRDefault="00195F35" w:rsidP="00533095">
            <w:r w:rsidRPr="00C70506">
              <w:t xml:space="preserve">Rather, tax statistics provide one point estimate for the </w:t>
            </w:r>
            <w:r>
              <w:t>utilisation rate</w:t>
            </w:r>
            <w:r w:rsidRPr="00C70506">
              <w:t xml:space="preserve">. </w:t>
            </w:r>
            <w:r>
              <w:t xml:space="preserve">This estimate is, by definition, uncertain and dependant on the quality of the underlying data. As such, the </w:t>
            </w:r>
            <w:r w:rsidRPr="00EB3380">
              <w:t>true (unknown) value could be higher or lower.</w:t>
            </w:r>
            <w:r>
              <w:t xml:space="preserve"> Importantly, the quality of the underlying taxation data is </w:t>
            </w:r>
            <w:r>
              <w:lastRenderedPageBreak/>
              <w:t>poor and</w:t>
            </w:r>
            <w:r w:rsidRPr="00C70506">
              <w:t xml:space="preserve"> experts consider it to be unreliable. </w:t>
            </w:r>
            <w:r>
              <w:t>Lally considers the tax statistic used by us is not an upper bound.</w:t>
            </w:r>
            <w:r>
              <w:rPr>
                <w:rStyle w:val="FootnoteReference"/>
              </w:rPr>
              <w:footnoteReference w:id="180"/>
            </w:r>
          </w:p>
        </w:tc>
        <w:tc>
          <w:tcPr>
            <w:tcW w:w="851" w:type="dxa"/>
          </w:tcPr>
          <w:p w:rsidR="00195F35" w:rsidRDefault="00195F35" w:rsidP="00C70506">
            <w:r>
              <w:lastRenderedPageBreak/>
              <w:fldChar w:fldCharType="begin"/>
            </w:r>
            <w:r>
              <w:instrText xml:space="preserve"> REF _Ref450761230 \r \h </w:instrText>
            </w:r>
            <w:r>
              <w:fldChar w:fldCharType="separate"/>
            </w:r>
            <w:r w:rsidR="00881794">
              <w:t>4.4.1</w:t>
            </w:r>
            <w:r>
              <w:fldChar w:fldCharType="end"/>
            </w:r>
          </w:p>
          <w:p w:rsidR="00195F35" w:rsidRDefault="00195F35" w:rsidP="00C70506">
            <w:r>
              <w:fldChar w:fldCharType="begin"/>
            </w:r>
            <w:r>
              <w:instrText xml:space="preserve"> REF _Ref402179420 \r \h </w:instrText>
            </w:r>
            <w:r>
              <w:fldChar w:fldCharType="separate"/>
            </w:r>
            <w:r w:rsidR="00881794">
              <w:t>A.13</w:t>
            </w:r>
            <w:r>
              <w:fldChar w:fldCharType="end"/>
            </w:r>
          </w:p>
        </w:tc>
      </w:tr>
      <w:tr w:rsidR="00195F35" w:rsidTr="00195F35">
        <w:trPr>
          <w:cnfStyle w:val="000000010000" w:firstRow="0" w:lastRow="0" w:firstColumn="0" w:lastColumn="0" w:oddVBand="0" w:evenVBand="0" w:oddHBand="0" w:evenHBand="1" w:firstRowFirstColumn="0" w:firstRowLastColumn="0" w:lastRowFirstColumn="0" w:lastRowLastColumn="0"/>
        </w:trPr>
        <w:tc>
          <w:tcPr>
            <w:tcW w:w="3652" w:type="dxa"/>
          </w:tcPr>
          <w:p w:rsidR="00195F35" w:rsidRPr="00C70506" w:rsidRDefault="00195F35" w:rsidP="00C70506">
            <w:r w:rsidRPr="006B5C23">
              <w:rPr>
                <w:rStyle w:val="AERtextitalic"/>
              </w:rPr>
              <w:lastRenderedPageBreak/>
              <w:t>Implied market value studies</w:t>
            </w:r>
          </w:p>
        </w:tc>
        <w:tc>
          <w:tcPr>
            <w:tcW w:w="4394" w:type="dxa"/>
          </w:tcPr>
          <w:p w:rsidR="00195F35" w:rsidRDefault="00195F35" w:rsidP="00C70506"/>
        </w:tc>
        <w:tc>
          <w:tcPr>
            <w:tcW w:w="851" w:type="dxa"/>
          </w:tcPr>
          <w:p w:rsidR="00195F35" w:rsidRDefault="00195F35" w:rsidP="00C70506"/>
        </w:tc>
      </w:tr>
      <w:tr w:rsidR="00195F35" w:rsidTr="00195F35">
        <w:tc>
          <w:tcPr>
            <w:tcW w:w="3652" w:type="dxa"/>
          </w:tcPr>
          <w:p w:rsidR="00195F35" w:rsidRDefault="00195F35" w:rsidP="00C70506">
            <w:r>
              <w:t>W</w:t>
            </w:r>
            <w:r w:rsidRPr="00C70506">
              <w:t>e should rely more on estimates of the utilisation rate from implied market value studies</w:t>
            </w:r>
            <w:r>
              <w:t xml:space="preserve"> as they </w:t>
            </w:r>
            <w:r w:rsidRPr="00C80AFF">
              <w:t>are direct evidence on the value of imputation credits to investors</w:t>
            </w:r>
            <w:r>
              <w:t>.</w:t>
            </w:r>
            <w:r>
              <w:rPr>
                <w:rStyle w:val="FootnoteReference"/>
              </w:rPr>
              <w:footnoteReference w:id="181"/>
            </w:r>
            <w:r>
              <w:t xml:space="preserve"> </w:t>
            </w:r>
          </w:p>
          <w:p w:rsidR="00195F35" w:rsidRPr="00E82D06" w:rsidRDefault="00195F35" w:rsidP="007F675F">
            <w:pPr>
              <w:rPr>
                <w:rStyle w:val="AERtextitalic"/>
              </w:rPr>
            </w:pPr>
            <w:r>
              <w:t>T</w:t>
            </w:r>
            <w:r w:rsidRPr="007F675F">
              <w:t xml:space="preserve">he Tribunal considered </w:t>
            </w:r>
            <w:r>
              <w:t xml:space="preserve">implied </w:t>
            </w:r>
            <w:r w:rsidRPr="007F675F">
              <w:t xml:space="preserve">market value studies are best placed to capture the considerations investors make in determining </w:t>
            </w:r>
            <w:r>
              <w:t>the utilisation rate</w:t>
            </w:r>
            <w:r w:rsidRPr="007F675F">
              <w:t xml:space="preserve"> (or the worth of imputation credits to them).</w:t>
            </w:r>
            <w:r w:rsidRPr="00883125">
              <w:rPr>
                <w:rStyle w:val="FootnoteReference"/>
              </w:rPr>
              <w:footnoteReference w:id="182"/>
            </w:r>
          </w:p>
        </w:tc>
        <w:tc>
          <w:tcPr>
            <w:tcW w:w="4394" w:type="dxa"/>
          </w:tcPr>
          <w:p w:rsidR="00195F35" w:rsidRDefault="00195F35" w:rsidP="00C70506">
            <w:r>
              <w:t xml:space="preserve">See </w:t>
            </w:r>
            <w:r w:rsidRPr="002910A9">
              <w:t>response under 'Conceptual framework'.</w:t>
            </w:r>
          </w:p>
          <w:p w:rsidR="00195F35" w:rsidRDefault="00195F35" w:rsidP="00C70506">
            <w:r>
              <w:t>E</w:t>
            </w:r>
            <w:r w:rsidRPr="00EF3A33">
              <w:t>ven when adjusted for the impacts of differential personal taxation, we consider limited reliance should be placed on the results of these studies. This is because these studies have a range of limitations, including that they do not clearly measure the utilisation value to long term investors.</w:t>
            </w:r>
          </w:p>
          <w:p w:rsidR="00195F35" w:rsidRDefault="00195F35" w:rsidP="00C70506">
            <w:r>
              <w:t>We consider m</w:t>
            </w:r>
            <w:r w:rsidRPr="002910A9">
              <w:t xml:space="preserve">arket value studies </w:t>
            </w:r>
            <w:r>
              <w:t xml:space="preserve">do </w:t>
            </w:r>
            <w:r w:rsidRPr="002910A9">
              <w:t>n</w:t>
            </w:r>
            <w:r>
              <w:t>ot provide a post-tax estimate of the utilisation rate unless they are</w:t>
            </w:r>
            <w:r w:rsidRPr="002910A9">
              <w:t xml:space="preserve"> corrected for the impact of differential </w:t>
            </w:r>
            <w:r>
              <w:t xml:space="preserve">personal </w:t>
            </w:r>
            <w:r w:rsidRPr="002910A9">
              <w:t>taxation on capital gains and dividend income</w:t>
            </w:r>
            <w:r>
              <w:t>. Without this adjustment they are</w:t>
            </w:r>
            <w:r w:rsidRPr="00C70506">
              <w:t xml:space="preserve"> inconsistent with the Officer framework</w:t>
            </w:r>
            <w:r>
              <w:t>.</w:t>
            </w:r>
          </w:p>
          <w:p w:rsidR="00195F35" w:rsidRDefault="00195F35" w:rsidP="002910A9"/>
        </w:tc>
        <w:tc>
          <w:tcPr>
            <w:tcW w:w="851" w:type="dxa"/>
          </w:tcPr>
          <w:p w:rsidR="00195F35" w:rsidRDefault="00195F35" w:rsidP="00C70506">
            <w:r>
              <w:fldChar w:fldCharType="begin"/>
            </w:r>
            <w:r>
              <w:instrText xml:space="preserve"> REF _Ref450761230 \r \h </w:instrText>
            </w:r>
            <w:r>
              <w:fldChar w:fldCharType="separate"/>
            </w:r>
            <w:r w:rsidR="00881794">
              <w:t>4.4.1</w:t>
            </w:r>
            <w:r>
              <w:fldChar w:fldCharType="end"/>
            </w:r>
          </w:p>
          <w:p w:rsidR="00195F35" w:rsidRDefault="00195F35" w:rsidP="00C70506">
            <w:r>
              <w:t>A.15</w:t>
            </w:r>
          </w:p>
        </w:tc>
      </w:tr>
      <w:tr w:rsidR="00195F35" w:rsidTr="00195F35">
        <w:trPr>
          <w:cnfStyle w:val="000000010000" w:firstRow="0" w:lastRow="0" w:firstColumn="0" w:lastColumn="0" w:oddVBand="0" w:evenVBand="0" w:oddHBand="0" w:evenHBand="1" w:firstRowFirstColumn="0" w:firstRowLastColumn="0" w:lastRowFirstColumn="0" w:lastRowLastColumn="0"/>
        </w:trPr>
        <w:tc>
          <w:tcPr>
            <w:tcW w:w="3652" w:type="dxa"/>
          </w:tcPr>
          <w:p w:rsidR="00195F35" w:rsidRPr="00C70506" w:rsidRDefault="00195F35" w:rsidP="00C70506">
            <w:r>
              <w:t>We should rely exclusively on SFG's study</w:t>
            </w:r>
            <w:r w:rsidRPr="00C70506">
              <w:t>, which suggests a best estimate of 0.35 for the utilisation rate</w:t>
            </w:r>
            <w:r>
              <w:rPr>
                <w:rStyle w:val="FootnoteReference"/>
              </w:rPr>
              <w:footnoteReference w:id="183"/>
            </w:r>
          </w:p>
        </w:tc>
        <w:tc>
          <w:tcPr>
            <w:tcW w:w="4394" w:type="dxa"/>
          </w:tcPr>
          <w:p w:rsidR="00195F35" w:rsidRDefault="00195F35" w:rsidP="00C70506">
            <w:r>
              <w:t>See response to '</w:t>
            </w:r>
            <w:r w:rsidRPr="00D5377B">
              <w:t>We should rely more on estimates of the utilisation rate from implied market value studies</w:t>
            </w:r>
            <w:r>
              <w:t>'.</w:t>
            </w:r>
          </w:p>
          <w:p w:rsidR="00195F35" w:rsidRDefault="00195F35" w:rsidP="00EF3A33">
            <w:r>
              <w:t>W</w:t>
            </w:r>
            <w:r w:rsidRPr="00D5377B">
              <w:t>e do not consider it appropriate to rely exclusively on implied market value studies (or SFG's single dividend drop off study).</w:t>
            </w:r>
            <w:r>
              <w:t xml:space="preserve"> </w:t>
            </w:r>
            <w:r w:rsidRPr="00D5377B">
              <w:t>Even if we were to rely solely on SFG's study</w:t>
            </w:r>
            <w:r>
              <w:t>, we consider it does not support a gamma of 0.25. This is because the</w:t>
            </w:r>
            <w:r w:rsidRPr="00D5377B">
              <w:t xml:space="preserve"> estimate of the utilisation rate requires </w:t>
            </w:r>
            <w:r>
              <w:t xml:space="preserve">an adjustment for </w:t>
            </w:r>
            <w:r w:rsidRPr="00D5377B">
              <w:t>factors that suggest investors value a dollar of dividends at less than one dollar</w:t>
            </w:r>
            <w:r>
              <w:t xml:space="preserve">. </w:t>
            </w:r>
          </w:p>
        </w:tc>
        <w:tc>
          <w:tcPr>
            <w:tcW w:w="851" w:type="dxa"/>
          </w:tcPr>
          <w:p w:rsidR="00195F35" w:rsidRDefault="00195F35" w:rsidP="00C70506">
            <w:r>
              <w:t>4.4</w:t>
            </w:r>
          </w:p>
          <w:p w:rsidR="00195F35" w:rsidRDefault="00195F35" w:rsidP="00C70506">
            <w:r>
              <w:t>4.4.1</w:t>
            </w:r>
          </w:p>
        </w:tc>
      </w:tr>
      <w:tr w:rsidR="00195F35" w:rsidTr="00195F35">
        <w:tc>
          <w:tcPr>
            <w:tcW w:w="3652" w:type="dxa"/>
          </w:tcPr>
          <w:p w:rsidR="00195F35" w:rsidRDefault="00195F35" w:rsidP="00F871FB">
            <w:r>
              <w:t>T</w:t>
            </w:r>
            <w:r w:rsidRPr="00F871FB">
              <w:t xml:space="preserve">he use of implied market value studies to estimate the </w:t>
            </w:r>
            <w:r>
              <w:t>utilisation rate (and thus gamma)</w:t>
            </w:r>
            <w:r w:rsidRPr="00F871FB">
              <w:t xml:space="preserve"> is consistent with the approach to estimating other rate of return parameters</w:t>
            </w:r>
            <w:r>
              <w:t>.</w:t>
            </w:r>
            <w:r w:rsidRPr="00883125">
              <w:rPr>
                <w:rStyle w:val="FootnoteReference"/>
              </w:rPr>
              <w:footnoteReference w:id="184"/>
            </w:r>
          </w:p>
        </w:tc>
        <w:tc>
          <w:tcPr>
            <w:tcW w:w="4394" w:type="dxa"/>
          </w:tcPr>
          <w:p w:rsidR="00195F35" w:rsidRDefault="00195F35" w:rsidP="00C70506">
            <w:r>
              <w:t xml:space="preserve">We disagree. See </w:t>
            </w:r>
            <w:r w:rsidRPr="00F871FB">
              <w:t>response under 'Conceptual framework'.</w:t>
            </w:r>
          </w:p>
        </w:tc>
        <w:tc>
          <w:tcPr>
            <w:tcW w:w="851" w:type="dxa"/>
          </w:tcPr>
          <w:p w:rsidR="00195F35" w:rsidRDefault="00195F35" w:rsidP="00C70506">
            <w:r>
              <w:fldChar w:fldCharType="begin"/>
            </w:r>
            <w:r>
              <w:instrText xml:space="preserve"> REF _Ref450298425 \r \h </w:instrText>
            </w:r>
            <w:r>
              <w:fldChar w:fldCharType="separate"/>
            </w:r>
            <w:r w:rsidR="00881794">
              <w:t>A.8.2</w:t>
            </w:r>
            <w:r>
              <w:fldChar w:fldCharType="end"/>
            </w:r>
          </w:p>
          <w:p w:rsidR="00195F35" w:rsidRDefault="00195F35" w:rsidP="00C70506">
            <w:r>
              <w:t>A.15</w:t>
            </w:r>
          </w:p>
        </w:tc>
      </w:tr>
      <w:tr w:rsidR="00195F35" w:rsidTr="00195F35">
        <w:trPr>
          <w:cnfStyle w:val="000000010000" w:firstRow="0" w:lastRow="0" w:firstColumn="0" w:lastColumn="0" w:oddVBand="0" w:evenVBand="0" w:oddHBand="0" w:evenHBand="1" w:firstRowFirstColumn="0" w:firstRowLastColumn="0" w:lastRowFirstColumn="0" w:lastRowLastColumn="0"/>
        </w:trPr>
        <w:tc>
          <w:tcPr>
            <w:tcW w:w="3652" w:type="dxa"/>
          </w:tcPr>
          <w:p w:rsidR="00195F35" w:rsidRDefault="00195F35" w:rsidP="009163D4">
            <w:r>
              <w:lastRenderedPageBreak/>
              <w:t xml:space="preserve">Under our conceptual approach to gamma, the appropriate adjustment to </w:t>
            </w:r>
            <w:r w:rsidRPr="00F871FB">
              <w:t xml:space="preserve">the results of SFG's study </w:t>
            </w:r>
            <w:r>
              <w:t>results in a gamma of 0.3. However, t</w:t>
            </w:r>
            <w:r w:rsidRPr="00F871FB">
              <w:t xml:space="preserve">his adjustment </w:t>
            </w:r>
            <w:r>
              <w:t xml:space="preserve">is not necessary </w:t>
            </w:r>
            <w:r w:rsidRPr="00F871FB">
              <w:t xml:space="preserve">because </w:t>
            </w:r>
            <w:r>
              <w:t xml:space="preserve">our </w:t>
            </w:r>
            <w:r w:rsidRPr="00F871FB">
              <w:t xml:space="preserve">conceptual </w:t>
            </w:r>
            <w:r>
              <w:t>approach is incorrect.</w:t>
            </w:r>
            <w:r>
              <w:rPr>
                <w:rStyle w:val="FootnoteReference"/>
              </w:rPr>
              <w:footnoteReference w:id="185"/>
            </w:r>
          </w:p>
        </w:tc>
        <w:tc>
          <w:tcPr>
            <w:tcW w:w="4394" w:type="dxa"/>
          </w:tcPr>
          <w:p w:rsidR="00195F35" w:rsidRDefault="00195F35" w:rsidP="00C70506">
            <w:r>
              <w:t xml:space="preserve">See </w:t>
            </w:r>
            <w:r w:rsidRPr="00651D7E">
              <w:t>response under 'Conceptual framework'.</w:t>
            </w:r>
          </w:p>
          <w:p w:rsidR="00195F35" w:rsidRDefault="00195F35" w:rsidP="00651D7E">
            <w:r>
              <w:t>We disagree and consider the Handley/Lally adjustment is necessary.</w:t>
            </w:r>
          </w:p>
        </w:tc>
        <w:tc>
          <w:tcPr>
            <w:tcW w:w="851" w:type="dxa"/>
          </w:tcPr>
          <w:p w:rsidR="00195F35" w:rsidRDefault="00195F35" w:rsidP="00C70506">
            <w:r>
              <w:fldChar w:fldCharType="begin"/>
            </w:r>
            <w:r>
              <w:instrText xml:space="preserve"> REF _Ref450761230 \r \h </w:instrText>
            </w:r>
            <w:r>
              <w:fldChar w:fldCharType="separate"/>
            </w:r>
            <w:r w:rsidR="00881794">
              <w:t>4.4.1</w:t>
            </w:r>
            <w:r>
              <w:fldChar w:fldCharType="end"/>
            </w:r>
          </w:p>
          <w:p w:rsidR="00195F35" w:rsidRDefault="00195F35" w:rsidP="00C70506">
            <w:r>
              <w:t>A.15</w:t>
            </w:r>
          </w:p>
        </w:tc>
      </w:tr>
      <w:tr w:rsidR="00195F35" w:rsidTr="00195F35">
        <w:tc>
          <w:tcPr>
            <w:tcW w:w="3652" w:type="dxa"/>
          </w:tcPr>
          <w:p w:rsidR="00195F35" w:rsidRDefault="00195F35" w:rsidP="00195F35">
            <w:r>
              <w:t>S</w:t>
            </w:r>
            <w:r w:rsidRPr="00F871FB">
              <w:t>everal of the limitations that we have identified as applying to implied market value studies do not apply to SFG's study</w:t>
            </w:r>
            <w:r>
              <w:t>, which</w:t>
            </w:r>
            <w:r w:rsidRPr="00F871FB">
              <w:t xml:space="preserve"> has not been assessed individually on its merits</w:t>
            </w:r>
            <w:r w:rsidRPr="00883125">
              <w:rPr>
                <w:rStyle w:val="FootnoteReference"/>
              </w:rPr>
              <w:footnoteReference w:id="186"/>
            </w:r>
          </w:p>
        </w:tc>
        <w:tc>
          <w:tcPr>
            <w:tcW w:w="4394" w:type="dxa"/>
          </w:tcPr>
          <w:p w:rsidR="00195F35" w:rsidRDefault="00195F35" w:rsidP="001A60DE">
            <w:r>
              <w:t>We consider the key limitations that apply to implied market value studies also apply to SFG's study.</w:t>
            </w:r>
          </w:p>
        </w:tc>
        <w:tc>
          <w:tcPr>
            <w:tcW w:w="851" w:type="dxa"/>
          </w:tcPr>
          <w:p w:rsidR="00195F35" w:rsidRDefault="00195F35" w:rsidP="00C70506">
            <w:r>
              <w:t>A.15</w:t>
            </w:r>
          </w:p>
        </w:tc>
      </w:tr>
      <w:tr w:rsidR="00195F35" w:rsidTr="00195F35">
        <w:trPr>
          <w:cnfStyle w:val="000000010000" w:firstRow="0" w:lastRow="0" w:firstColumn="0" w:lastColumn="0" w:oddVBand="0" w:evenVBand="0" w:oddHBand="0" w:evenHBand="1" w:firstRowFirstColumn="0" w:firstRowLastColumn="0" w:lastRowFirstColumn="0" w:lastRowLastColumn="0"/>
        </w:trPr>
        <w:tc>
          <w:tcPr>
            <w:tcW w:w="3652" w:type="dxa"/>
          </w:tcPr>
          <w:p w:rsidR="00195F35" w:rsidRDefault="00195F35" w:rsidP="00C80AFF">
            <w:r>
              <w:t xml:space="preserve">Instead of adjusting the estimate of the utilisation rate (theta) to correct for </w:t>
            </w:r>
            <w:r w:rsidRPr="00C80AFF">
              <w:t>the apparent incorrect valuation of cash dividends</w:t>
            </w:r>
            <w:r>
              <w:t xml:space="preserve">, </w:t>
            </w:r>
            <w:r w:rsidRPr="00C80AFF">
              <w:t xml:space="preserve">the appropriate response </w:t>
            </w:r>
            <w:r>
              <w:t>is</w:t>
            </w:r>
            <w:r w:rsidRPr="00C80AFF">
              <w:t xml:space="preserve"> n</w:t>
            </w:r>
            <w:r>
              <w:t>ot to adjust the theta estimate.</w:t>
            </w:r>
            <w:r w:rsidRPr="00C80AFF">
              <w:t xml:space="preserve"> </w:t>
            </w:r>
            <w:r>
              <w:t>R</w:t>
            </w:r>
            <w:r w:rsidRPr="00C80AFF">
              <w:t xml:space="preserve">ather it </w:t>
            </w:r>
            <w:r>
              <w:t>is</w:t>
            </w:r>
            <w:r w:rsidRPr="00C80AFF">
              <w:t xml:space="preserve"> to adjust the allowed return on equity.</w:t>
            </w:r>
            <w:r>
              <w:rPr>
                <w:rStyle w:val="FootnoteReference"/>
              </w:rPr>
              <w:footnoteReference w:id="187"/>
            </w:r>
          </w:p>
        </w:tc>
        <w:tc>
          <w:tcPr>
            <w:tcW w:w="4394" w:type="dxa"/>
          </w:tcPr>
          <w:p w:rsidR="00195F35" w:rsidRDefault="00195F35" w:rsidP="00C80AFF">
            <w:r w:rsidRPr="00C80AFF">
              <w:t>We consider that such an adjustment to the allowed return on equity would not be appropriate. The post-co</w:t>
            </w:r>
            <w:r>
              <w:t xml:space="preserve">mpany tax and pre-personal tax </w:t>
            </w:r>
            <w:r w:rsidRPr="00C80AFF">
              <w:t>required return on the equities market is reflective of the face value of dividends paid in the market, not a higher amount. We also note the equities market sets equilibrium pr</w:t>
            </w:r>
            <w:r>
              <w:t>ices based on the expected post-</w:t>
            </w:r>
            <w:r w:rsidRPr="00C80AFF">
              <w:t>ta</w:t>
            </w:r>
            <w:r>
              <w:t>x returns to shareholders (post-</w:t>
            </w:r>
            <w:r w:rsidRPr="00C80AFF">
              <w:t xml:space="preserve">tax dividends, post-tax capital gains and post-tax imputation credits). </w:t>
            </w:r>
          </w:p>
        </w:tc>
        <w:tc>
          <w:tcPr>
            <w:tcW w:w="851" w:type="dxa"/>
          </w:tcPr>
          <w:p w:rsidR="00195F35" w:rsidRDefault="00195F35" w:rsidP="00C70506"/>
        </w:tc>
      </w:tr>
      <w:tr w:rsidR="00195F35" w:rsidTr="00195F35">
        <w:tc>
          <w:tcPr>
            <w:tcW w:w="3652" w:type="dxa"/>
          </w:tcPr>
          <w:p w:rsidR="00195F35" w:rsidRPr="00C70506" w:rsidRDefault="00195F35" w:rsidP="00C70506">
            <w:r w:rsidRPr="006B5C23">
              <w:rPr>
                <w:rStyle w:val="Strong"/>
              </w:rPr>
              <w:t>Other</w:t>
            </w:r>
          </w:p>
        </w:tc>
        <w:tc>
          <w:tcPr>
            <w:tcW w:w="4394" w:type="dxa"/>
          </w:tcPr>
          <w:p w:rsidR="00195F35" w:rsidRDefault="00195F35" w:rsidP="00C70506"/>
        </w:tc>
        <w:tc>
          <w:tcPr>
            <w:tcW w:w="851" w:type="dxa"/>
          </w:tcPr>
          <w:p w:rsidR="00195F35" w:rsidRDefault="00195F35" w:rsidP="00C70506"/>
        </w:tc>
      </w:tr>
      <w:tr w:rsidR="00195F35" w:rsidTr="00195F35">
        <w:trPr>
          <w:cnfStyle w:val="000000010000" w:firstRow="0" w:lastRow="0" w:firstColumn="0" w:lastColumn="0" w:oddVBand="0" w:evenVBand="0" w:oddHBand="0" w:evenHBand="1" w:firstRowFirstColumn="0" w:firstRowLastColumn="0" w:lastRowFirstColumn="0" w:lastRowLastColumn="0"/>
        </w:trPr>
        <w:tc>
          <w:tcPr>
            <w:tcW w:w="3652" w:type="dxa"/>
          </w:tcPr>
          <w:p w:rsidR="00195F35" w:rsidRPr="001F7F08" w:rsidRDefault="00195F35" w:rsidP="001F7F08">
            <w:r w:rsidRPr="00E82D06">
              <w:t>There is an inconsistency between the corporate income tax and the allowed rate of return.</w:t>
            </w:r>
            <w:r w:rsidRPr="00883125">
              <w:rPr>
                <w:rStyle w:val="FootnoteReference"/>
              </w:rPr>
              <w:footnoteReference w:id="188"/>
            </w:r>
          </w:p>
        </w:tc>
        <w:tc>
          <w:tcPr>
            <w:tcW w:w="4394" w:type="dxa"/>
          </w:tcPr>
          <w:p w:rsidR="00195F35" w:rsidRDefault="00195F35" w:rsidP="001F7F08">
            <w:r>
              <w:t>We disagree. We discuss this</w:t>
            </w:r>
            <w:r w:rsidRPr="001F7F08">
              <w:t xml:space="preserve"> </w:t>
            </w:r>
            <w:r>
              <w:t xml:space="preserve">in detail </w:t>
            </w:r>
            <w:r w:rsidRPr="001F7F08">
              <w:t>in section C.6 of Attachment 3</w:t>
            </w:r>
            <w:r>
              <w:t>.</w:t>
            </w:r>
          </w:p>
        </w:tc>
        <w:tc>
          <w:tcPr>
            <w:tcW w:w="851" w:type="dxa"/>
          </w:tcPr>
          <w:p w:rsidR="00195F35" w:rsidRDefault="00195F35" w:rsidP="00856171"/>
        </w:tc>
      </w:tr>
    </w:tbl>
    <w:p w:rsidR="00F65D6A" w:rsidRDefault="00856171" w:rsidP="00E82D06">
      <w:pPr>
        <w:pStyle w:val="AERtablesource"/>
      </w:pPr>
      <w:r>
        <w:t>Source:</w:t>
      </w:r>
      <w:r w:rsidR="00F65D6A">
        <w:tab/>
        <w:t>AER analysis; service providers' revised proposals; Tribunal decisions.</w:t>
      </w:r>
    </w:p>
    <w:p w:rsidR="00856171" w:rsidRPr="00883125" w:rsidRDefault="00856171" w:rsidP="00856171">
      <w:r>
        <w:t>We have also received a number of submissions on gamma from consumer representatives. These are</w:t>
      </w:r>
      <w:r w:rsidRPr="00031E20">
        <w:t xml:space="preserve"> </w:t>
      </w:r>
      <w:r w:rsidRPr="00883125">
        <w:t>summarised below:</w:t>
      </w:r>
    </w:p>
    <w:p w:rsidR="00856171" w:rsidRPr="00883125" w:rsidRDefault="00856171" w:rsidP="00856171">
      <w:pPr>
        <w:pStyle w:val="AERbulletlistfirststyle"/>
      </w:pPr>
      <w:r w:rsidRPr="00883125">
        <w:t>The CCP expressed a view that suggests we should take into account the interrelationship with the corporate tax allowance when determining the value of imputation credits.</w:t>
      </w:r>
      <w:r w:rsidRPr="00883125">
        <w:rPr>
          <w:rStyle w:val="FootnoteReference"/>
        </w:rPr>
        <w:footnoteReference w:id="189"/>
      </w:r>
      <w:r w:rsidRPr="00883125">
        <w:t xml:space="preserve"> We address this in section </w:t>
      </w:r>
      <w:r w:rsidRPr="00883125">
        <w:fldChar w:fldCharType="begin"/>
      </w:r>
      <w:r w:rsidRPr="00883125">
        <w:instrText xml:space="preserve"> REF _Ref415070818 \r \h </w:instrText>
      </w:r>
      <w:r w:rsidRPr="00883125">
        <w:fldChar w:fldCharType="separate"/>
      </w:r>
      <w:r w:rsidR="00881794">
        <w:t>4.3.4</w:t>
      </w:r>
      <w:r w:rsidRPr="00883125">
        <w:fldChar w:fldCharType="end"/>
      </w:r>
      <w:r w:rsidRPr="00883125">
        <w:t>.</w:t>
      </w:r>
    </w:p>
    <w:p w:rsidR="00856171" w:rsidRPr="00883125" w:rsidRDefault="00856171" w:rsidP="00856171">
      <w:pPr>
        <w:pStyle w:val="AERbulletlistfirststyle"/>
      </w:pPr>
      <w:r w:rsidRPr="00883125">
        <w:lastRenderedPageBreak/>
        <w:t>The Public Interest Advocacy Centre (PIAC) submitted that the Australian Competition Tribunal's decision in 2011 to rely on an estimate of the utilisation rate from the 2011 version of SFG's dividend drop off study should not be viewed as permanently determinative.</w:t>
      </w:r>
      <w:r w:rsidRPr="00883125">
        <w:rPr>
          <w:rStyle w:val="FootnoteReference"/>
        </w:rPr>
        <w:footnoteReference w:id="190"/>
      </w:r>
      <w:r w:rsidRPr="00883125">
        <w:t xml:space="preserve"> We agree with these comments in light of the Tribunal's finding that:</w:t>
      </w:r>
      <w:r w:rsidRPr="00883125">
        <w:rPr>
          <w:rStyle w:val="FootnoteReference"/>
        </w:rPr>
        <w:footnoteReference w:id="191"/>
      </w:r>
    </w:p>
    <w:p w:rsidR="00856171" w:rsidRPr="00883125" w:rsidRDefault="00856171" w:rsidP="00856171">
      <w:pPr>
        <w:pStyle w:val="AERquote"/>
      </w:pPr>
      <w:r w:rsidRPr="00883125">
        <w:t>Further, the Tribunal notes that estimation of a parameter such as gamma [the value of imputation credits] is necessarily, and desirably, an ongoing intellectual and empirical endeavour. Its decision in these proceedings is based on the material before it.</w:t>
      </w:r>
    </w:p>
    <w:p w:rsidR="00856171" w:rsidRPr="00883125" w:rsidRDefault="00856171" w:rsidP="00856171">
      <w:pPr>
        <w:pStyle w:val="AERbulletlistfirststyle"/>
      </w:pPr>
      <w:r w:rsidRPr="00883125">
        <w:t>PIAC also submitted that our draft decisions adequately set out the reasons for departing from the value of imputation credits in the Guideline.</w:t>
      </w:r>
      <w:r w:rsidRPr="00883125">
        <w:rPr>
          <w:rStyle w:val="FootnoteReference"/>
        </w:rPr>
        <w:footnoteReference w:id="192"/>
      </w:r>
    </w:p>
    <w:p w:rsidR="00856171" w:rsidRPr="00883125" w:rsidRDefault="00856171" w:rsidP="00856171">
      <w:pPr>
        <w:pStyle w:val="AERbulletlistfirststyle"/>
      </w:pPr>
      <w:r w:rsidRPr="00883125">
        <w:t>The Energy Markets Reform Forum (EMRF) submitted that our estimates of the utilisation and distribution rates are lower (and, therefore more favourable to service providers) than those relevant to a pure play energy network (which is the benchmark efficient entity for setting the rate of return).</w:t>
      </w:r>
      <w:r w:rsidRPr="00883125">
        <w:rPr>
          <w:rStyle w:val="FootnoteReference"/>
        </w:rPr>
        <w:footnoteReference w:id="193"/>
      </w:r>
      <w:r w:rsidRPr="00883125">
        <w:t xml:space="preserve"> The EMRF also submitted that we should consider actual industry practices when determining the value of imputation credits—for example, the EMRF submitted that none of APA Group, Envestra Limited (pre-sale) or JGN's parent company had balances in their franking accounts.</w:t>
      </w:r>
      <w:r w:rsidRPr="00883125">
        <w:rPr>
          <w:rStyle w:val="FootnoteReference"/>
        </w:rPr>
        <w:footnoteReference w:id="194"/>
      </w:r>
      <w:r w:rsidRPr="00883125">
        <w:t xml:space="preserve"> To clarify, we have interpreted and estimated the value of imputation credits consistently with Officer's 1994 paper and related literature, such as Monkhouse. Under this literature, the utilisation rate is a market-wide parameter and the distribution rate is a firm specific parameter. We estimate the utilisation rate on a market-wide basis. Although the distribution rate is a firm specific parameter, we estimate it on a market-wide basis also and our reasons for doing so are set out in the Guideline.</w:t>
      </w:r>
      <w:r w:rsidRPr="00883125">
        <w:rPr>
          <w:rStyle w:val="FootnoteReference"/>
        </w:rPr>
        <w:footnoteReference w:id="195"/>
      </w:r>
    </w:p>
    <w:p w:rsidR="00856171" w:rsidRPr="00883125" w:rsidRDefault="00856171" w:rsidP="00856171">
      <w:pPr>
        <w:pStyle w:val="AERbulletlistfirststyle"/>
      </w:pPr>
      <w:r w:rsidRPr="00883125">
        <w:t>The South Australian Council of Social Service (SACOSS) submitted, based on advice received from the South Australian Centre for Economic Studies, that evidence was emerging for a value of imputation credits lower than the 0.5 in the Guideline.</w:t>
      </w:r>
      <w:r w:rsidRPr="00883125">
        <w:rPr>
          <w:rStyle w:val="FootnoteReference"/>
        </w:rPr>
        <w:footnoteReference w:id="196"/>
      </w:r>
      <w:r w:rsidRPr="00883125">
        <w:t xml:space="preserve"> SACOSS supported a value of imputation credits of at least 0.4. In a subsequent submission on the AER's preliminary decision for SA Power Networks SACOSS supported the AER's decision to use the lower estimate of gamma than in the rate of return guideline, although noting its preferred estimate was for a gamma of 0.36. </w:t>
      </w:r>
      <w:r w:rsidRPr="00883125">
        <w:lastRenderedPageBreak/>
        <w:t>However, given the AER is reporting gamma to one decimal place SACOSS acknowledged that its preferred estimate of 0.36 concurs with the AER's estimate of 0.4 to one decimal place.</w:t>
      </w:r>
      <w:r w:rsidRPr="00883125">
        <w:rPr>
          <w:rStyle w:val="FootnoteReference"/>
        </w:rPr>
        <w:footnoteReference w:id="197"/>
      </w:r>
    </w:p>
    <w:p w:rsidR="00856171" w:rsidRPr="00883125" w:rsidRDefault="00856171" w:rsidP="00856171">
      <w:pPr>
        <w:pStyle w:val="AERbulletlistfirststyle"/>
      </w:pPr>
      <w:r w:rsidRPr="00883125">
        <w:t>The Energy Consumers Coalition of South Australia (ECCSA) considered that the service providers (who had submitted regulatory proposals to us in 2014) submitted no new evidence to change our conclusions in the Guideline regarding the value of imputation credits.</w:t>
      </w:r>
      <w:r w:rsidRPr="00883125">
        <w:rPr>
          <w:rStyle w:val="FootnoteReference"/>
        </w:rPr>
        <w:footnoteReference w:id="198"/>
      </w:r>
      <w:r w:rsidRPr="00883125">
        <w:t xml:space="preserve"> We set out in this decision how and why we have departed from the Guideline. In a subsequent submission on the AER's preliminary decision the ECCSA submitted that 'the AER has moved to a conservative position on the issue of gamma to the detriment of consumers' and it appeared 'the AER has based its assessment on lower utilisation and distribution rates than would otherwise be the case for a pure play energy network which is the benchmark entity for setting the WACC.'</w:t>
      </w:r>
      <w:r w:rsidRPr="00883125">
        <w:rPr>
          <w:rStyle w:val="FootnoteReference"/>
        </w:rPr>
        <w:footnoteReference w:id="199"/>
      </w:r>
    </w:p>
    <w:p w:rsidR="00856171" w:rsidRPr="00883125" w:rsidRDefault="00856171" w:rsidP="00856171">
      <w:pPr>
        <w:pStyle w:val="AERbulletlistfirststyle"/>
      </w:pPr>
      <w:r w:rsidRPr="00883125">
        <w:t xml:space="preserve">In a submission on </w:t>
      </w:r>
      <w:r>
        <w:t>our</w:t>
      </w:r>
      <w:r w:rsidRPr="00883125">
        <w:t xml:space="preserve"> draft decision</w:t>
      </w:r>
      <w:r>
        <w:t xml:space="preserve"> for Australian Gas Networks</w:t>
      </w:r>
      <w:r w:rsidRPr="00883125">
        <w:t xml:space="preserve">, </w:t>
      </w:r>
      <w:r w:rsidR="001A5157">
        <w:t xml:space="preserve">the </w:t>
      </w:r>
      <w:r w:rsidRPr="00883125">
        <w:t>ECCSA consider that imposing an assumption that the benchmark entity would frank its dividend to the market average is a conservative assumption.</w:t>
      </w:r>
      <w:r w:rsidRPr="00883125">
        <w:rPr>
          <w:rStyle w:val="FootnoteReference"/>
        </w:rPr>
        <w:footnoteReference w:id="200"/>
      </w:r>
      <w:r w:rsidRPr="00883125">
        <w:t xml:space="preserve"> The AER considers that the benchmark selected to estimate gamma is appropriate. In section </w:t>
      </w:r>
      <w:r w:rsidRPr="00883125">
        <w:fldChar w:fldCharType="begin"/>
      </w:r>
      <w:r w:rsidRPr="00883125">
        <w:instrText xml:space="preserve"> REF _Ref403481194 \r \h </w:instrText>
      </w:r>
      <w:r w:rsidRPr="00883125">
        <w:fldChar w:fldCharType="separate"/>
      </w:r>
      <w:r w:rsidR="00881794">
        <w:t>A.9.2</w:t>
      </w:r>
      <w:r w:rsidRPr="00883125">
        <w:fldChar w:fldCharType="end"/>
      </w:r>
      <w:r w:rsidRPr="00883125">
        <w:t xml:space="preserve"> and section </w:t>
      </w:r>
      <w:r w:rsidRPr="00883125">
        <w:fldChar w:fldCharType="begin"/>
      </w:r>
      <w:r w:rsidRPr="00883125">
        <w:instrText xml:space="preserve"> REF _Ref414289334 \r \h </w:instrText>
      </w:r>
      <w:r w:rsidRPr="00883125">
        <w:fldChar w:fldCharType="separate"/>
      </w:r>
      <w:r w:rsidR="00881794">
        <w:t>A.10.1</w:t>
      </w:r>
      <w:r w:rsidRPr="00883125">
        <w:fldChar w:fldCharType="end"/>
      </w:r>
      <w:r w:rsidRPr="00883125">
        <w:t xml:space="preserve">, the AER considers that benchmark should be assessed holistically. Further, </w:t>
      </w:r>
      <w:r w:rsidR="001A5157">
        <w:t xml:space="preserve">the </w:t>
      </w:r>
      <w:r w:rsidRPr="00883125">
        <w:t>ECCSA stated that it is inappropriate to reward offshore investors in energy networks by providing extra revenue when they have made a conscious decision to invest even though they gain no benefit from imputation.</w:t>
      </w:r>
      <w:r w:rsidRPr="00883125">
        <w:rPr>
          <w:rStyle w:val="FootnoteReference"/>
        </w:rPr>
        <w:footnoteReference w:id="201"/>
      </w:r>
      <w:r w:rsidRPr="00883125">
        <w:t xml:space="preserve"> In response, the AER considers that gamma and the return on equity are estimated on a consistent basis.</w:t>
      </w:r>
    </w:p>
    <w:p w:rsidR="00856171" w:rsidRPr="00883125" w:rsidRDefault="00856171" w:rsidP="00856171">
      <w:pPr>
        <w:pStyle w:val="AERbulletlistfirststyle"/>
      </w:pPr>
      <w:r w:rsidRPr="00883125">
        <w:t>The Queensland Council of Social Service (QCOSS) submitted a 'more even-handed and consistent approach' would be a value of imputation credits of 0.5 as per the Guideline.</w:t>
      </w:r>
      <w:r w:rsidRPr="00883125">
        <w:rPr>
          <w:rStyle w:val="FootnoteReference"/>
        </w:rPr>
        <w:footnoteReference w:id="202"/>
      </w:r>
      <w:r w:rsidRPr="00883125">
        <w:t xml:space="preserve"> QCOSS had regard to a recent decision by the Queensland Competition Authority for a value of 0.47.</w:t>
      </w:r>
      <w:r w:rsidR="00345C01">
        <w:t xml:space="preserve"> </w:t>
      </w:r>
      <w:r w:rsidRPr="00883125">
        <w:t>We set out in this decision why we consider 0.4 to be the best estimate from within the range 0.3 to 0.5.</w:t>
      </w:r>
    </w:p>
    <w:p w:rsidR="00856171" w:rsidRPr="00883125" w:rsidRDefault="00856171" w:rsidP="00856171">
      <w:pPr>
        <w:pStyle w:val="AERbulletlistfirststyle"/>
      </w:pPr>
      <w:r w:rsidRPr="00883125">
        <w:t>The Alliance of Electricity Consumers (the Alliance) employed a value of imputation credits of 0.25 in its estimation of an efficient rate of return.</w:t>
      </w:r>
      <w:r w:rsidRPr="00883125">
        <w:rPr>
          <w:rStyle w:val="FootnoteReference"/>
        </w:rPr>
        <w:footnoteReference w:id="203"/>
      </w:r>
      <w:r w:rsidRPr="00883125">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883125" w:rsidRPr="00883125" w:rsidRDefault="00856171" w:rsidP="00E82D06">
      <w:pPr>
        <w:pStyle w:val="AERbulletlistfirststyle"/>
      </w:pPr>
      <w:r w:rsidRPr="00883125">
        <w:lastRenderedPageBreak/>
        <w:t>UnitingCare Australia supported our value for gamma, if a value for gamma is necessary.</w:t>
      </w:r>
      <w:r w:rsidRPr="00883125">
        <w:rPr>
          <w:rStyle w:val="FootnoteReference"/>
        </w:rPr>
        <w:footnoteReference w:id="204"/>
      </w:r>
      <w:bookmarkStart w:id="79" w:name="_Toc450119234"/>
      <w:bookmarkStart w:id="80" w:name="_Toc450119396"/>
      <w:bookmarkStart w:id="81" w:name="_Toc450119236"/>
      <w:bookmarkStart w:id="82" w:name="_Toc450119398"/>
      <w:bookmarkStart w:id="83" w:name="_Toc450119239"/>
      <w:bookmarkStart w:id="84" w:name="_Toc450119401"/>
      <w:bookmarkEnd w:id="79"/>
      <w:bookmarkEnd w:id="80"/>
      <w:bookmarkEnd w:id="81"/>
      <w:bookmarkEnd w:id="82"/>
      <w:bookmarkEnd w:id="83"/>
      <w:bookmarkEnd w:id="84"/>
    </w:p>
    <w:p w:rsidR="00883125" w:rsidRPr="00883125" w:rsidRDefault="00883125" w:rsidP="00883125"/>
    <w:p w:rsidR="00883125" w:rsidRPr="00883125" w:rsidRDefault="00883125" w:rsidP="00883125">
      <w:pPr>
        <w:pStyle w:val="Heading7"/>
      </w:pPr>
      <w:bookmarkStart w:id="85" w:name="_Toc436049441"/>
      <w:bookmarkStart w:id="86" w:name="_Toc451928274"/>
      <w:r w:rsidRPr="00883125">
        <w:lastRenderedPageBreak/>
        <w:t>Value of imputation credits: Detailed analysis</w:t>
      </w:r>
      <w:bookmarkEnd w:id="85"/>
      <w:bookmarkEnd w:id="86"/>
    </w:p>
    <w:p w:rsidR="00B27BE5" w:rsidRPr="00883125" w:rsidRDefault="00B27BE5" w:rsidP="00B27BE5">
      <w:r w:rsidRPr="00883125">
        <w:t>In attachment 4, we set out our decision on the value of imputation credits</w:t>
      </w:r>
      <w:r>
        <w:t xml:space="preserve"> (gamma)</w:t>
      </w:r>
      <w:r w:rsidRPr="00883125">
        <w:t>—which is to adopt a value of 0.4—and our key reasons for that view. We also indicated the position submitted to us by the service providers and briefly set out our consideration of that position. In this appendix, we set out further supporting material for our decision on the value of imputation credits. We also respond in more detail to the position submitted to us by the service providers.</w:t>
      </w:r>
    </w:p>
    <w:p w:rsidR="00B27BE5" w:rsidRDefault="00B27BE5" w:rsidP="00B27BE5">
      <w:r w:rsidRPr="00883125">
        <w:t>All of the service providers proposed a value of imputation credits of 0.25. The reasons submitted by the service providers in their initial and revised proposals were largely the same. The only new material that was submitted as part of the revised proposal was a consultant report by Frontier Economics.</w:t>
      </w:r>
      <w:r w:rsidRPr="00883125">
        <w:rPr>
          <w:rStyle w:val="FootnoteReference"/>
        </w:rPr>
        <w:footnoteReference w:id="205"/>
      </w:r>
      <w:r w:rsidRPr="00883125">
        <w:t xml:space="preserve"> The substance of this report is largely unchanged from earlier expert material submitted by the service providers and considered in our draft decisions. </w:t>
      </w:r>
      <w:r w:rsidR="00FC0D36">
        <w:t>However, the Frontier Economics report has update</w:t>
      </w:r>
      <w:r w:rsidR="00177CB7">
        <w:t>d</w:t>
      </w:r>
      <w:r w:rsidR="00FC0D36">
        <w:t xml:space="preserve"> values for the distribution rate and the tax statistics which are considered in this final decision.</w:t>
      </w:r>
    </w:p>
    <w:p w:rsidR="00B27BE5" w:rsidRPr="00883125" w:rsidRDefault="00B27BE5" w:rsidP="00B27BE5">
      <w:r>
        <w:t xml:space="preserve">In addition, as set out in section 4.1, the Australian Competition Tribunal </w:t>
      </w:r>
      <w:r w:rsidR="00CF2EB3">
        <w:t xml:space="preserve">(Tribunal) </w:t>
      </w:r>
      <w:r>
        <w:t>released its decisions for a number of service providers on 26 February 2016. Following this</w:t>
      </w:r>
      <w:r w:rsidRPr="00883125">
        <w:t xml:space="preserve">, </w:t>
      </w:r>
      <w:r>
        <w:t>four</w:t>
      </w:r>
      <w:r w:rsidRPr="00883125">
        <w:t xml:space="preserve"> service providers </w:t>
      </w:r>
      <w:r>
        <w:t>filed late submissions</w:t>
      </w:r>
      <w:r w:rsidRPr="00883125">
        <w:t xml:space="preserve"> in support of </w:t>
      </w:r>
      <w:r>
        <w:t xml:space="preserve">a </w:t>
      </w:r>
      <w:r w:rsidRPr="00883125">
        <w:t xml:space="preserve">value of </w:t>
      </w:r>
      <w:r>
        <w:t xml:space="preserve">imputation credits of </w:t>
      </w:r>
      <w:r w:rsidRPr="00883125">
        <w:t>0.25</w:t>
      </w:r>
      <w:r>
        <w:t>, referencing</w:t>
      </w:r>
      <w:r w:rsidRPr="00883125">
        <w:t xml:space="preserve"> the </w:t>
      </w:r>
      <w:r>
        <w:t xml:space="preserve">recent </w:t>
      </w:r>
      <w:r w:rsidRPr="00883125">
        <w:t>Tribunal decision</w:t>
      </w:r>
      <w:r>
        <w:t>s</w:t>
      </w:r>
      <w:r w:rsidRPr="00883125">
        <w:t xml:space="preserve"> in support of their position.</w:t>
      </w:r>
      <w:r w:rsidR="00EF3A33">
        <w:rPr>
          <w:rStyle w:val="FootnoteReference"/>
        </w:rPr>
        <w:footnoteReference w:id="206"/>
      </w:r>
      <w:r w:rsidRPr="00883125">
        <w:t xml:space="preserve"> Consistent with our draft decision, in this final decision we have adopted a value of 0.4 for gamma. We remain of the view 0.4 is appropriate having given careful consideration to all the material before us. </w:t>
      </w:r>
      <w:r>
        <w:t>This includes the late submissions by a number of service providers</w:t>
      </w:r>
      <w:r w:rsidR="001A60DE">
        <w:t>, and a report we commissioned from Dr Martin Lally (Lally) following the late submissions</w:t>
      </w:r>
      <w:r>
        <w:t xml:space="preserve">. However, given the timing of the late submissions, we </w:t>
      </w:r>
      <w:r w:rsidR="001A60DE">
        <w:t xml:space="preserve">have </w:t>
      </w:r>
      <w:r w:rsidR="00CF2EB3">
        <w:t>had limited time to</w:t>
      </w:r>
      <w:r>
        <w:t xml:space="preserve"> review the material.</w:t>
      </w:r>
      <w:r w:rsidRPr="00BE07EB">
        <w:t xml:space="preserve"> </w:t>
      </w:r>
    </w:p>
    <w:p w:rsidR="00B27BE5" w:rsidRDefault="00B27BE5" w:rsidP="00B27BE5">
      <w:r>
        <w:t xml:space="preserve">This appendix </w:t>
      </w:r>
      <w:r w:rsidR="001A60DE">
        <w:t>is structured under the following headings</w:t>
      </w:r>
      <w:r>
        <w:t>:</w:t>
      </w:r>
    </w:p>
    <w:p w:rsidR="00B27BE5" w:rsidRPr="00B27BE5" w:rsidRDefault="00B27BE5" w:rsidP="00B27BE5">
      <w:pPr>
        <w:pStyle w:val="AERbulletlistfirststyle"/>
      </w:pPr>
      <w:r>
        <w:t>expert views</w:t>
      </w:r>
      <w:r w:rsidRPr="00B27BE5">
        <w:t xml:space="preserve"> on the value of imputation credits</w:t>
      </w:r>
      <w:r w:rsidRPr="00B27BE5" w:rsidDel="00BD4879">
        <w:t xml:space="preserve"> </w:t>
      </w:r>
    </w:p>
    <w:p w:rsidR="00B27BE5" w:rsidRPr="00B27BE5" w:rsidRDefault="00B27BE5" w:rsidP="00B27BE5">
      <w:pPr>
        <w:pStyle w:val="AERbulletlistfirststyle"/>
      </w:pPr>
      <w:r>
        <w:t xml:space="preserve">the </w:t>
      </w:r>
      <w:r w:rsidRPr="00B27BE5">
        <w:t>value of imputation credits used by other regulators</w:t>
      </w:r>
      <w:r w:rsidRPr="00B27BE5" w:rsidDel="00BD4879">
        <w:t xml:space="preserve"> </w:t>
      </w:r>
    </w:p>
    <w:p w:rsidR="00B27BE5" w:rsidRPr="00B27BE5" w:rsidRDefault="00B27BE5" w:rsidP="00B27BE5">
      <w:pPr>
        <w:pStyle w:val="AERbulletlistfirststyle"/>
      </w:pPr>
      <w:r>
        <w:t xml:space="preserve">previous </w:t>
      </w:r>
      <w:r w:rsidRPr="00B27BE5">
        <w:t>Australian Competition Tribunal (Tribunal) considerations</w:t>
      </w:r>
    </w:p>
    <w:p w:rsidR="00B27BE5" w:rsidRPr="00B27BE5" w:rsidRDefault="00B27BE5" w:rsidP="00B27BE5">
      <w:pPr>
        <w:pStyle w:val="AERbulletlistfirststyle"/>
      </w:pPr>
      <w:r>
        <w:t>key</w:t>
      </w:r>
      <w:r w:rsidRPr="00B27BE5" w:rsidDel="00BD4879">
        <w:t xml:space="preserve"> </w:t>
      </w:r>
      <w:r w:rsidRPr="00B27BE5">
        <w:t>concerns of the service providers</w:t>
      </w:r>
      <w:r w:rsidRPr="00B27BE5" w:rsidDel="00BD4879">
        <w:t xml:space="preserve"> </w:t>
      </w:r>
    </w:p>
    <w:p w:rsidR="00B27BE5" w:rsidRPr="00B27BE5" w:rsidRDefault="00B27BE5" w:rsidP="00B27BE5">
      <w:pPr>
        <w:pStyle w:val="AERbulletlistfirststyle"/>
      </w:pPr>
      <w:r>
        <w:t xml:space="preserve">the </w:t>
      </w:r>
      <w:r w:rsidRPr="00B27BE5">
        <w:t>role of the value of imputation credits in the regulatory framework</w:t>
      </w:r>
      <w:r w:rsidRPr="00B27BE5" w:rsidDel="00BD4879">
        <w:t xml:space="preserve"> </w:t>
      </w:r>
    </w:p>
    <w:p w:rsidR="00B27BE5" w:rsidRPr="00B27BE5" w:rsidRDefault="00B27BE5" w:rsidP="00B27BE5">
      <w:pPr>
        <w:pStyle w:val="AERbulletlistfirststyle"/>
      </w:pPr>
      <w:r>
        <w:t xml:space="preserve">the </w:t>
      </w:r>
      <w:r w:rsidRPr="00B27BE5">
        <w:t>conceptual framework for the value of imputation credits</w:t>
      </w:r>
      <w:r w:rsidRPr="00B27BE5" w:rsidDel="00BD4879">
        <w:t xml:space="preserve"> </w:t>
      </w:r>
    </w:p>
    <w:p w:rsidR="00B27BE5" w:rsidRPr="00B27BE5" w:rsidRDefault="00B27BE5" w:rsidP="00B27BE5">
      <w:pPr>
        <w:pStyle w:val="AERbulletlistfirststyle"/>
      </w:pPr>
      <w:r>
        <w:t xml:space="preserve">Professor Stephen Gray's (Gray's) </w:t>
      </w:r>
      <w:r w:rsidRPr="00B27BE5">
        <w:t>comments on the conceptual framework</w:t>
      </w:r>
    </w:p>
    <w:p w:rsidR="00B27BE5" w:rsidRPr="00B27BE5" w:rsidRDefault="00B27BE5" w:rsidP="00B27BE5">
      <w:pPr>
        <w:pStyle w:val="AERbulletlistfirststyle"/>
      </w:pPr>
      <w:r>
        <w:t>further</w:t>
      </w:r>
      <w:r w:rsidRPr="00B27BE5" w:rsidDel="00BD4879">
        <w:t xml:space="preserve"> </w:t>
      </w:r>
      <w:r w:rsidRPr="00B27BE5">
        <w:t>issues relating to the utilisation rate</w:t>
      </w:r>
      <w:r w:rsidRPr="00B27BE5" w:rsidDel="00BD4879">
        <w:t xml:space="preserve"> </w:t>
      </w:r>
    </w:p>
    <w:p w:rsidR="00B27BE5" w:rsidRPr="00B27BE5" w:rsidRDefault="00B27BE5" w:rsidP="00B27BE5">
      <w:pPr>
        <w:pStyle w:val="AERbulletlistfirststyle"/>
      </w:pPr>
      <w:r>
        <w:lastRenderedPageBreak/>
        <w:t xml:space="preserve">estimation </w:t>
      </w:r>
      <w:r w:rsidRPr="00B27BE5">
        <w:t>approach considerations</w:t>
      </w:r>
      <w:r w:rsidRPr="00B27BE5" w:rsidDel="00BD4879">
        <w:t xml:space="preserve"> </w:t>
      </w:r>
    </w:p>
    <w:p w:rsidR="00B27BE5" w:rsidRPr="00B27BE5" w:rsidRDefault="00B27BE5" w:rsidP="00B27BE5">
      <w:pPr>
        <w:pStyle w:val="AERbulletlistfirststyle"/>
      </w:pPr>
      <w:r>
        <w:t xml:space="preserve">estimating </w:t>
      </w:r>
      <w:r w:rsidRPr="00B27BE5">
        <w:t>the distribution rate</w:t>
      </w:r>
    </w:p>
    <w:p w:rsidR="00B27BE5" w:rsidRPr="00B27BE5" w:rsidRDefault="00B27BE5" w:rsidP="00B27BE5">
      <w:pPr>
        <w:pStyle w:val="AERbulletlistfirststyle"/>
      </w:pPr>
      <w:r>
        <w:t xml:space="preserve">application </w:t>
      </w:r>
      <w:r w:rsidRPr="00B27BE5">
        <w:t>of rate of return criteria to evidence on the utilisation rate</w:t>
      </w:r>
    </w:p>
    <w:p w:rsidR="00B27BE5" w:rsidRPr="00B27BE5" w:rsidRDefault="00B27BE5" w:rsidP="00B27BE5">
      <w:pPr>
        <w:pStyle w:val="AERbulletlistfirststyle"/>
      </w:pPr>
      <w:r>
        <w:t xml:space="preserve">the </w:t>
      </w:r>
      <w:r w:rsidRPr="00B27BE5">
        <w:t>equity ownership approach</w:t>
      </w:r>
    </w:p>
    <w:p w:rsidR="00B27BE5" w:rsidRPr="00B27BE5" w:rsidRDefault="00B27BE5" w:rsidP="00B27BE5">
      <w:pPr>
        <w:pStyle w:val="AERbulletlistfirststyle"/>
      </w:pPr>
      <w:r>
        <w:t>tax statistics</w:t>
      </w:r>
    </w:p>
    <w:p w:rsidR="00B27BE5" w:rsidRPr="00B27BE5" w:rsidRDefault="001B55CD" w:rsidP="00B27BE5">
      <w:pPr>
        <w:pStyle w:val="AERbulletlistfirststyle"/>
      </w:pPr>
      <w:r>
        <w:t xml:space="preserve">the </w:t>
      </w:r>
      <w:r w:rsidR="00B27BE5">
        <w:t xml:space="preserve">difference </w:t>
      </w:r>
      <w:r w:rsidR="00B27BE5" w:rsidRPr="00B27BE5">
        <w:t>between equity ownership approach and tax statistics</w:t>
      </w:r>
    </w:p>
    <w:p w:rsidR="00B27BE5" w:rsidRPr="00B27BE5" w:rsidRDefault="00B27BE5" w:rsidP="00B27BE5">
      <w:pPr>
        <w:pStyle w:val="AERbulletlistfirststyle"/>
      </w:pPr>
      <w:r w:rsidRPr="00B27BE5">
        <w:t>implied market value studies.</w:t>
      </w:r>
    </w:p>
    <w:p w:rsidR="00B27BE5" w:rsidRPr="00883125" w:rsidRDefault="00B27BE5" w:rsidP="00B27BE5">
      <w:pPr>
        <w:pStyle w:val="Heading8"/>
      </w:pPr>
      <w:bookmarkStart w:id="87" w:name="_Ref414621676"/>
      <w:bookmarkStart w:id="88" w:name="_Toc436049442"/>
      <w:bookmarkStart w:id="89" w:name="_Toc451928275"/>
      <w:r w:rsidRPr="00883125">
        <w:t>Expert views on the value of imputation credits</w:t>
      </w:r>
      <w:bookmarkEnd w:id="87"/>
      <w:bookmarkEnd w:id="88"/>
      <w:bookmarkEnd w:id="89"/>
    </w:p>
    <w:p w:rsidR="00B27BE5" w:rsidRPr="00883125" w:rsidRDefault="00B27BE5" w:rsidP="00B27BE5">
      <w:r w:rsidRPr="00883125">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rsidRPr="00883125">
        <w:fldChar w:fldCharType="begin"/>
      </w:r>
      <w:r w:rsidRPr="00883125">
        <w:instrText xml:space="preserve"> REF _Ref400609043 \h </w:instrText>
      </w:r>
      <w:r w:rsidRPr="00883125">
        <w:fldChar w:fldCharType="separate"/>
      </w:r>
      <w:r w:rsidR="00881794" w:rsidRPr="00883125">
        <w:t xml:space="preserve">Table </w:t>
      </w:r>
      <w:r w:rsidR="00881794">
        <w:rPr>
          <w:noProof/>
        </w:rPr>
        <w:t>4</w:t>
      </w:r>
      <w:r w:rsidR="00881794">
        <w:noBreakHyphen/>
      </w:r>
      <w:r w:rsidR="00881794">
        <w:rPr>
          <w:noProof/>
        </w:rPr>
        <w:t>6</w:t>
      </w:r>
      <w:r w:rsidRPr="00883125">
        <w:fldChar w:fldCharType="end"/>
      </w:r>
      <w:r w:rsidRPr="00883125">
        <w:t xml:space="preserve"> summarises recent expert advice of which we are aware. We have considered the advice from each of these experts in forming our position on the value of imputation credits. For this </w:t>
      </w:r>
      <w:r w:rsidR="001B55CD">
        <w:t>final</w:t>
      </w:r>
      <w:r w:rsidR="001B55CD" w:rsidRPr="00883125">
        <w:t xml:space="preserve"> </w:t>
      </w:r>
      <w:r w:rsidRPr="00883125">
        <w:t xml:space="preserve">decision </w:t>
      </w:r>
      <w:r w:rsidR="001A60DE">
        <w:t>we have</w:t>
      </w:r>
      <w:r w:rsidRPr="00883125">
        <w:t xml:space="preserve"> considered the new expert report from the </w:t>
      </w:r>
      <w:r w:rsidR="001A60DE">
        <w:t>service provider</w:t>
      </w:r>
      <w:r w:rsidR="001A60DE" w:rsidRPr="00883125">
        <w:t>s</w:t>
      </w:r>
      <w:r w:rsidR="001A60DE">
        <w:t>.</w:t>
      </w:r>
      <w:r w:rsidR="001B55CD">
        <w:rPr>
          <w:rStyle w:val="FootnoteReference"/>
        </w:rPr>
        <w:footnoteReference w:id="207"/>
      </w:r>
      <w:r w:rsidR="001A60DE">
        <w:t xml:space="preserve"> We</w:t>
      </w:r>
      <w:r w:rsidRPr="00883125">
        <w:t xml:space="preserve"> </w:t>
      </w:r>
      <w:r w:rsidR="001A60DE">
        <w:t>have</w:t>
      </w:r>
      <w:r w:rsidR="001A60DE" w:rsidRPr="00883125">
        <w:t xml:space="preserve"> </w:t>
      </w:r>
      <w:r w:rsidR="001A60DE">
        <w:t xml:space="preserve">also </w:t>
      </w:r>
      <w:r w:rsidRPr="00883125">
        <w:t>commissioned further expert advice</w:t>
      </w:r>
      <w:r w:rsidR="001B55CD">
        <w:t xml:space="preserve"> from Lally</w:t>
      </w:r>
      <w:r w:rsidR="001A60DE">
        <w:t xml:space="preserve"> following late submissions by a number of service providers</w:t>
      </w:r>
      <w:r w:rsidRPr="00883125">
        <w:t>.</w:t>
      </w:r>
      <w:r w:rsidR="001B55CD">
        <w:rPr>
          <w:rStyle w:val="FootnoteReference"/>
        </w:rPr>
        <w:footnoteReference w:id="208"/>
      </w:r>
      <w:r w:rsidRPr="00883125">
        <w:t xml:space="preserve"> We consider the new expert report from the service providers do not provide new evidence to justify a departure from the position we adopted in the decisions we released in October and November 2015.</w:t>
      </w:r>
    </w:p>
    <w:p w:rsidR="00B27BE5" w:rsidRPr="00883125" w:rsidRDefault="00B27BE5" w:rsidP="00B27BE5">
      <w:pPr>
        <w:pStyle w:val="Caption"/>
      </w:pPr>
      <w:bookmarkStart w:id="90" w:name="_Ref400609043"/>
      <w:r w:rsidRPr="00883125">
        <w:t xml:space="preserve">Table </w:t>
      </w:r>
      <w:r w:rsidR="004B4BF3">
        <w:fldChar w:fldCharType="begin"/>
      </w:r>
      <w:r w:rsidR="004B4BF3">
        <w:instrText xml:space="preserve"> STYLEREF 1 \s </w:instrText>
      </w:r>
      <w:r w:rsidR="004B4BF3">
        <w:fldChar w:fldCharType="separate"/>
      </w:r>
      <w:r w:rsidR="00881794">
        <w:rPr>
          <w:noProof/>
        </w:rPr>
        <w:t>4</w:t>
      </w:r>
      <w:r w:rsidR="004B4BF3">
        <w:rPr>
          <w:noProof/>
        </w:rPr>
        <w:fldChar w:fldCharType="end"/>
      </w:r>
      <w:r>
        <w:noBreakHyphen/>
      </w:r>
      <w:r w:rsidR="004B4BF3">
        <w:fldChar w:fldCharType="begin"/>
      </w:r>
      <w:r w:rsidR="004B4BF3">
        <w:instrText xml:space="preserve"> SEQ Table \* ARABIC \s 1 </w:instrText>
      </w:r>
      <w:r w:rsidR="004B4BF3">
        <w:fldChar w:fldCharType="separate"/>
      </w:r>
      <w:r w:rsidR="00881794">
        <w:rPr>
          <w:noProof/>
        </w:rPr>
        <w:t>6</w:t>
      </w:r>
      <w:r w:rsidR="004B4BF3">
        <w:rPr>
          <w:noProof/>
        </w:rPr>
        <w:fldChar w:fldCharType="end"/>
      </w:r>
      <w:bookmarkEnd w:id="90"/>
      <w:r w:rsidRPr="00883125">
        <w:tab/>
        <w:t>Summary of expert views on the 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B27BE5" w:rsidTr="00B27BE5">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B27BE5" w:rsidRPr="00883125" w:rsidRDefault="00B27BE5" w:rsidP="00B27BE5">
            <w:pPr>
              <w:numPr>
                <w:ilvl w:val="0"/>
                <w:numId w:val="24"/>
              </w:numPr>
            </w:pPr>
            <w:r w:rsidRPr="00883125">
              <w:t>Expert</w:t>
            </w:r>
          </w:p>
        </w:tc>
        <w:tc>
          <w:tcPr>
            <w:tcW w:w="2560" w:type="dxa"/>
          </w:tcPr>
          <w:p w:rsidR="00B27BE5" w:rsidRPr="00883125" w:rsidRDefault="00B27BE5" w:rsidP="00B27BE5">
            <w:pPr>
              <w:numPr>
                <w:ilvl w:val="0"/>
                <w:numId w:val="24"/>
              </w:numPr>
            </w:pPr>
            <w:r w:rsidRPr="00883125">
              <w:t>Distribution rate</w:t>
            </w:r>
          </w:p>
        </w:tc>
        <w:tc>
          <w:tcPr>
            <w:tcW w:w="2560" w:type="dxa"/>
          </w:tcPr>
          <w:p w:rsidR="00B27BE5" w:rsidRPr="00883125" w:rsidRDefault="00B27BE5" w:rsidP="00B27BE5">
            <w:pPr>
              <w:numPr>
                <w:ilvl w:val="0"/>
                <w:numId w:val="24"/>
              </w:numPr>
            </w:pPr>
            <w:r w:rsidRPr="00883125">
              <w:t>Utilisation rate</w:t>
            </w:r>
          </w:p>
        </w:tc>
        <w:tc>
          <w:tcPr>
            <w:tcW w:w="2560" w:type="dxa"/>
          </w:tcPr>
          <w:p w:rsidR="00B27BE5" w:rsidRPr="00883125" w:rsidRDefault="00B27BE5" w:rsidP="00B27BE5">
            <w:pPr>
              <w:numPr>
                <w:ilvl w:val="0"/>
                <w:numId w:val="24"/>
              </w:numPr>
            </w:pPr>
            <w:r w:rsidRPr="00883125">
              <w:t>Value of imputation credits</w:t>
            </w:r>
          </w:p>
        </w:tc>
      </w:tr>
      <w:tr w:rsidR="001B55CD" w:rsidTr="00B27BE5">
        <w:trPr>
          <w:cantSplit/>
        </w:trPr>
        <w:tc>
          <w:tcPr>
            <w:tcW w:w="1562" w:type="dxa"/>
          </w:tcPr>
          <w:p w:rsidR="001B55CD" w:rsidRPr="00883125" w:rsidRDefault="001B55CD" w:rsidP="00B27BE5">
            <w:pPr>
              <w:numPr>
                <w:ilvl w:val="0"/>
                <w:numId w:val="24"/>
              </w:numPr>
            </w:pPr>
            <w:r>
              <w:t>Lally (2016)</w:t>
            </w:r>
            <w:r>
              <w:rPr>
                <w:rStyle w:val="FootnoteReference"/>
              </w:rPr>
              <w:footnoteReference w:id="209"/>
            </w:r>
          </w:p>
        </w:tc>
        <w:tc>
          <w:tcPr>
            <w:tcW w:w="2560" w:type="dxa"/>
          </w:tcPr>
          <w:p w:rsidR="001B55CD" w:rsidRPr="00883125" w:rsidRDefault="001B55CD" w:rsidP="001B55CD">
            <w:pPr>
              <w:numPr>
                <w:ilvl w:val="0"/>
                <w:numId w:val="24"/>
              </w:numPr>
              <w:rPr>
                <w:rStyle w:val="Strong"/>
              </w:rPr>
            </w:pPr>
            <w:r>
              <w:rPr>
                <w:rStyle w:val="Strong"/>
              </w:rPr>
              <w:t xml:space="preserve">At least </w:t>
            </w:r>
            <w:r w:rsidRPr="00883125">
              <w:rPr>
                <w:rStyle w:val="Strong"/>
              </w:rPr>
              <w:t>0.8</w:t>
            </w:r>
            <w:r>
              <w:rPr>
                <w:rStyle w:val="Strong"/>
              </w:rPr>
              <w:t>3</w:t>
            </w:r>
            <w:r w:rsidRPr="00883125">
              <w:t xml:space="preserve"> using the financial statements of 20 largest ASX-listed companies</w:t>
            </w:r>
          </w:p>
        </w:tc>
        <w:tc>
          <w:tcPr>
            <w:tcW w:w="2560" w:type="dxa"/>
          </w:tcPr>
          <w:p w:rsidR="001B55CD" w:rsidRPr="00883125" w:rsidRDefault="001B55CD" w:rsidP="001B55CD">
            <w:pPr>
              <w:numPr>
                <w:ilvl w:val="0"/>
                <w:numId w:val="24"/>
              </w:numPr>
              <w:rPr>
                <w:rStyle w:val="Strong"/>
              </w:rPr>
            </w:pPr>
            <w:r>
              <w:rPr>
                <w:rStyle w:val="Strong"/>
              </w:rPr>
              <w:t>At least 0</w:t>
            </w:r>
            <w:r w:rsidRPr="00883125">
              <w:rPr>
                <w:rStyle w:val="Strong"/>
              </w:rPr>
              <w:t>.</w:t>
            </w:r>
            <w:r>
              <w:rPr>
                <w:rStyle w:val="Strong"/>
              </w:rPr>
              <w:t>6</w:t>
            </w:r>
            <w:r w:rsidRPr="00883125">
              <w:t xml:space="preserve">, </w:t>
            </w:r>
            <w:r>
              <w:t xml:space="preserve">using the all equity estimate of local equity ownership </w:t>
            </w:r>
          </w:p>
        </w:tc>
        <w:tc>
          <w:tcPr>
            <w:tcW w:w="2560" w:type="dxa"/>
          </w:tcPr>
          <w:p w:rsidR="001B55CD" w:rsidRPr="00883125" w:rsidRDefault="001B55CD" w:rsidP="00B27BE5">
            <w:pPr>
              <w:rPr>
                <w:rStyle w:val="Strong"/>
              </w:rPr>
            </w:pPr>
            <w:r>
              <w:rPr>
                <w:rStyle w:val="Strong"/>
              </w:rPr>
              <w:t>At least 0.5</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tcW w:w="1562" w:type="dxa"/>
          </w:tcPr>
          <w:p w:rsidR="00B27BE5" w:rsidRPr="00883125" w:rsidRDefault="00B27BE5" w:rsidP="00B27BE5">
            <w:pPr>
              <w:numPr>
                <w:ilvl w:val="0"/>
                <w:numId w:val="24"/>
              </w:numPr>
            </w:pPr>
            <w:r w:rsidRPr="00883125">
              <w:t>Lally (2013a, 2013b, 2014)</w:t>
            </w:r>
            <w:r w:rsidRPr="00883125">
              <w:rPr>
                <w:rStyle w:val="FootnoteReference"/>
              </w:rPr>
              <w:footnoteReference w:id="210"/>
            </w:r>
          </w:p>
        </w:tc>
        <w:tc>
          <w:tcPr>
            <w:tcW w:w="2560" w:type="dxa"/>
          </w:tcPr>
          <w:p w:rsidR="00B27BE5" w:rsidRPr="00883125" w:rsidRDefault="00B27BE5" w:rsidP="00B27BE5">
            <w:pPr>
              <w:numPr>
                <w:ilvl w:val="0"/>
                <w:numId w:val="24"/>
              </w:numPr>
            </w:pPr>
            <w:r w:rsidRPr="00883125">
              <w:rPr>
                <w:rStyle w:val="Strong"/>
              </w:rPr>
              <w:t>0.84</w:t>
            </w:r>
            <w:r w:rsidRPr="00883125">
              <w:t xml:space="preserve"> using the financial statements of 20 largest ASX-listed companies</w:t>
            </w:r>
          </w:p>
        </w:tc>
        <w:tc>
          <w:tcPr>
            <w:tcW w:w="2560" w:type="dxa"/>
          </w:tcPr>
          <w:p w:rsidR="00B27BE5" w:rsidRPr="00883125" w:rsidRDefault="00B27BE5" w:rsidP="00B27BE5">
            <w:pPr>
              <w:numPr>
                <w:ilvl w:val="0"/>
                <w:numId w:val="24"/>
              </w:numPr>
            </w:pPr>
            <w:r w:rsidRPr="00883125">
              <w:rPr>
                <w:rStyle w:val="Strong"/>
              </w:rPr>
              <w:t>1.0</w:t>
            </w:r>
            <w:r w:rsidRPr="00883125">
              <w:t>, based on assumption that all investors in the Officer CAPM are domestic investors</w:t>
            </w:r>
          </w:p>
          <w:p w:rsidR="00B27BE5" w:rsidRPr="00883125" w:rsidRDefault="00B27BE5" w:rsidP="00B27BE5">
            <w:pPr>
              <w:numPr>
                <w:ilvl w:val="0"/>
                <w:numId w:val="24"/>
              </w:numPr>
            </w:pPr>
            <w:r w:rsidRPr="00883125">
              <w:t>0.54 to 0.7, using equity ownership as second preference</w:t>
            </w:r>
          </w:p>
        </w:tc>
        <w:tc>
          <w:tcPr>
            <w:tcW w:w="2560" w:type="dxa"/>
          </w:tcPr>
          <w:p w:rsidR="00B27BE5" w:rsidRPr="00B27BE5" w:rsidRDefault="00B27BE5" w:rsidP="00B27BE5">
            <w:pPr>
              <w:rPr>
                <w:rStyle w:val="Strong"/>
              </w:rPr>
            </w:pPr>
            <w:r w:rsidRPr="00883125">
              <w:rPr>
                <w:rStyle w:val="Strong"/>
              </w:rPr>
              <w:t>0.84</w:t>
            </w:r>
          </w:p>
          <w:p w:rsidR="00B27BE5" w:rsidRPr="00B27BE5" w:rsidRDefault="00B27BE5" w:rsidP="00983582">
            <w:pPr>
              <w:rPr>
                <w:rStyle w:val="Strong"/>
              </w:rPr>
            </w:pPr>
            <w:r w:rsidRPr="00883125">
              <w:t xml:space="preserve">0.45 to 0.59 using second preference utilisation </w:t>
            </w:r>
            <w:r w:rsidR="00983582">
              <w:t>rate</w:t>
            </w:r>
          </w:p>
        </w:tc>
      </w:tr>
      <w:tr w:rsidR="00B27BE5" w:rsidTr="00B27BE5">
        <w:trPr>
          <w:cantSplit/>
        </w:trPr>
        <w:tc>
          <w:tcPr>
            <w:tcW w:w="1562" w:type="dxa"/>
          </w:tcPr>
          <w:p w:rsidR="00B27BE5" w:rsidRPr="00883125" w:rsidRDefault="00B27BE5" w:rsidP="00B27BE5">
            <w:pPr>
              <w:numPr>
                <w:ilvl w:val="0"/>
                <w:numId w:val="24"/>
              </w:numPr>
            </w:pPr>
            <w:r w:rsidRPr="00883125">
              <w:lastRenderedPageBreak/>
              <w:t>McKenzie and Partington (2013)</w:t>
            </w:r>
            <w:r w:rsidRPr="00883125">
              <w:rPr>
                <w:rStyle w:val="FootnoteReference"/>
              </w:rPr>
              <w:footnoteReference w:id="211"/>
            </w:r>
          </w:p>
        </w:tc>
        <w:tc>
          <w:tcPr>
            <w:tcW w:w="2560" w:type="dxa"/>
          </w:tcPr>
          <w:p w:rsidR="00B27BE5" w:rsidRPr="00883125" w:rsidRDefault="00B27BE5" w:rsidP="00B27BE5">
            <w:pPr>
              <w:numPr>
                <w:ilvl w:val="0"/>
                <w:numId w:val="24"/>
              </w:numPr>
            </w:pPr>
            <w:r w:rsidRPr="00883125">
              <w:rPr>
                <w:rStyle w:val="Strong"/>
              </w:rPr>
              <w:t>0.7</w:t>
            </w:r>
            <w:r w:rsidRPr="00883125">
              <w:t>, using cumulative payout ratio approach over all equity</w:t>
            </w:r>
          </w:p>
        </w:tc>
        <w:tc>
          <w:tcPr>
            <w:tcW w:w="2560" w:type="dxa"/>
          </w:tcPr>
          <w:p w:rsidR="00B27BE5" w:rsidRPr="00883125" w:rsidRDefault="00B27BE5" w:rsidP="00B27BE5">
            <w:pPr>
              <w:numPr>
                <w:ilvl w:val="0"/>
                <w:numId w:val="24"/>
              </w:numPr>
            </w:pPr>
            <w:r w:rsidRPr="00883125">
              <w:rPr>
                <w:rStyle w:val="Strong"/>
              </w:rPr>
              <w:t>None recommended</w:t>
            </w:r>
            <w:r w:rsidRPr="00883125">
              <w:t>, although estimates considered included 0.7 from AER draft rate of return Guideline approach, 0.53 from average of implied market value studies and 0.83 from average of McKenzie and Partington's implied market value studies</w:t>
            </w:r>
          </w:p>
        </w:tc>
        <w:tc>
          <w:tcPr>
            <w:tcW w:w="2560" w:type="dxa"/>
          </w:tcPr>
          <w:p w:rsidR="00B27BE5" w:rsidRPr="00883125" w:rsidRDefault="00B27BE5" w:rsidP="001A60DE">
            <w:pPr>
              <w:rPr>
                <w:rStyle w:val="Strong"/>
              </w:rPr>
            </w:pPr>
            <w:r w:rsidRPr="001A60DE">
              <w:t>Evidence not compelling enough to depart from</w:t>
            </w:r>
            <w:r w:rsidRPr="00883125">
              <w:rPr>
                <w:rStyle w:val="Strong"/>
              </w:rPr>
              <w:t xml:space="preserve"> 0.5</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tcW w:w="1562" w:type="dxa"/>
          </w:tcPr>
          <w:p w:rsidR="00B27BE5" w:rsidRPr="00883125" w:rsidRDefault="00B27BE5" w:rsidP="00B27BE5">
            <w:pPr>
              <w:numPr>
                <w:ilvl w:val="0"/>
                <w:numId w:val="24"/>
              </w:numPr>
            </w:pPr>
            <w:r w:rsidRPr="00883125">
              <w:t>Handley (2014)</w:t>
            </w:r>
            <w:r w:rsidRPr="00883125">
              <w:rPr>
                <w:rStyle w:val="FootnoteReference"/>
              </w:rPr>
              <w:footnoteReference w:id="212"/>
            </w:r>
          </w:p>
        </w:tc>
        <w:tc>
          <w:tcPr>
            <w:tcW w:w="2560" w:type="dxa"/>
          </w:tcPr>
          <w:p w:rsidR="00B27BE5" w:rsidRPr="00883125" w:rsidRDefault="00B27BE5" w:rsidP="00B27BE5">
            <w:pPr>
              <w:numPr>
                <w:ilvl w:val="0"/>
                <w:numId w:val="24"/>
              </w:numPr>
            </w:pPr>
            <w:r w:rsidRPr="00883125">
              <w:rPr>
                <w:rStyle w:val="Strong"/>
              </w:rPr>
              <w:t>0.8</w:t>
            </w:r>
            <w:r w:rsidRPr="00883125">
              <w:t xml:space="preserve">, using cumulative payout ratio approach over only listed equity </w:t>
            </w:r>
          </w:p>
        </w:tc>
        <w:tc>
          <w:tcPr>
            <w:tcW w:w="2560" w:type="dxa"/>
          </w:tcPr>
          <w:p w:rsidR="00B27BE5" w:rsidRPr="00883125" w:rsidRDefault="00B27BE5" w:rsidP="00B27BE5">
            <w:pPr>
              <w:numPr>
                <w:ilvl w:val="0"/>
                <w:numId w:val="24"/>
              </w:numPr>
            </w:pPr>
            <w:r w:rsidRPr="00883125">
              <w:rPr>
                <w:rStyle w:val="Strong"/>
              </w:rPr>
              <w:t>0.5 to 0.6</w:t>
            </w:r>
            <w:r w:rsidRPr="00883125">
              <w:t>, with regard to (in order of importance) equity ownership approach, tax statistics and dividend drop off studies</w:t>
            </w:r>
          </w:p>
        </w:tc>
        <w:tc>
          <w:tcPr>
            <w:tcW w:w="2560" w:type="dxa"/>
          </w:tcPr>
          <w:p w:rsidR="00B27BE5" w:rsidRPr="00883125" w:rsidRDefault="00B27BE5" w:rsidP="00B27BE5">
            <w:pPr>
              <w:numPr>
                <w:ilvl w:val="0"/>
                <w:numId w:val="24"/>
              </w:numPr>
              <w:rPr>
                <w:rStyle w:val="Strong"/>
              </w:rPr>
            </w:pPr>
            <w:r w:rsidRPr="00883125">
              <w:rPr>
                <w:rStyle w:val="Strong"/>
              </w:rPr>
              <w:t>0.4 to 0.5</w:t>
            </w:r>
          </w:p>
        </w:tc>
      </w:tr>
      <w:tr w:rsidR="00B27BE5" w:rsidTr="00B27BE5">
        <w:trPr>
          <w:cantSplit/>
        </w:trPr>
        <w:tc>
          <w:tcPr>
            <w:tcW w:w="1562" w:type="dxa"/>
          </w:tcPr>
          <w:p w:rsidR="00B27BE5" w:rsidRPr="00883125" w:rsidRDefault="00B27BE5" w:rsidP="00B27BE5">
            <w:pPr>
              <w:numPr>
                <w:ilvl w:val="0"/>
                <w:numId w:val="24"/>
              </w:numPr>
            </w:pPr>
            <w:r w:rsidRPr="00883125">
              <w:t>SACES (2015)</w:t>
            </w:r>
            <w:r w:rsidRPr="00883125">
              <w:rPr>
                <w:rStyle w:val="FootnoteReference"/>
              </w:rPr>
              <w:footnoteReference w:id="213"/>
            </w:r>
          </w:p>
        </w:tc>
        <w:tc>
          <w:tcPr>
            <w:tcW w:w="2560" w:type="dxa"/>
          </w:tcPr>
          <w:p w:rsidR="00B27BE5" w:rsidRPr="00B27BE5" w:rsidRDefault="00B27BE5" w:rsidP="00B27BE5">
            <w:pPr>
              <w:rPr>
                <w:rStyle w:val="Strong"/>
              </w:rPr>
            </w:pPr>
            <w:r w:rsidRPr="00883125">
              <w:rPr>
                <w:rStyle w:val="Strong"/>
              </w:rPr>
              <w:t>0.8</w:t>
            </w:r>
            <w:r w:rsidRPr="00B27BE5">
              <w:t>, using cumulative payout ratio approach over only listed equity</w:t>
            </w:r>
          </w:p>
        </w:tc>
        <w:tc>
          <w:tcPr>
            <w:tcW w:w="2560" w:type="dxa"/>
          </w:tcPr>
          <w:p w:rsidR="00B27BE5" w:rsidRPr="00883125" w:rsidRDefault="00B27BE5" w:rsidP="00B27BE5">
            <w:pPr>
              <w:numPr>
                <w:ilvl w:val="0"/>
                <w:numId w:val="24"/>
              </w:numPr>
              <w:rPr>
                <w:rStyle w:val="Strong"/>
              </w:rPr>
            </w:pPr>
            <w:r w:rsidRPr="00883125">
              <w:rPr>
                <w:rStyle w:val="Strong"/>
              </w:rPr>
              <w:t>0.45</w:t>
            </w:r>
            <w:r w:rsidRPr="00883125">
              <w:t>, using the average of the estimate from tax statistics (0.43) and the refined domestic ownership share of only listed equity (0.46)</w:t>
            </w:r>
          </w:p>
        </w:tc>
        <w:tc>
          <w:tcPr>
            <w:tcW w:w="2560" w:type="dxa"/>
          </w:tcPr>
          <w:p w:rsidR="00B27BE5" w:rsidRPr="00883125" w:rsidRDefault="00B27BE5" w:rsidP="00B27BE5">
            <w:pPr>
              <w:numPr>
                <w:ilvl w:val="0"/>
                <w:numId w:val="24"/>
              </w:numPr>
              <w:rPr>
                <w:rStyle w:val="Strong"/>
              </w:rPr>
            </w:pPr>
            <w:r w:rsidRPr="00883125">
              <w:rPr>
                <w:rStyle w:val="Strong"/>
              </w:rPr>
              <w:t>0.36</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tcW w:w="1562" w:type="dxa"/>
          </w:tcPr>
          <w:p w:rsidR="00B27BE5" w:rsidRPr="00883125" w:rsidRDefault="00B27BE5" w:rsidP="00B27BE5">
            <w:pPr>
              <w:numPr>
                <w:ilvl w:val="0"/>
                <w:numId w:val="24"/>
              </w:numPr>
            </w:pPr>
            <w:r w:rsidRPr="00883125">
              <w:t>CEG (2014)</w:t>
            </w:r>
            <w:r w:rsidRPr="00883125">
              <w:rPr>
                <w:rStyle w:val="FootnoteReference"/>
              </w:rPr>
              <w:footnoteReference w:id="214"/>
            </w:r>
          </w:p>
        </w:tc>
        <w:tc>
          <w:tcPr>
            <w:tcW w:w="2560" w:type="dxa"/>
          </w:tcPr>
          <w:p w:rsidR="00B27BE5" w:rsidRPr="00883125" w:rsidRDefault="00B27BE5" w:rsidP="00B27BE5">
            <w:pPr>
              <w:numPr>
                <w:ilvl w:val="0"/>
                <w:numId w:val="24"/>
              </w:numPr>
            </w:pPr>
            <w:r w:rsidRPr="00883125">
              <w:rPr>
                <w:rStyle w:val="Strong"/>
              </w:rPr>
              <w:t>0.7</w:t>
            </w:r>
            <w:r w:rsidRPr="00883125">
              <w:t>, using cumulative payout ratio approach over all equity</w:t>
            </w:r>
          </w:p>
        </w:tc>
        <w:tc>
          <w:tcPr>
            <w:tcW w:w="2560" w:type="dxa"/>
          </w:tcPr>
          <w:p w:rsidR="00B27BE5" w:rsidRPr="00883125" w:rsidRDefault="00B27BE5" w:rsidP="00B27BE5">
            <w:pPr>
              <w:numPr>
                <w:ilvl w:val="0"/>
                <w:numId w:val="24"/>
              </w:numPr>
            </w:pPr>
            <w:r w:rsidRPr="00883125">
              <w:rPr>
                <w:rStyle w:val="Strong"/>
              </w:rPr>
              <w:t>0.35</w:t>
            </w:r>
            <w:r w:rsidRPr="00883125">
              <w:t>, based on SFG's dividend drop off study</w:t>
            </w:r>
          </w:p>
        </w:tc>
        <w:tc>
          <w:tcPr>
            <w:tcW w:w="2560" w:type="dxa"/>
          </w:tcPr>
          <w:p w:rsidR="00B27BE5" w:rsidRPr="00883125" w:rsidRDefault="00B27BE5" w:rsidP="00B27BE5">
            <w:pPr>
              <w:numPr>
                <w:ilvl w:val="0"/>
                <w:numId w:val="24"/>
              </w:numPr>
              <w:rPr>
                <w:rStyle w:val="Strong"/>
              </w:rPr>
            </w:pPr>
            <w:r w:rsidRPr="00883125">
              <w:rPr>
                <w:rStyle w:val="Strong"/>
              </w:rPr>
              <w:t>0.25</w:t>
            </w:r>
          </w:p>
        </w:tc>
      </w:tr>
      <w:tr w:rsidR="00B27BE5" w:rsidTr="00B27BE5">
        <w:trPr>
          <w:cantSplit/>
        </w:trPr>
        <w:tc>
          <w:tcPr>
            <w:tcW w:w="1562" w:type="dxa"/>
          </w:tcPr>
          <w:p w:rsidR="00B27BE5" w:rsidRPr="00883125" w:rsidRDefault="00B27BE5" w:rsidP="00B27BE5">
            <w:pPr>
              <w:numPr>
                <w:ilvl w:val="0"/>
                <w:numId w:val="24"/>
              </w:numPr>
            </w:pPr>
            <w:r w:rsidRPr="00883125">
              <w:t>Gray (for SFG) (2015)</w:t>
            </w:r>
            <w:r w:rsidRPr="00883125">
              <w:rPr>
                <w:rStyle w:val="FootnoteReference"/>
              </w:rPr>
              <w:footnoteReference w:id="215"/>
            </w:r>
          </w:p>
        </w:tc>
        <w:tc>
          <w:tcPr>
            <w:tcW w:w="2560" w:type="dxa"/>
          </w:tcPr>
          <w:p w:rsidR="00B27BE5" w:rsidRPr="00883125" w:rsidRDefault="00B27BE5" w:rsidP="00B27BE5">
            <w:pPr>
              <w:numPr>
                <w:ilvl w:val="0"/>
                <w:numId w:val="24"/>
              </w:numPr>
            </w:pPr>
            <w:r w:rsidRPr="00883125">
              <w:rPr>
                <w:rStyle w:val="Strong"/>
              </w:rPr>
              <w:t>0.7</w:t>
            </w:r>
            <w:r w:rsidRPr="00883125">
              <w:t>, using cumulative payout ratio approach over all equity</w:t>
            </w:r>
          </w:p>
        </w:tc>
        <w:tc>
          <w:tcPr>
            <w:tcW w:w="2560" w:type="dxa"/>
          </w:tcPr>
          <w:p w:rsidR="00B27BE5" w:rsidRPr="00883125" w:rsidRDefault="00B27BE5" w:rsidP="00B27BE5">
            <w:pPr>
              <w:numPr>
                <w:ilvl w:val="0"/>
                <w:numId w:val="24"/>
              </w:numPr>
            </w:pPr>
            <w:r w:rsidRPr="00883125">
              <w:rPr>
                <w:rStyle w:val="Strong"/>
              </w:rPr>
              <w:t>0.35</w:t>
            </w:r>
            <w:r w:rsidRPr="00883125">
              <w:t>, based on SFG's dividend drop off study</w:t>
            </w:r>
          </w:p>
        </w:tc>
        <w:tc>
          <w:tcPr>
            <w:tcW w:w="2560" w:type="dxa"/>
          </w:tcPr>
          <w:p w:rsidR="00B27BE5" w:rsidRPr="00883125" w:rsidRDefault="00B27BE5" w:rsidP="00B27BE5">
            <w:pPr>
              <w:numPr>
                <w:ilvl w:val="0"/>
                <w:numId w:val="24"/>
              </w:numPr>
              <w:rPr>
                <w:rStyle w:val="Strong"/>
              </w:rPr>
            </w:pPr>
            <w:r w:rsidRPr="00883125">
              <w:rPr>
                <w:rStyle w:val="Strong"/>
              </w:rPr>
              <w:t>0.25</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tcW w:w="1562" w:type="dxa"/>
          </w:tcPr>
          <w:p w:rsidR="00B27BE5" w:rsidRPr="00883125" w:rsidRDefault="00B27BE5" w:rsidP="00B27BE5">
            <w:pPr>
              <w:numPr>
                <w:ilvl w:val="0"/>
                <w:numId w:val="24"/>
              </w:numPr>
            </w:pPr>
            <w:r w:rsidRPr="00883125">
              <w:t>Gray (for Frontier) (2015)</w:t>
            </w:r>
            <w:r w:rsidRPr="00883125">
              <w:rPr>
                <w:rStyle w:val="FootnoteReference"/>
              </w:rPr>
              <w:footnoteReference w:id="216"/>
            </w:r>
          </w:p>
        </w:tc>
        <w:tc>
          <w:tcPr>
            <w:tcW w:w="2560" w:type="dxa"/>
          </w:tcPr>
          <w:p w:rsidR="00B27BE5" w:rsidRPr="00B27BE5" w:rsidRDefault="00B27BE5" w:rsidP="001A60DE">
            <w:pPr>
              <w:rPr>
                <w:rStyle w:val="Strong"/>
              </w:rPr>
            </w:pPr>
            <w:r w:rsidRPr="00883125">
              <w:rPr>
                <w:rStyle w:val="Strong"/>
              </w:rPr>
              <w:t>0.7</w:t>
            </w:r>
            <w:r w:rsidRPr="001A60DE">
              <w:t>, using cumulative payout ratio approach over all equity, or alternatively using an estimate of the payout ratio for listed equity excluding the 20 largest firms.</w:t>
            </w:r>
          </w:p>
        </w:tc>
        <w:tc>
          <w:tcPr>
            <w:tcW w:w="2560" w:type="dxa"/>
          </w:tcPr>
          <w:p w:rsidR="00B27BE5" w:rsidRPr="00883125" w:rsidRDefault="00B27BE5" w:rsidP="001A60DE">
            <w:pPr>
              <w:rPr>
                <w:rStyle w:val="Strong"/>
              </w:rPr>
            </w:pPr>
            <w:r w:rsidRPr="00883125">
              <w:rPr>
                <w:rStyle w:val="Strong"/>
              </w:rPr>
              <w:t>0.35</w:t>
            </w:r>
            <w:r w:rsidRPr="001A60DE">
              <w:t>, based on SFG's dividend drop off study</w:t>
            </w:r>
          </w:p>
        </w:tc>
        <w:tc>
          <w:tcPr>
            <w:tcW w:w="2560" w:type="dxa"/>
          </w:tcPr>
          <w:p w:rsidR="00B27BE5" w:rsidRPr="00883125" w:rsidRDefault="00B27BE5" w:rsidP="00B27BE5">
            <w:pPr>
              <w:numPr>
                <w:ilvl w:val="0"/>
                <w:numId w:val="24"/>
              </w:numPr>
              <w:rPr>
                <w:rStyle w:val="Strong"/>
              </w:rPr>
            </w:pPr>
            <w:r w:rsidRPr="00883125">
              <w:rPr>
                <w:rStyle w:val="Strong"/>
              </w:rPr>
              <w:t>0.25</w:t>
            </w:r>
          </w:p>
        </w:tc>
      </w:tr>
    </w:tbl>
    <w:p w:rsidR="00B27BE5" w:rsidRPr="00883125" w:rsidRDefault="00B27BE5" w:rsidP="00B27BE5">
      <w:pPr>
        <w:pStyle w:val="AERtablesource"/>
      </w:pPr>
      <w:r w:rsidRPr="00883125">
        <w:t>Source:</w:t>
      </w:r>
      <w:r w:rsidRPr="00883125">
        <w:tab/>
        <w:t>As specified in table.</w:t>
      </w:r>
    </w:p>
    <w:p w:rsidR="00B27BE5" w:rsidRPr="00883125" w:rsidRDefault="00B27BE5" w:rsidP="00B27BE5">
      <w:pPr>
        <w:numPr>
          <w:ilvl w:val="0"/>
          <w:numId w:val="24"/>
        </w:numPr>
      </w:pPr>
      <w:r w:rsidRPr="00883125">
        <w:t xml:space="preserve">In summary: </w:t>
      </w:r>
    </w:p>
    <w:p w:rsidR="00B27BE5" w:rsidRPr="00883125" w:rsidRDefault="00B27BE5" w:rsidP="00B27BE5">
      <w:pPr>
        <w:pStyle w:val="AERbulletlistfirststyle"/>
      </w:pPr>
      <w:r w:rsidRPr="00883125">
        <w:t xml:space="preserve">A distribution rate of 0.7 estimated using the cumulative payout ratio approach is most commonly accepted. We describe this approach in section </w:t>
      </w:r>
      <w:r w:rsidRPr="00883125">
        <w:fldChar w:fldCharType="begin"/>
      </w:r>
      <w:r w:rsidRPr="00883125">
        <w:instrText xml:space="preserve"> REF _Ref415126827 \r \h </w:instrText>
      </w:r>
      <w:r w:rsidRPr="00883125">
        <w:fldChar w:fldCharType="separate"/>
      </w:r>
      <w:r w:rsidR="00881794">
        <w:t>A.10.2</w:t>
      </w:r>
      <w:r w:rsidRPr="00883125">
        <w:fldChar w:fldCharType="end"/>
      </w:r>
      <w:r w:rsidRPr="00883125">
        <w:t xml:space="preserve">. However, Handley considers that this approach should be applied to only listed equity, and this produces a higher estimate of the distribution rate. The South Australian Centre for Economic Studies (SACES) accepts Handley's approach. Lally considers </w:t>
      </w:r>
      <w:r w:rsidR="004D04C9">
        <w:t xml:space="preserve">consistency between the distribution rate and utilisation </w:t>
      </w:r>
      <w:r w:rsidR="00983582">
        <w:t>rate</w:t>
      </w:r>
      <w:r w:rsidR="004D04C9">
        <w:t xml:space="preserve"> is not essential</w:t>
      </w:r>
      <w:r w:rsidR="004915DA">
        <w:t xml:space="preserve"> (but nor is it precluded). Lally</w:t>
      </w:r>
      <w:r w:rsidR="004D04C9">
        <w:t xml:space="preserve"> </w:t>
      </w:r>
      <w:r w:rsidR="004D04C9">
        <w:lastRenderedPageBreak/>
        <w:t xml:space="preserve">considers </w:t>
      </w:r>
      <w:r w:rsidRPr="00883125">
        <w:t>the best estimate of the distribution rate</w:t>
      </w:r>
      <w:r w:rsidR="004915DA">
        <w:t xml:space="preserve"> for a benchmark efficient entity</w:t>
      </w:r>
      <w:r w:rsidRPr="00883125">
        <w:t xml:space="preserve"> is 0.8</w:t>
      </w:r>
      <w:r w:rsidR="004D04C9">
        <w:t>3</w:t>
      </w:r>
      <w:r w:rsidRPr="00883125">
        <w:t>, calculated using the financial statements of the 20 largest ASX-listed companies.</w:t>
      </w:r>
    </w:p>
    <w:p w:rsidR="00B27BE5" w:rsidRPr="00883125" w:rsidRDefault="00B27BE5" w:rsidP="00B27BE5">
      <w:pPr>
        <w:pStyle w:val="AERbulletlistfirststyle"/>
      </w:pPr>
      <w:r w:rsidRPr="00883125">
        <w:t>There is no widely accepted utilisation rate or method for estimating it. The recommended values for the utilisation rate range from 0.35 to 1</w:t>
      </w:r>
      <w:r w:rsidR="004915DA">
        <w:t>.0</w:t>
      </w:r>
      <w:r w:rsidRPr="00883125">
        <w:t xml:space="preserve">. </w:t>
      </w:r>
    </w:p>
    <w:p w:rsidR="00B27BE5" w:rsidRPr="00883125" w:rsidRDefault="00B27BE5" w:rsidP="00B27BE5">
      <w:pPr>
        <w:pStyle w:val="AERbulletlistfirststyle"/>
      </w:pPr>
      <w:r w:rsidRPr="00883125">
        <w:t>Only CEG, SFG, and Gray (for SFG and Frontier), rely exclusively on the SFG dividend drop off study when estimating the utilisation rate. Handley and McKenzie and Partington rely on a range of evidence. SACES gives equal weight to the equity ownership approach and tax statistics. Lally prefers a conceptual approach, but his second preference is the equity ownership approach.</w:t>
      </w:r>
    </w:p>
    <w:p w:rsidR="00B27BE5" w:rsidRPr="00883125" w:rsidRDefault="00B27BE5" w:rsidP="00B27BE5">
      <w:pPr>
        <w:pStyle w:val="AERbulletlistfirststyle"/>
      </w:pPr>
      <w:r w:rsidRPr="00883125">
        <w:t>As a result of the differing approaches, particularly to the utilisation rate, the range of estimates of the value of imputation credits is 0.25 to 0.8</w:t>
      </w:r>
      <w:r w:rsidR="00EF3A33">
        <w:t>3</w:t>
      </w:r>
      <w:r w:rsidRPr="00883125">
        <w:t>.</w:t>
      </w:r>
    </w:p>
    <w:p w:rsidR="00B27BE5" w:rsidRPr="00883125" w:rsidRDefault="00B27BE5" w:rsidP="00B27BE5">
      <w:r w:rsidRPr="00883125">
        <w:t>Conceptually, the value of imputation credits must be between 0 and 1. Accordingly</w:t>
      </w:r>
      <w:r w:rsidR="004915DA">
        <w:t>,</w:t>
      </w:r>
      <w:r w:rsidRPr="00883125">
        <w:t xml:space="preserve"> the range of recommended estimates from 0.25 to 0.8</w:t>
      </w:r>
      <w:r w:rsidR="00EF3A33">
        <w:t>3</w:t>
      </w:r>
      <w:r w:rsidRPr="00883125">
        <w:t>, which spans most of the possible range for the value of imputation credits, highlights the lack of consensus among experts. Our final decision value of imputation credits of 0.4 sits in the lower half of the range recommended by experts, which is more favourable to service providers.</w:t>
      </w:r>
    </w:p>
    <w:p w:rsidR="00B27BE5" w:rsidRPr="00883125" w:rsidRDefault="00B27BE5" w:rsidP="00B27BE5">
      <w:pPr>
        <w:pStyle w:val="Heading8"/>
      </w:pPr>
      <w:bookmarkStart w:id="91" w:name="_Toc450119245"/>
      <w:bookmarkStart w:id="92" w:name="_Toc450119407"/>
      <w:bookmarkStart w:id="93" w:name="_Ref414621875"/>
      <w:bookmarkStart w:id="94" w:name="_Toc436049443"/>
      <w:bookmarkStart w:id="95" w:name="_Toc451928276"/>
      <w:bookmarkEnd w:id="91"/>
      <w:bookmarkEnd w:id="92"/>
      <w:r w:rsidRPr="00883125">
        <w:t>The value of imputation credits used by other regulators</w:t>
      </w:r>
      <w:bookmarkEnd w:id="93"/>
      <w:bookmarkEnd w:id="94"/>
      <w:bookmarkEnd w:id="95"/>
    </w:p>
    <w:p w:rsidR="00B27BE5" w:rsidRPr="00883125" w:rsidRDefault="00B27BE5" w:rsidP="00B27BE5">
      <w:r w:rsidRPr="00883125">
        <w:t xml:space="preserve">Australian regulators have applied a wide range of approaches to estimate the value of imputation credits, resulting in varied outcomes. </w:t>
      </w:r>
      <w:r w:rsidRPr="00883125">
        <w:fldChar w:fldCharType="begin"/>
      </w:r>
      <w:r w:rsidRPr="00883125">
        <w:instrText xml:space="preserve"> REF _Ref401082422 \h </w:instrText>
      </w:r>
      <w:r w:rsidRPr="00883125">
        <w:fldChar w:fldCharType="separate"/>
      </w:r>
      <w:r w:rsidR="00881794" w:rsidRPr="00883125">
        <w:t xml:space="preserve">Table </w:t>
      </w:r>
      <w:r w:rsidR="00881794">
        <w:rPr>
          <w:noProof/>
        </w:rPr>
        <w:t>4</w:t>
      </w:r>
      <w:r w:rsidR="00881794">
        <w:noBreakHyphen/>
      </w:r>
      <w:r w:rsidR="00881794">
        <w:rPr>
          <w:noProof/>
        </w:rPr>
        <w:t>7</w:t>
      </w:r>
      <w:r w:rsidRPr="00883125">
        <w:fldChar w:fldCharType="end"/>
      </w:r>
      <w:r w:rsidRPr="00883125">
        <w:t xml:space="preserve"> 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B27BE5" w:rsidRPr="00883125" w:rsidRDefault="00B27BE5" w:rsidP="00B27BE5">
      <w:pPr>
        <w:pStyle w:val="Caption"/>
      </w:pPr>
      <w:bookmarkStart w:id="96" w:name="_Ref401082422"/>
      <w:r w:rsidRPr="00883125">
        <w:t xml:space="preserve">Table </w:t>
      </w:r>
      <w:r w:rsidR="004B4BF3">
        <w:fldChar w:fldCharType="begin"/>
      </w:r>
      <w:r w:rsidR="004B4BF3">
        <w:instrText xml:space="preserve"> STYLEREF 1 \s </w:instrText>
      </w:r>
      <w:r w:rsidR="004B4BF3">
        <w:fldChar w:fldCharType="separate"/>
      </w:r>
      <w:r w:rsidR="00881794">
        <w:rPr>
          <w:noProof/>
        </w:rPr>
        <w:t>4</w:t>
      </w:r>
      <w:r w:rsidR="004B4BF3">
        <w:rPr>
          <w:noProof/>
        </w:rPr>
        <w:fldChar w:fldCharType="end"/>
      </w:r>
      <w:r>
        <w:noBreakHyphen/>
      </w:r>
      <w:r w:rsidR="004B4BF3">
        <w:fldChar w:fldCharType="begin"/>
      </w:r>
      <w:r w:rsidR="004B4BF3">
        <w:instrText xml:space="preserve"> SEQ Table \* ARABIC \s 1 </w:instrText>
      </w:r>
      <w:r w:rsidR="004B4BF3">
        <w:fldChar w:fldCharType="separate"/>
      </w:r>
      <w:r w:rsidR="00881794">
        <w:rPr>
          <w:noProof/>
        </w:rPr>
        <w:t>7</w:t>
      </w:r>
      <w:r w:rsidR="004B4BF3">
        <w:rPr>
          <w:noProof/>
        </w:rPr>
        <w:fldChar w:fldCharType="end"/>
      </w:r>
      <w:bookmarkEnd w:id="96"/>
      <w:r w:rsidRPr="00883125">
        <w:tab/>
        <w:t>Australian regulators' approaches to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B27BE5" w:rsidTr="00B27B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B27BE5" w:rsidRPr="00883125" w:rsidRDefault="00B27BE5" w:rsidP="00B27BE5">
            <w:pPr>
              <w:numPr>
                <w:ilvl w:val="0"/>
                <w:numId w:val="24"/>
              </w:numPr>
            </w:pPr>
            <w:r w:rsidRPr="00883125">
              <w:t>Regulator</w:t>
            </w:r>
          </w:p>
        </w:tc>
        <w:tc>
          <w:tcPr>
            <w:tcW w:w="1842" w:type="dxa"/>
          </w:tcPr>
          <w:p w:rsidR="00B27BE5" w:rsidRPr="00883125" w:rsidRDefault="00B27BE5" w:rsidP="00B27BE5">
            <w:pPr>
              <w:numPr>
                <w:ilvl w:val="0"/>
                <w:numId w:val="24"/>
              </w:numPr>
              <w:cnfStyle w:val="100000000000" w:firstRow="1" w:lastRow="0" w:firstColumn="0" w:lastColumn="0" w:oddVBand="0" w:evenVBand="0" w:oddHBand="0" w:evenHBand="0" w:firstRowFirstColumn="0" w:firstRowLastColumn="0" w:lastRowFirstColumn="0" w:lastRowLastColumn="0"/>
            </w:pPr>
            <w:r w:rsidRPr="00883125">
              <w:t>Form of adoption</w:t>
            </w:r>
          </w:p>
        </w:tc>
        <w:tc>
          <w:tcPr>
            <w:tcW w:w="709" w:type="dxa"/>
          </w:tcPr>
          <w:p w:rsidR="00B27BE5" w:rsidRPr="00883125" w:rsidRDefault="00B27BE5" w:rsidP="00B27BE5">
            <w:pPr>
              <w:numPr>
                <w:ilvl w:val="0"/>
                <w:numId w:val="24"/>
              </w:numPr>
              <w:cnfStyle w:val="100000000000" w:firstRow="1" w:lastRow="0" w:firstColumn="0" w:lastColumn="0" w:oddVBand="0" w:evenVBand="0" w:oddHBand="0" w:evenHBand="0" w:firstRowFirstColumn="0" w:firstRowLastColumn="0" w:lastRowFirstColumn="0" w:lastRowLastColumn="0"/>
            </w:pPr>
            <w:r w:rsidRPr="00883125">
              <w:t>Year</w:t>
            </w:r>
          </w:p>
        </w:tc>
        <w:tc>
          <w:tcPr>
            <w:tcW w:w="1768" w:type="dxa"/>
          </w:tcPr>
          <w:p w:rsidR="00B27BE5" w:rsidRPr="00883125" w:rsidRDefault="00B27BE5" w:rsidP="00B27BE5">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1911" w:type="dxa"/>
          </w:tcPr>
          <w:p w:rsidR="00B27BE5" w:rsidRPr="00883125" w:rsidRDefault="00B27BE5" w:rsidP="00B27BE5">
            <w:pPr>
              <w:numPr>
                <w:ilvl w:val="0"/>
                <w:numId w:val="24"/>
              </w:numPr>
              <w:cnfStyle w:val="100000000000" w:firstRow="1" w:lastRow="0" w:firstColumn="0" w:lastColumn="0" w:oddVBand="0" w:evenVBand="0" w:oddHBand="0" w:evenHBand="0" w:firstRowFirstColumn="0" w:firstRowLastColumn="0" w:lastRowFirstColumn="0" w:lastRowLastColumn="0"/>
            </w:pPr>
            <w:r w:rsidRPr="00883125">
              <w:t>Utilisation rate</w:t>
            </w:r>
          </w:p>
        </w:tc>
        <w:tc>
          <w:tcPr>
            <w:tcW w:w="1911" w:type="dxa"/>
          </w:tcPr>
          <w:p w:rsidR="00B27BE5" w:rsidRPr="00883125" w:rsidRDefault="00B27BE5" w:rsidP="00B27BE5">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B27BE5" w:rsidTr="00B27BE5">
        <w:trPr>
          <w:cantSplit/>
        </w:trPr>
        <w:tc>
          <w:tcPr>
            <w:cnfStyle w:val="001000000000" w:firstRow="0" w:lastRow="0" w:firstColumn="1" w:lastColumn="0" w:oddVBand="0" w:evenVBand="0" w:oddHBand="0" w:evenHBand="0" w:firstRowFirstColumn="0" w:firstRowLastColumn="0" w:lastRowFirstColumn="0" w:lastRowLastColumn="0"/>
            <w:tcW w:w="1101" w:type="dxa"/>
          </w:tcPr>
          <w:p w:rsidR="00B27BE5" w:rsidRPr="00B27BE5" w:rsidRDefault="00B27BE5" w:rsidP="00B27BE5">
            <w:r w:rsidRPr="00883125">
              <w:t>IPART</w:t>
            </w:r>
            <w:r w:rsidRPr="00B27BE5">
              <w:rPr>
                <w:rStyle w:val="FootnoteReference"/>
              </w:rPr>
              <w:footnoteReference w:id="217"/>
            </w:r>
          </w:p>
        </w:tc>
        <w:tc>
          <w:tcPr>
            <w:tcW w:w="1842"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t>Review of imputation credits, final decision</w:t>
            </w:r>
          </w:p>
        </w:tc>
        <w:tc>
          <w:tcPr>
            <w:tcW w:w="709"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2012</w:t>
            </w:r>
          </w:p>
        </w:tc>
        <w:tc>
          <w:tcPr>
            <w:tcW w:w="1768"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0.7</w:t>
            </w:r>
            <w:r w:rsidRPr="00883125">
              <w:t>, using cumulative payout ratio approach</w:t>
            </w:r>
          </w:p>
        </w:tc>
        <w:tc>
          <w:tcPr>
            <w:tcW w:w="1911"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0.35</w:t>
            </w:r>
            <w:r w:rsidRPr="00883125">
              <w:t>, using 2011 version of SFG dividend drop off study</w:t>
            </w:r>
          </w:p>
        </w:tc>
        <w:tc>
          <w:tcPr>
            <w:tcW w:w="1911"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0.25</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B27BE5" w:rsidRPr="00B27BE5" w:rsidRDefault="00B27BE5" w:rsidP="00B27BE5">
            <w:r w:rsidRPr="00883125">
              <w:lastRenderedPageBreak/>
              <w:t>ESC</w:t>
            </w:r>
            <w:r w:rsidRPr="00B27BE5">
              <w:rPr>
                <w:rStyle w:val="AERsuperscript"/>
              </w:rPr>
              <w:footnoteReference w:id="218"/>
            </w:r>
          </w:p>
        </w:tc>
        <w:tc>
          <w:tcPr>
            <w:tcW w:w="1842" w:type="dxa"/>
          </w:tcPr>
          <w:p w:rsidR="00B27BE5" w:rsidRPr="00883125" w:rsidRDefault="00B27BE5" w:rsidP="00B27BE5">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review, greater metropolitan water businesses, final decision</w:t>
            </w:r>
          </w:p>
        </w:tc>
        <w:tc>
          <w:tcPr>
            <w:tcW w:w="709" w:type="dxa"/>
          </w:tcPr>
          <w:p w:rsidR="00B27BE5" w:rsidRPr="00883125" w:rsidRDefault="00B27BE5" w:rsidP="00B27BE5">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2013</w:t>
            </w:r>
          </w:p>
        </w:tc>
        <w:tc>
          <w:tcPr>
            <w:tcW w:w="1768" w:type="dxa"/>
          </w:tcPr>
          <w:p w:rsidR="00B27BE5" w:rsidRPr="00883125" w:rsidRDefault="00B27BE5" w:rsidP="00B27BE5">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B27BE5" w:rsidRPr="00883125" w:rsidRDefault="00B27BE5" w:rsidP="00B27BE5">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B27BE5" w:rsidRPr="00883125" w:rsidRDefault="00B27BE5" w:rsidP="00B27BE5">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rPr>
                <w:rStyle w:val="Strong"/>
              </w:rPr>
              <w:t>0.5</w:t>
            </w:r>
            <w:r w:rsidRPr="00883125">
              <w:t>, based on 2011 guidance</w:t>
            </w:r>
            <w:r w:rsidRPr="00883125">
              <w:rPr>
                <w:rStyle w:val="FootnoteReference"/>
              </w:rPr>
              <w:footnoteReference w:id="219"/>
            </w:r>
          </w:p>
        </w:tc>
      </w:tr>
      <w:tr w:rsidR="00B27BE5" w:rsidTr="00B27BE5">
        <w:trPr>
          <w:cantSplit/>
        </w:trPr>
        <w:tc>
          <w:tcPr>
            <w:cnfStyle w:val="001000000000" w:firstRow="0" w:lastRow="0" w:firstColumn="1" w:lastColumn="0" w:oddVBand="0" w:evenVBand="0" w:oddHBand="0" w:evenHBand="0" w:firstRowFirstColumn="0" w:firstRowLastColumn="0" w:lastRowFirstColumn="0" w:lastRowLastColumn="0"/>
            <w:tcW w:w="1101" w:type="dxa"/>
          </w:tcPr>
          <w:p w:rsidR="00B27BE5" w:rsidRPr="00B27BE5" w:rsidRDefault="00B27BE5" w:rsidP="00B27BE5">
            <w:r w:rsidRPr="00883125">
              <w:t>QCA</w:t>
            </w:r>
            <w:r w:rsidRPr="00B27BE5">
              <w:rPr>
                <w:rStyle w:val="FootnoteReference"/>
              </w:rPr>
              <w:footnoteReference w:id="220"/>
            </w:r>
            <w:r w:rsidRPr="00B27BE5">
              <w:t xml:space="preserve">  </w:t>
            </w:r>
          </w:p>
        </w:tc>
        <w:tc>
          <w:tcPr>
            <w:tcW w:w="1842"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Cost of capital market parameters, final decision</w:t>
            </w:r>
          </w:p>
        </w:tc>
        <w:tc>
          <w:tcPr>
            <w:tcW w:w="709"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2014</w:t>
            </w:r>
          </w:p>
        </w:tc>
        <w:tc>
          <w:tcPr>
            <w:tcW w:w="1768"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0.84</w:t>
            </w:r>
            <w:r w:rsidRPr="00883125">
              <w:t>, using the financial statements of 20 largest ASX-listed companies</w:t>
            </w:r>
          </w:p>
        </w:tc>
        <w:tc>
          <w:tcPr>
            <w:tcW w:w="1911"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0.56</w:t>
            </w:r>
            <w:r w:rsidRPr="00883125">
              <w:t>, based primarily on the domestic ownership share of listed equity</w:t>
            </w:r>
          </w:p>
        </w:tc>
        <w:tc>
          <w:tcPr>
            <w:tcW w:w="1911"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0.47</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B27BE5" w:rsidRPr="00883125" w:rsidRDefault="00B27BE5" w:rsidP="00B27BE5">
            <w:pPr>
              <w:numPr>
                <w:ilvl w:val="0"/>
                <w:numId w:val="24"/>
              </w:numPr>
            </w:pPr>
            <w:r w:rsidRPr="00883125">
              <w:t>ERA</w:t>
            </w:r>
            <w:r w:rsidRPr="00883125">
              <w:rPr>
                <w:rStyle w:val="FootnoteReference"/>
              </w:rPr>
              <w:footnoteReference w:id="221"/>
            </w:r>
            <w:r w:rsidRPr="00883125">
              <w:t xml:space="preserve">  </w:t>
            </w:r>
          </w:p>
        </w:tc>
        <w:tc>
          <w:tcPr>
            <w:tcW w:w="1842" w:type="dxa"/>
          </w:tcPr>
          <w:p w:rsidR="00B27BE5" w:rsidRPr="00883125" w:rsidRDefault="00B27BE5" w:rsidP="00B27BE5">
            <w:pPr>
              <w:numPr>
                <w:ilvl w:val="0"/>
                <w:numId w:val="24"/>
              </w:numPr>
              <w:cnfStyle w:val="000000010000" w:firstRow="0" w:lastRow="0" w:firstColumn="0" w:lastColumn="0" w:oddVBand="0" w:evenVBand="0" w:oddHBand="0" w:evenHBand="1" w:firstRowFirstColumn="0" w:firstRowLastColumn="0" w:lastRowFirstColumn="0" w:lastRowLastColumn="0"/>
            </w:pPr>
            <w:r w:rsidRPr="00883125">
              <w:t xml:space="preserve">Review of rate of return estimation for rail networks, revised draft determination </w:t>
            </w:r>
          </w:p>
        </w:tc>
        <w:tc>
          <w:tcPr>
            <w:tcW w:w="709" w:type="dxa"/>
          </w:tcPr>
          <w:p w:rsidR="00B27BE5" w:rsidRPr="00883125" w:rsidRDefault="00B27BE5" w:rsidP="00B27BE5">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2014</w:t>
            </w:r>
          </w:p>
        </w:tc>
        <w:tc>
          <w:tcPr>
            <w:tcW w:w="1768" w:type="dxa"/>
          </w:tcPr>
          <w:p w:rsidR="00B27BE5" w:rsidRPr="00883125" w:rsidRDefault="00B27BE5" w:rsidP="00B27BE5">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0.7</w:t>
            </w:r>
            <w:r w:rsidRPr="00883125">
              <w:t>, using cumulative payout ratio approach</w:t>
            </w:r>
          </w:p>
        </w:tc>
        <w:tc>
          <w:tcPr>
            <w:tcW w:w="1911" w:type="dxa"/>
          </w:tcPr>
          <w:p w:rsidR="00B27BE5" w:rsidRPr="00883125" w:rsidRDefault="00B27BE5" w:rsidP="00B27BE5">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0.7</w:t>
            </w:r>
            <w:r w:rsidRPr="00883125">
              <w:t>, most weight to simple domestic ownership share of all equity, some weight to conceptual goalposts approach, low weight to tax statistics and dividend drop off studies</w:t>
            </w:r>
          </w:p>
        </w:tc>
        <w:tc>
          <w:tcPr>
            <w:tcW w:w="1911" w:type="dxa"/>
          </w:tcPr>
          <w:p w:rsidR="00B27BE5" w:rsidRPr="00883125" w:rsidRDefault="00B27BE5" w:rsidP="00B27BE5">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0.5</w:t>
            </w:r>
          </w:p>
        </w:tc>
      </w:tr>
      <w:tr w:rsidR="00B27BE5" w:rsidTr="00B27BE5">
        <w:trPr>
          <w:cantSplit/>
        </w:trPr>
        <w:tc>
          <w:tcPr>
            <w:cnfStyle w:val="001000000000" w:firstRow="0" w:lastRow="0" w:firstColumn="1" w:lastColumn="0" w:oddVBand="0" w:evenVBand="0" w:oddHBand="0" w:evenHBand="0" w:firstRowFirstColumn="0" w:firstRowLastColumn="0" w:lastRowFirstColumn="0" w:lastRowLastColumn="0"/>
            <w:tcW w:w="1101" w:type="dxa"/>
          </w:tcPr>
          <w:p w:rsidR="00B27BE5" w:rsidRPr="00883125" w:rsidRDefault="00B27BE5" w:rsidP="00B27BE5">
            <w:pPr>
              <w:numPr>
                <w:ilvl w:val="0"/>
                <w:numId w:val="24"/>
              </w:numPr>
            </w:pPr>
            <w:r w:rsidRPr="00883125">
              <w:t>ACCC</w:t>
            </w:r>
            <w:r w:rsidRPr="00883125">
              <w:rPr>
                <w:rStyle w:val="FootnoteReference"/>
              </w:rPr>
              <w:footnoteReference w:id="222"/>
            </w:r>
            <w:r w:rsidRPr="00883125">
              <w:t xml:space="preserve"> </w:t>
            </w:r>
          </w:p>
        </w:tc>
        <w:tc>
          <w:tcPr>
            <w:tcW w:w="1842"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t>Fixed line services (telecommunications), draft decision on access determination</w:t>
            </w:r>
          </w:p>
        </w:tc>
        <w:tc>
          <w:tcPr>
            <w:tcW w:w="709"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2015</w:t>
            </w:r>
          </w:p>
        </w:tc>
        <w:tc>
          <w:tcPr>
            <w:tcW w:w="1768"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0.45</w:t>
            </w:r>
            <w:r w:rsidRPr="00883125">
              <w:t>, set for consistency with previous ACCC decisions, but with regard to a range of recent evidence, including firm specific factors</w:t>
            </w:r>
          </w:p>
        </w:tc>
      </w:tr>
    </w:tbl>
    <w:p w:rsidR="00B27BE5" w:rsidRPr="00883125" w:rsidRDefault="00B27BE5" w:rsidP="00B27BE5">
      <w:pPr>
        <w:pStyle w:val="AERtablesource"/>
      </w:pPr>
      <w:r w:rsidRPr="00883125">
        <w:t>Source:</w:t>
      </w:r>
      <w:r w:rsidRPr="00883125">
        <w:tab/>
        <w:t>As specified in table.</w:t>
      </w:r>
    </w:p>
    <w:p w:rsidR="00B27BE5" w:rsidRPr="00883125" w:rsidRDefault="00B27BE5" w:rsidP="00B27BE5">
      <w:r w:rsidRPr="00883125">
        <w:t xml:space="preserve">Conceptually,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w:t>
      </w:r>
      <w:r w:rsidRPr="00883125">
        <w:lastRenderedPageBreak/>
        <w:t>the lack of consensus among experts, this is perhaps not surprising. Our final decision value of imputation credits of 0.4 sits within the range adopted by regulators.</w:t>
      </w:r>
    </w:p>
    <w:p w:rsidR="00B27BE5" w:rsidRPr="00883125" w:rsidRDefault="00B27BE5" w:rsidP="00B27BE5">
      <w:pPr>
        <w:pStyle w:val="Heading8"/>
      </w:pPr>
      <w:bookmarkStart w:id="97" w:name="_Toc436049444"/>
      <w:bookmarkStart w:id="98" w:name="_Toc451928277"/>
      <w:r w:rsidRPr="00883125">
        <w:t>Previous Australian Competition Tribunal considerations</w:t>
      </w:r>
      <w:bookmarkEnd w:id="97"/>
      <w:bookmarkEnd w:id="98"/>
    </w:p>
    <w:p w:rsidR="00B27BE5" w:rsidRPr="00883125" w:rsidRDefault="00B27BE5" w:rsidP="00B27BE5">
      <w:pPr>
        <w:numPr>
          <w:ilvl w:val="0"/>
          <w:numId w:val="24"/>
        </w:numPr>
      </w:pPr>
      <w:r w:rsidRPr="00883125">
        <w:t>The Australian Competition Tribunal has considered in detail the value of imputation credits (gamma) in four proceedings since 2010, relating to applications by:</w:t>
      </w:r>
    </w:p>
    <w:p w:rsidR="00B27BE5" w:rsidRPr="00883125" w:rsidRDefault="00B27BE5" w:rsidP="00B27BE5">
      <w:pPr>
        <w:pStyle w:val="AERbulletlistfirststyle"/>
        <w:rPr>
          <w:rStyle w:val="CommentReference"/>
        </w:rPr>
      </w:pPr>
      <w:r w:rsidRPr="00883125">
        <w:t>ActewAGL Distribution, Ausgrid, Endeavour Energy, Essential Energy and Jemena Gas Networks</w:t>
      </w:r>
      <w:r w:rsidRPr="00883125" w:rsidDel="00C2259D">
        <w:rPr>
          <w:rStyle w:val="CommentReference"/>
        </w:rPr>
        <w:t xml:space="preserve"> </w:t>
      </w:r>
    </w:p>
    <w:p w:rsidR="00B27BE5" w:rsidRPr="00883125" w:rsidRDefault="00B27BE5" w:rsidP="00B27BE5">
      <w:pPr>
        <w:pStyle w:val="AERbulletlistfirststyle"/>
      </w:pPr>
      <w:r w:rsidRPr="00883125">
        <w:t>Energex Limited</w:t>
      </w:r>
    </w:p>
    <w:p w:rsidR="00B27BE5" w:rsidRPr="00883125" w:rsidRDefault="00B27BE5" w:rsidP="00B27BE5">
      <w:pPr>
        <w:pStyle w:val="AERbulletlistfirststyle"/>
      </w:pPr>
      <w:r w:rsidRPr="00883125">
        <w:t>DBNGP (WA) Transmission Pty Ltd, and</w:t>
      </w:r>
    </w:p>
    <w:p w:rsidR="00B27BE5" w:rsidRPr="00883125" w:rsidRDefault="00B27BE5" w:rsidP="00B27BE5">
      <w:pPr>
        <w:pStyle w:val="AERbulletlistfirststyle"/>
      </w:pPr>
      <w:r w:rsidRPr="00883125">
        <w:t>WA Gas Networks Pty Ltd.</w:t>
      </w:r>
    </w:p>
    <w:p w:rsidR="00B27BE5" w:rsidRPr="00883125" w:rsidRDefault="00B27BE5" w:rsidP="00B27BE5">
      <w:pPr>
        <w:numPr>
          <w:ilvl w:val="0"/>
          <w:numId w:val="24"/>
        </w:numPr>
      </w:pPr>
      <w:r w:rsidRPr="00883125">
        <w:t>The Tribunal's comments in each case referred to the lack of expert consensus regarding the value of imputation credits and the scope that existed for future assessments of the evidence. We discuss these comments further in the sections below.</w:t>
      </w:r>
    </w:p>
    <w:p w:rsidR="00B27BE5" w:rsidRPr="00883125" w:rsidRDefault="00B27BE5" w:rsidP="00B27BE5">
      <w:pPr>
        <w:pStyle w:val="Heading9"/>
      </w:pPr>
      <w:bookmarkStart w:id="99" w:name="_Ref451813952"/>
      <w:r w:rsidRPr="00883125">
        <w:t>ActewAGL Distribution, Ausgrid, Endeavour Energy, Essential Energy and Jemena Gas Networks</w:t>
      </w:r>
      <w:bookmarkEnd w:id="99"/>
      <w:r w:rsidRPr="00883125">
        <w:t xml:space="preserve"> </w:t>
      </w:r>
    </w:p>
    <w:p w:rsidR="00B27BE5" w:rsidRPr="00883125" w:rsidRDefault="00B27BE5" w:rsidP="00B27BE5">
      <w:r w:rsidRPr="00883125">
        <w:t>In April and June 2015 we released our final decisions for ActewAGL Distribution, Ausgrid, Endeavour Energy, Essential Energy and Jemena Gas Networks. In these decisions, we adopted a gamma estimate of 0.4.</w:t>
      </w:r>
    </w:p>
    <w:p w:rsidR="00B27BE5" w:rsidRPr="00B27BE5" w:rsidRDefault="00B27BE5" w:rsidP="00B27BE5">
      <w:r w:rsidRPr="00883125">
        <w:t xml:space="preserve">ActewAGL Distribution, Ausgrid, Endeavour Energy, Essential Energy and Jemena Gas Networks </w:t>
      </w:r>
      <w:r w:rsidRPr="00B27BE5">
        <w:t>successfully sought review of these final decisions by the Australian Competition Tribunal.</w:t>
      </w:r>
      <w:r w:rsidR="00D422E4">
        <w:rPr>
          <w:rStyle w:val="FootnoteReference"/>
        </w:rPr>
        <w:footnoteReference w:id="223"/>
      </w:r>
      <w:r w:rsidRPr="00B27BE5">
        <w:t xml:space="preserve"> The Tribunal set aside </w:t>
      </w:r>
      <w:r w:rsidR="00D422E4">
        <w:t>our</w:t>
      </w:r>
      <w:r w:rsidRPr="00B27BE5">
        <w:t xml:space="preserve"> decision</w:t>
      </w:r>
      <w:r w:rsidR="00D422E4">
        <w:t>s</w:t>
      </w:r>
      <w:r w:rsidRPr="00B27BE5">
        <w:t xml:space="preserve"> and </w:t>
      </w:r>
      <w:r w:rsidR="00D422E4">
        <w:t>has</w:t>
      </w:r>
      <w:r w:rsidR="00D422E4" w:rsidRPr="00B27BE5">
        <w:t xml:space="preserve"> </w:t>
      </w:r>
      <w:r w:rsidRPr="00B27BE5">
        <w:t xml:space="preserve">remitted the matter back to </w:t>
      </w:r>
      <w:r w:rsidR="00D422E4">
        <w:t>us</w:t>
      </w:r>
      <w:r w:rsidRPr="00B27BE5">
        <w:t xml:space="preserve"> to remake the decision using a gamma value of 0.25. </w:t>
      </w:r>
      <w:r w:rsidR="00D422E4">
        <w:t>T</w:t>
      </w:r>
      <w:r w:rsidRPr="00B27BE5">
        <w:t xml:space="preserve">he </w:t>
      </w:r>
      <w:r w:rsidR="00D422E4">
        <w:t>T</w:t>
      </w:r>
      <w:r w:rsidRPr="00B27BE5">
        <w:t>ribunal considered the appropriate distribution rate to use is 0.7 based on a value from all equity</w:t>
      </w:r>
      <w:r w:rsidR="00D422E4">
        <w:t>. It also</w:t>
      </w:r>
      <w:r w:rsidRPr="00B27BE5">
        <w:t xml:space="preserve"> considered it was appropriate to use market based studies to solely estimate the value of distributed imputation credits (</w:t>
      </w:r>
      <w:r w:rsidR="00D422E4">
        <w:t xml:space="preserve">also known as the utilisation rate, </w:t>
      </w:r>
      <w:r w:rsidRPr="00B27BE5">
        <w:t xml:space="preserve">or theta). </w:t>
      </w:r>
    </w:p>
    <w:p w:rsidR="00B27BE5" w:rsidRPr="008F5D24" w:rsidRDefault="00B27BE5">
      <w:r w:rsidRPr="008F5D24">
        <w:t xml:space="preserve">In reaching its position, the Tribunal expressed views on the important factors in its decisions. The Tribunals views and </w:t>
      </w:r>
      <w:r w:rsidR="00D422E4" w:rsidRPr="008F5D24">
        <w:t xml:space="preserve">our </w:t>
      </w:r>
      <w:r w:rsidRPr="008F5D24">
        <w:t xml:space="preserve">initial response is summarised in </w:t>
      </w:r>
      <w:r w:rsidR="00D422E4" w:rsidRPr="00C43CF0">
        <w:fldChar w:fldCharType="begin"/>
      </w:r>
      <w:r w:rsidR="00D422E4" w:rsidRPr="008F5D24">
        <w:instrText xml:space="preserve"> REF  _Ref450040370 \* Lower \h  \* MERGEFORMAT </w:instrText>
      </w:r>
      <w:r w:rsidR="00D422E4" w:rsidRPr="00C43CF0">
        <w:fldChar w:fldCharType="separate"/>
      </w:r>
      <w:r w:rsidR="00881794" w:rsidRPr="005764F6">
        <w:t xml:space="preserve">table </w:t>
      </w:r>
      <w:r w:rsidR="00881794">
        <w:t>4</w:t>
      </w:r>
      <w:r w:rsidR="00881794" w:rsidRPr="005764F6">
        <w:noBreakHyphen/>
      </w:r>
      <w:r w:rsidR="00881794">
        <w:t>8</w:t>
      </w:r>
      <w:r w:rsidR="00D422E4" w:rsidRPr="00C43CF0">
        <w:fldChar w:fldCharType="end"/>
      </w:r>
      <w:r w:rsidRPr="008F5D24">
        <w:t xml:space="preserve"> below.</w:t>
      </w:r>
      <w:r w:rsidR="00BF55C8" w:rsidRPr="008F5D24">
        <w:t xml:space="preserve"> However, we note that at this time, we have not completed the remittal of our final decisions for the above-mentioned service providers.</w:t>
      </w:r>
    </w:p>
    <w:p w:rsidR="00B27BE5" w:rsidRPr="00883125" w:rsidRDefault="00B27BE5" w:rsidP="00B27BE5"/>
    <w:p w:rsidR="00B27BE5" w:rsidRPr="00883125" w:rsidRDefault="00B27BE5" w:rsidP="00B27BE5">
      <w:pPr>
        <w:sectPr w:rsidR="00B27BE5" w:rsidRPr="00883125" w:rsidSect="00ED4FB6">
          <w:footerReference w:type="even" r:id="rId12"/>
          <w:footerReference w:type="default" r:id="rId13"/>
          <w:pgSz w:w="11906" w:h="16838"/>
          <w:pgMar w:top="1440" w:right="1440" w:bottom="1440" w:left="1440" w:header="708" w:footer="708" w:gutter="0"/>
          <w:pgNumType w:chapStyle="1"/>
          <w:cols w:space="708"/>
          <w:docGrid w:linePitch="360"/>
        </w:sectPr>
      </w:pPr>
    </w:p>
    <w:p w:rsidR="00B27BE5" w:rsidRPr="005764F6" w:rsidRDefault="00B27BE5">
      <w:pPr>
        <w:pStyle w:val="Tabletitle"/>
      </w:pPr>
      <w:bookmarkStart w:id="100" w:name="_Ref450040370"/>
      <w:r w:rsidRPr="005764F6">
        <w:lastRenderedPageBreak/>
        <w:t xml:space="preserve">Table </w:t>
      </w:r>
      <w:r w:rsidR="004B4BF3">
        <w:fldChar w:fldCharType="begin"/>
      </w:r>
      <w:r w:rsidR="004B4BF3">
        <w:instrText xml:space="preserve"> STYLEREF 1 \s </w:instrText>
      </w:r>
      <w:r w:rsidR="004B4BF3">
        <w:fldChar w:fldCharType="separate"/>
      </w:r>
      <w:r w:rsidR="00881794">
        <w:rPr>
          <w:noProof/>
        </w:rPr>
        <w:t>4</w:t>
      </w:r>
      <w:r w:rsidR="004B4BF3">
        <w:rPr>
          <w:noProof/>
        </w:rPr>
        <w:fldChar w:fldCharType="end"/>
      </w:r>
      <w:r w:rsidRPr="005764F6">
        <w:noBreakHyphen/>
      </w:r>
      <w:r w:rsidR="004B4BF3">
        <w:fldChar w:fldCharType="begin"/>
      </w:r>
      <w:r w:rsidR="004B4BF3">
        <w:instrText xml:space="preserve"> SEQ Table \* ARABIC \s 1 </w:instrText>
      </w:r>
      <w:r w:rsidR="004B4BF3">
        <w:fldChar w:fldCharType="separate"/>
      </w:r>
      <w:r w:rsidR="00881794">
        <w:rPr>
          <w:noProof/>
        </w:rPr>
        <w:t>8</w:t>
      </w:r>
      <w:r w:rsidR="004B4BF3">
        <w:rPr>
          <w:noProof/>
        </w:rPr>
        <w:fldChar w:fldCharType="end"/>
      </w:r>
      <w:bookmarkEnd w:id="100"/>
      <w:r w:rsidRPr="005764F6">
        <w:tab/>
        <w:t>Australian Competition Tribunal's observations on imputation credits in ActewAGL Distribution, Ausgrid, Endeavour Energy, Essential Energy and Jemena Gas Networks matter</w:t>
      </w:r>
    </w:p>
    <w:tbl>
      <w:tblPr>
        <w:tblStyle w:val="AERtable-text0"/>
        <w:tblW w:w="5000" w:type="pct"/>
        <w:tblLook w:val="04A0" w:firstRow="1" w:lastRow="0" w:firstColumn="1" w:lastColumn="0" w:noHBand="0" w:noVBand="1"/>
      </w:tblPr>
      <w:tblGrid>
        <w:gridCol w:w="2222"/>
        <w:gridCol w:w="6438"/>
        <w:gridCol w:w="5514"/>
      </w:tblGrid>
      <w:tr w:rsidR="00B27BE5" w:rsidTr="00164D25">
        <w:trPr>
          <w:cnfStyle w:val="100000000000" w:firstRow="1" w:lastRow="0" w:firstColumn="0" w:lastColumn="0" w:oddVBand="0" w:evenVBand="0" w:oddHBand="0" w:evenHBand="0" w:firstRowFirstColumn="0" w:firstRowLastColumn="0" w:lastRowFirstColumn="0" w:lastRowLastColumn="0"/>
          <w:tblHeader/>
        </w:trPr>
        <w:tc>
          <w:tcPr>
            <w:tcW w:w="784" w:type="pct"/>
          </w:tcPr>
          <w:p w:rsidR="00B27BE5" w:rsidRPr="00B27BE5" w:rsidRDefault="00B27BE5" w:rsidP="00B27BE5">
            <w:r w:rsidRPr="00883125">
              <w:t>Issue</w:t>
            </w:r>
          </w:p>
        </w:tc>
        <w:tc>
          <w:tcPr>
            <w:tcW w:w="2271" w:type="pct"/>
          </w:tcPr>
          <w:p w:rsidR="00B27BE5" w:rsidRPr="00B27BE5" w:rsidRDefault="00B27BE5" w:rsidP="00B27BE5">
            <w:r w:rsidRPr="00883125">
              <w:t>Tribunal comments</w:t>
            </w:r>
          </w:p>
        </w:tc>
        <w:tc>
          <w:tcPr>
            <w:tcW w:w="1945" w:type="pct"/>
          </w:tcPr>
          <w:p w:rsidR="00B27BE5" w:rsidRPr="00B27BE5" w:rsidRDefault="00B27BE5" w:rsidP="00B27BE5">
            <w:r w:rsidRPr="00883125">
              <w:t xml:space="preserve">AER </w:t>
            </w:r>
            <w:r w:rsidR="00BF55C8">
              <w:t xml:space="preserve">initial </w:t>
            </w:r>
            <w:r w:rsidRPr="00883125">
              <w:t>comments</w:t>
            </w:r>
          </w:p>
        </w:tc>
      </w:tr>
      <w:tr w:rsidR="00B27BE5" w:rsidTr="00BF55C8">
        <w:tc>
          <w:tcPr>
            <w:tcW w:w="784" w:type="pct"/>
          </w:tcPr>
          <w:p w:rsidR="00B27BE5" w:rsidRPr="00B27BE5" w:rsidRDefault="00B27BE5" w:rsidP="00B27BE5">
            <w:r w:rsidRPr="00883125">
              <w:t>The conceptual framework for gamma</w:t>
            </w:r>
          </w:p>
        </w:tc>
        <w:tc>
          <w:tcPr>
            <w:tcW w:w="2271" w:type="pct"/>
          </w:tcPr>
          <w:p w:rsidR="00B27BE5" w:rsidRPr="00B27BE5" w:rsidRDefault="00B27BE5" w:rsidP="00B27BE5">
            <w:r w:rsidRPr="00883125">
              <w:t xml:space="preserve">By placing </w:t>
            </w:r>
            <w:r w:rsidRPr="00B27BE5">
              <w:t>most reliance on the equity ownership approach and effectively defining the utilisation value as the proportion of distributed imputation credits available for redemption, the AER has adopted a conceptual approach to gamma that redefines it as the value of imputation credits that are available for redemption.</w:t>
            </w:r>
            <w:r w:rsidRPr="00B27BE5">
              <w:rPr>
                <w:rStyle w:val="FootnoteReference"/>
              </w:rPr>
              <w:footnoteReference w:id="224"/>
            </w:r>
            <w:r w:rsidRPr="00B27BE5">
              <w:t xml:space="preserve"> This is inconsistent with the concept of gamma in the Officer Framework for the WACC which underlines the Rules, and with the objective of ensuring a market rate of return on equity by making an adjustment to the revenue allowance for taxation to account for imputation credits.</w:t>
            </w:r>
            <w:r w:rsidRPr="00B27BE5">
              <w:rPr>
                <w:rStyle w:val="FootnoteReference"/>
              </w:rPr>
              <w:footnoteReference w:id="225"/>
            </w:r>
          </w:p>
          <w:p w:rsidR="00B27BE5" w:rsidRPr="00B27BE5" w:rsidRDefault="00B27BE5" w:rsidP="00B27BE5">
            <w:r w:rsidRPr="00883125">
              <w:t xml:space="preserve">It </w:t>
            </w:r>
            <w:r w:rsidR="00E45432">
              <w:t>did</w:t>
            </w:r>
            <w:r w:rsidR="00E45432" w:rsidRPr="00883125">
              <w:t xml:space="preserve"> </w:t>
            </w:r>
            <w:r w:rsidRPr="00883125">
              <w:t>not accept the AER's approach that imputation credits are values at their claimable amount or face value. The value is not what can be claimed or utilised, but what is claimed or utilised as demonstrated by the behaviour of the shareholder recipients of the imputation credits.</w:t>
            </w:r>
            <w:r w:rsidRPr="00B27BE5">
              <w:rPr>
                <w:rStyle w:val="FootnoteReference"/>
              </w:rPr>
              <w:footnoteReference w:id="226"/>
            </w:r>
          </w:p>
          <w:p w:rsidR="00B27BE5" w:rsidRPr="00B27BE5" w:rsidRDefault="00B27BE5" w:rsidP="00B27BE5">
            <w:r w:rsidRPr="00883125">
              <w:t xml:space="preserve">Handley's extension of the Officer Framework does not appear to present an empirically robust and internally consistent explanation for the link </w:t>
            </w:r>
            <w:r w:rsidRPr="00B27BE5">
              <w:t>between the existence of imputation credit</w:t>
            </w:r>
            <w:r w:rsidR="00BF55C8">
              <w:t>s</w:t>
            </w:r>
            <w:r w:rsidRPr="00B27BE5">
              <w:t xml:space="preserve"> and the applicability of the vanilla WACC.</w:t>
            </w:r>
            <w:r w:rsidRPr="00B27BE5">
              <w:rPr>
                <w:rStyle w:val="FootnoteReference"/>
              </w:rPr>
              <w:footnoteReference w:id="227"/>
            </w:r>
          </w:p>
        </w:tc>
        <w:tc>
          <w:tcPr>
            <w:tcW w:w="1945" w:type="pct"/>
          </w:tcPr>
          <w:p w:rsidR="00B27BE5" w:rsidRPr="00B27BE5" w:rsidRDefault="00B27BE5" w:rsidP="00B27BE5">
            <w:r w:rsidRPr="00883125">
              <w:t>In developing the Guideline, we re-evaluated the conceptual framework for the value of imputation credits</w:t>
            </w:r>
            <w:r w:rsidR="00BF55C8">
              <w:t xml:space="preserve"> in consultation with stakeholders</w:t>
            </w:r>
            <w:r w:rsidRPr="00883125">
              <w:t xml:space="preserve">. In making this final decision, we have built on this re-evaluation. We discuss the role of the value of imputation credits and the underlying conceptual framework in sections </w:t>
            </w:r>
            <w:r w:rsidRPr="00B27BE5">
              <w:fldChar w:fldCharType="begin"/>
            </w:r>
            <w:r w:rsidRPr="00B27BE5">
              <w:instrText xml:space="preserve"> REF _Ref415144114 \r \h  \* MERGEFORMAT </w:instrText>
            </w:r>
            <w:r w:rsidRPr="00B27BE5">
              <w:fldChar w:fldCharType="separate"/>
            </w:r>
            <w:r w:rsidR="00881794">
              <w:t>A.5</w:t>
            </w:r>
            <w:r w:rsidRPr="00B27BE5">
              <w:fldChar w:fldCharType="end"/>
            </w:r>
            <w:r w:rsidRPr="00B27BE5">
              <w:t xml:space="preserve"> and </w:t>
            </w:r>
            <w:r w:rsidRPr="00B27BE5">
              <w:fldChar w:fldCharType="begin"/>
            </w:r>
            <w:r w:rsidRPr="00B27BE5">
              <w:instrText xml:space="preserve"> REF _Ref400965182 \r \h  \* MERGEFORMAT </w:instrText>
            </w:r>
            <w:r w:rsidRPr="00B27BE5">
              <w:fldChar w:fldCharType="separate"/>
            </w:r>
            <w:r w:rsidR="00881794">
              <w:t>A.6</w:t>
            </w:r>
            <w:r w:rsidRPr="00B27BE5">
              <w:fldChar w:fldCharType="end"/>
            </w:r>
            <w:r w:rsidRPr="00B27BE5">
              <w:t>.</w:t>
            </w:r>
          </w:p>
          <w:p w:rsidR="00B27BE5" w:rsidRPr="00B27BE5" w:rsidRDefault="00BF55C8" w:rsidP="00B27BE5">
            <w:r>
              <w:t>We</w:t>
            </w:r>
            <w:r w:rsidR="00B27BE5" w:rsidRPr="00883125">
              <w:t xml:space="preserve"> consider the face value of imputation credits is the most approp</w:t>
            </w:r>
            <w:r w:rsidR="00B27BE5" w:rsidRPr="00B27BE5">
              <w:t xml:space="preserve">riate measure and is consistent with the </w:t>
            </w:r>
            <w:r>
              <w:t>O</w:t>
            </w:r>
            <w:r w:rsidR="00B27BE5" w:rsidRPr="00B27BE5">
              <w:t xml:space="preserve">fficer framework. </w:t>
            </w:r>
            <w:r>
              <w:t>We</w:t>
            </w:r>
            <w:r w:rsidR="00B27BE5" w:rsidRPr="00B27BE5">
              <w:t xml:space="preserve"> consider it uses market values only where it is appropriate to do so and some other parameters used by </w:t>
            </w:r>
            <w:r>
              <w:t>us</w:t>
            </w:r>
            <w:r w:rsidR="00B27BE5" w:rsidRPr="00B27BE5">
              <w:t xml:space="preserve"> are also based on face values. For instance, when estimating the MRP </w:t>
            </w:r>
            <w:r>
              <w:t>we</w:t>
            </w:r>
            <w:r w:rsidR="00B27BE5" w:rsidRPr="00B27BE5">
              <w:t xml:space="preserve"> use the face value of dividends. Similarly, when estimating the yield to maturity for the </w:t>
            </w:r>
            <w:r>
              <w:t>return on</w:t>
            </w:r>
            <w:r w:rsidR="00B27BE5" w:rsidRPr="00B27BE5">
              <w:t xml:space="preserve"> debt and the risk free rate</w:t>
            </w:r>
            <w:r w:rsidR="00FC0D36">
              <w:t>,</w:t>
            </w:r>
            <w:r w:rsidR="00B27BE5" w:rsidRPr="00B27BE5">
              <w:t xml:space="preserve"> the face value of the coupon payment and the face value of the principal is used.</w:t>
            </w:r>
          </w:p>
          <w:p w:rsidR="00B27BE5" w:rsidRPr="00B27BE5" w:rsidRDefault="00B27BE5" w:rsidP="00B27BE5">
            <w:r w:rsidRPr="00883125">
              <w:t xml:space="preserve">The </w:t>
            </w:r>
            <w:r w:rsidR="00BF55C8">
              <w:t>O</w:t>
            </w:r>
            <w:r w:rsidRPr="00883125">
              <w:t xml:space="preserve">fficer </w:t>
            </w:r>
            <w:r w:rsidRPr="00B27BE5">
              <w:t>framework is based on a post</w:t>
            </w:r>
            <w:r w:rsidR="00BF55C8">
              <w:t>-</w:t>
            </w:r>
            <w:r w:rsidRPr="00B27BE5">
              <w:t xml:space="preserve">company tax and pre-personal tax framework. In order to be consistent with the </w:t>
            </w:r>
            <w:r w:rsidR="00BF55C8">
              <w:t>O</w:t>
            </w:r>
            <w:r w:rsidRPr="00B27BE5">
              <w:t>ffice</w:t>
            </w:r>
            <w:r w:rsidR="00FC0D36">
              <w:t>r</w:t>
            </w:r>
            <w:r w:rsidRPr="00B27BE5">
              <w:t xml:space="preserve"> framework</w:t>
            </w:r>
            <w:r w:rsidR="00FC0D36">
              <w:t>,</w:t>
            </w:r>
            <w:r w:rsidRPr="00B27BE5">
              <w:t xml:space="preserve"> all parameters need to be </w:t>
            </w:r>
            <w:r w:rsidR="00FC0D36">
              <w:t xml:space="preserve">estimated </w:t>
            </w:r>
            <w:r w:rsidRPr="00B27BE5">
              <w:t xml:space="preserve">on a pre-personal tax basis. The face value of imputation credits, dividends and debt coupon payments are the pre-personal tax values as personal tax rates are levied on </w:t>
            </w:r>
            <w:r w:rsidR="002809AA">
              <w:t>these</w:t>
            </w:r>
            <w:r w:rsidR="002809AA" w:rsidRPr="00B27BE5">
              <w:t xml:space="preserve"> </w:t>
            </w:r>
            <w:r w:rsidRPr="00B27BE5">
              <w:t xml:space="preserve">values. Similarly, the </w:t>
            </w:r>
            <w:r w:rsidR="003309BD">
              <w:t xml:space="preserve">returns calculated from the </w:t>
            </w:r>
            <w:r w:rsidRPr="00B27BE5">
              <w:t>market value</w:t>
            </w:r>
            <w:r w:rsidR="003309BD">
              <w:t>s</w:t>
            </w:r>
            <w:r w:rsidRPr="00B27BE5">
              <w:t xml:space="preserve"> of equity prices and debt prices are pre-personal tax values as the personal capital gains tax is levied on </w:t>
            </w:r>
            <w:r w:rsidR="002809AA">
              <w:t>these</w:t>
            </w:r>
            <w:r w:rsidR="002809AA" w:rsidRPr="00B27BE5">
              <w:t xml:space="preserve"> </w:t>
            </w:r>
            <w:r w:rsidR="003309BD">
              <w:t>returns</w:t>
            </w:r>
            <w:r w:rsidRPr="00B27BE5">
              <w:t>.</w:t>
            </w:r>
          </w:p>
          <w:p w:rsidR="00B27BE5" w:rsidRPr="00B27BE5" w:rsidRDefault="00B27BE5" w:rsidP="008337C2">
            <w:r w:rsidRPr="00883125">
              <w:t>However, t</w:t>
            </w:r>
            <w:r w:rsidRPr="00B27BE5">
              <w:t xml:space="preserve">he dividend drop off imputation credit estimate is neither a pre-personal tax nor a post-personal tax estimate. As a result, this estimate </w:t>
            </w:r>
            <w:r w:rsidR="002809AA">
              <w:t>(</w:t>
            </w:r>
            <w:r w:rsidR="008337C2">
              <w:t>absent adjustment</w:t>
            </w:r>
            <w:r w:rsidR="002809AA">
              <w:t>)</w:t>
            </w:r>
            <w:r w:rsidR="008337C2">
              <w:t xml:space="preserve"> </w:t>
            </w:r>
            <w:r w:rsidRPr="00B27BE5">
              <w:t>cannot be used</w:t>
            </w:r>
            <w:r w:rsidR="008337C2">
              <w:t xml:space="preserve"> at all</w:t>
            </w:r>
            <w:r w:rsidRPr="00B27BE5">
              <w:t xml:space="preserve"> in </w:t>
            </w:r>
            <w:r w:rsidR="008337C2">
              <w:t>our</w:t>
            </w:r>
            <w:r w:rsidRPr="00B27BE5">
              <w:t xml:space="preserve"> regulatory context as it is </w:t>
            </w:r>
            <w:r w:rsidRPr="00B27BE5">
              <w:lastRenderedPageBreak/>
              <w:t xml:space="preserve">inconsistent with the </w:t>
            </w:r>
            <w:r w:rsidR="008337C2">
              <w:t>post-tax O</w:t>
            </w:r>
            <w:r w:rsidRPr="00B27BE5">
              <w:t xml:space="preserve">fficer framework. This is further discussed in section </w:t>
            </w:r>
            <w:r w:rsidRPr="00B27BE5">
              <w:fldChar w:fldCharType="begin"/>
            </w:r>
            <w:r w:rsidRPr="00B27BE5">
              <w:instrText xml:space="preserve"> REF _Ref435171205 \r \h </w:instrText>
            </w:r>
            <w:r w:rsidR="00BF55C8">
              <w:instrText xml:space="preserve"> \* MERGEFORMAT </w:instrText>
            </w:r>
            <w:r w:rsidRPr="00B27BE5">
              <w:fldChar w:fldCharType="separate"/>
            </w:r>
            <w:r w:rsidR="00881794">
              <w:t>A.15.3</w:t>
            </w:r>
            <w:r w:rsidRPr="00B27BE5">
              <w:fldChar w:fldCharType="end"/>
            </w:r>
            <w:r w:rsidRPr="00B27BE5">
              <w:t>.</w:t>
            </w:r>
          </w:p>
        </w:tc>
      </w:tr>
      <w:tr w:rsidR="00B27BE5" w:rsidTr="00BF55C8">
        <w:trPr>
          <w:cnfStyle w:val="000000010000" w:firstRow="0" w:lastRow="0" w:firstColumn="0" w:lastColumn="0" w:oddVBand="0" w:evenVBand="0" w:oddHBand="0" w:evenHBand="1" w:firstRowFirstColumn="0" w:firstRowLastColumn="0" w:lastRowFirstColumn="0" w:lastRowLastColumn="0"/>
        </w:trPr>
        <w:tc>
          <w:tcPr>
            <w:tcW w:w="784" w:type="pct"/>
          </w:tcPr>
          <w:p w:rsidR="00B27BE5" w:rsidRPr="00B27BE5" w:rsidRDefault="00B27BE5" w:rsidP="00B27BE5">
            <w:r w:rsidRPr="00883125">
              <w:lastRenderedPageBreak/>
              <w:t>The distribution rate (payout ratio)</w:t>
            </w:r>
          </w:p>
        </w:tc>
        <w:tc>
          <w:tcPr>
            <w:tcW w:w="2271" w:type="pct"/>
          </w:tcPr>
          <w:p w:rsidR="00B27BE5" w:rsidRPr="00B27BE5" w:rsidRDefault="00B27BE5" w:rsidP="002809AA">
            <w:r w:rsidRPr="00883125">
              <w:t>There is insufficient explanation for introducing the distribution rate for only listed equity.</w:t>
            </w:r>
            <w:r w:rsidRPr="00B27BE5">
              <w:rPr>
                <w:rStyle w:val="FootnoteReference"/>
              </w:rPr>
              <w:footnoteReference w:id="228"/>
            </w:r>
          </w:p>
        </w:tc>
        <w:tc>
          <w:tcPr>
            <w:tcW w:w="1945" w:type="pct"/>
          </w:tcPr>
          <w:p w:rsidR="002809AA" w:rsidRDefault="002809AA" w:rsidP="00B31DF2">
            <w:r w:rsidRPr="00B31DF2">
              <w:t>As discussed in section</w:t>
            </w:r>
            <w:r w:rsidRPr="002809AA">
              <w:t xml:space="preserve"> </w:t>
            </w:r>
            <w:r w:rsidRPr="002809AA">
              <w:fldChar w:fldCharType="begin"/>
            </w:r>
            <w:r w:rsidRPr="002809AA">
              <w:instrText xml:space="preserve"> REF _Ref451262944 \r \h  \* MERGEFORMAT </w:instrText>
            </w:r>
            <w:r w:rsidRPr="002809AA">
              <w:fldChar w:fldCharType="separate"/>
            </w:r>
            <w:r w:rsidR="00881794">
              <w:t>4.4</w:t>
            </w:r>
            <w:r w:rsidRPr="002809AA">
              <w:fldChar w:fldCharType="end"/>
            </w:r>
            <w:r w:rsidRPr="002809AA">
              <w:t xml:space="preserve"> of attachment 4 and section </w:t>
            </w:r>
            <w:r>
              <w:fldChar w:fldCharType="begin"/>
            </w:r>
            <w:r>
              <w:instrText xml:space="preserve"> REF _Ref401133206 \r \h </w:instrText>
            </w:r>
            <w:r>
              <w:fldChar w:fldCharType="separate"/>
            </w:r>
            <w:r w:rsidR="00881794">
              <w:t>A.10</w:t>
            </w:r>
            <w:r>
              <w:fldChar w:fldCharType="end"/>
            </w:r>
            <w:r w:rsidRPr="002809AA">
              <w:t xml:space="preserve"> of this appendix, </w:t>
            </w:r>
            <w:r>
              <w:t>w</w:t>
            </w:r>
            <w:r w:rsidRPr="002809AA">
              <w:t>e consider the use of a distribution rate for listed equity is open to us and reasonably reflective of a benchmark efficient entity given the difficulties associated with choosing a representative dataset.</w:t>
            </w:r>
            <w:r>
              <w:rPr>
                <w:rStyle w:val="FootnoteReference"/>
              </w:rPr>
              <w:footnoteReference w:id="229"/>
            </w:r>
            <w:r w:rsidRPr="002809AA">
              <w:t xml:space="preserve"> Lally also recommends distribution rate based on listed equity for a benchmark efficient entity, although he estimates this using financial statements of the top 20 listed firms.</w:t>
            </w:r>
            <w:r>
              <w:rPr>
                <w:rStyle w:val="FootnoteReference"/>
              </w:rPr>
              <w:footnoteReference w:id="230"/>
            </w:r>
          </w:p>
          <w:p w:rsidR="00011F30" w:rsidRPr="00B27BE5" w:rsidRDefault="00011F30" w:rsidP="002809AA">
            <w:r w:rsidRPr="00B31DF2">
              <w:t>As discussed in section</w:t>
            </w:r>
            <w:r w:rsidR="00345C01" w:rsidRPr="00B31DF2">
              <w:t xml:space="preserve"> </w:t>
            </w:r>
            <w:r w:rsidRPr="00B31DF2">
              <w:fldChar w:fldCharType="begin"/>
            </w:r>
            <w:r w:rsidRPr="00B31DF2">
              <w:instrText xml:space="preserve"> REF _Ref451262944 \r \h  \* MERGEFORMAT </w:instrText>
            </w:r>
            <w:r w:rsidRPr="00B31DF2">
              <w:fldChar w:fldCharType="separate"/>
            </w:r>
            <w:r w:rsidR="00881794">
              <w:t>4.4</w:t>
            </w:r>
            <w:r w:rsidRPr="00B31DF2">
              <w:fldChar w:fldCharType="end"/>
            </w:r>
            <w:r w:rsidRPr="00B31DF2">
              <w:t xml:space="preserve"> of attachment 4 and section </w:t>
            </w:r>
            <w:r w:rsidR="002809AA">
              <w:fldChar w:fldCharType="begin"/>
            </w:r>
            <w:r w:rsidR="002809AA">
              <w:instrText xml:space="preserve"> REF _Ref450299300 \r \h </w:instrText>
            </w:r>
            <w:r w:rsidR="002809AA">
              <w:fldChar w:fldCharType="separate"/>
            </w:r>
            <w:r w:rsidR="00881794">
              <w:t>A.9.2</w:t>
            </w:r>
            <w:r w:rsidR="002809AA">
              <w:fldChar w:fldCharType="end"/>
            </w:r>
            <w:r w:rsidRPr="00B31DF2">
              <w:t xml:space="preserve"> of this appendix, </w:t>
            </w:r>
            <w:r w:rsidR="002809AA">
              <w:t>f</w:t>
            </w:r>
            <w:r w:rsidR="002809AA" w:rsidRPr="002809AA">
              <w:t>ollowing Lally's latest report, we consider it is not essential to 'match' estimates of distribution rates and utilisation rates based on the dataset used; although we note the choice is open to us.</w:t>
            </w:r>
            <w:r w:rsidR="00010381">
              <w:rPr>
                <w:rStyle w:val="FootnoteReference"/>
              </w:rPr>
              <w:footnoteReference w:id="231"/>
            </w:r>
            <w:r w:rsidR="002809AA" w:rsidRPr="002809AA">
              <w:t xml:space="preserve"> While we primarily rely on 'matched' estimates, we also have regard to Lally's preferred estimate based on an all equity utilisation rate from the equity ownership approach and a distribution rate for listed equity from financial reports of the top 20 listed firms.</w:t>
            </w:r>
            <w:r w:rsidR="00010381">
              <w:rPr>
                <w:rStyle w:val="FootnoteReference"/>
              </w:rPr>
              <w:footnoteReference w:id="232"/>
            </w:r>
          </w:p>
        </w:tc>
      </w:tr>
      <w:tr w:rsidR="00B27BE5" w:rsidTr="005764F6">
        <w:tc>
          <w:tcPr>
            <w:tcW w:w="784" w:type="pct"/>
          </w:tcPr>
          <w:p w:rsidR="00B27BE5" w:rsidRPr="00B27BE5" w:rsidRDefault="00B27BE5" w:rsidP="00B27BE5">
            <w:r w:rsidRPr="00883125">
              <w:t>Equity ownership approach</w:t>
            </w:r>
          </w:p>
        </w:tc>
        <w:tc>
          <w:tcPr>
            <w:tcW w:w="2271" w:type="pct"/>
          </w:tcPr>
          <w:p w:rsidR="00B27BE5" w:rsidRPr="00B27BE5" w:rsidRDefault="00B27BE5" w:rsidP="00B27BE5">
            <w:r w:rsidRPr="00883125">
              <w:t xml:space="preserve">To the extent that the equity ownership approach indicates that theta is above the </w:t>
            </w:r>
            <w:r w:rsidRPr="00B27BE5">
              <w:t>amount specified through tax statistics, it is apparent that there are investors who the AER assume are eligible to redeem imputation credits but, for whatever reasons, either cannot redeem them or attribute so little value to the credits that they do not utilise them.</w:t>
            </w:r>
            <w:r w:rsidRPr="00B27BE5">
              <w:rPr>
                <w:rStyle w:val="FootnoteReference"/>
              </w:rPr>
              <w:footnoteReference w:id="233"/>
            </w:r>
          </w:p>
          <w:p w:rsidR="00B27BE5" w:rsidRPr="00B27BE5" w:rsidRDefault="00B27BE5" w:rsidP="00B27BE5">
            <w:r w:rsidRPr="00883125">
              <w:t xml:space="preserve">There are investors who hold shares for less than 45 days. The issue is not whether such a class exists, but the size of that class and the extent to which the value of </w:t>
            </w:r>
            <w:r w:rsidRPr="00883125">
              <w:lastRenderedPageBreak/>
              <w:t>imputation credits is lower as a result of domestic shareholders being unable to use them.</w:t>
            </w:r>
            <w:r w:rsidRPr="00B27BE5">
              <w:rPr>
                <w:rStyle w:val="FootnoteReference"/>
              </w:rPr>
              <w:footnoteReference w:id="234"/>
            </w:r>
          </w:p>
          <w:p w:rsidR="00B27BE5" w:rsidRPr="00B27BE5" w:rsidRDefault="00B27BE5" w:rsidP="00B27BE5">
            <w:r w:rsidRPr="00883125">
              <w:t>The equity ownership approach overstates the redemption rates and would only be useful a further check on other estimates.</w:t>
            </w:r>
            <w:r w:rsidRPr="00B27BE5">
              <w:rPr>
                <w:rStyle w:val="FootnoteReference"/>
              </w:rPr>
              <w:footnoteReference w:id="235"/>
            </w:r>
          </w:p>
          <w:p w:rsidR="00B27BE5" w:rsidRPr="00B27BE5" w:rsidRDefault="00B27BE5" w:rsidP="00E45432">
            <w:r w:rsidRPr="00883125">
              <w:t>The AER's equity ownership and tax statistics approaches makes no attempt to assess the value of imputation credits to shareholders and ignores the likely existent of factors, such as the 45 day rule, which, across all eligible shareholders, reduce the value of imputation credits to those shareholders below the "face" value assumed by the AER. As a result, these approaches are inconsistent with a proper interpretation of the Officer Framework underlying 2 .5.3 of the NEL.</w:t>
            </w:r>
            <w:r w:rsidRPr="00B27BE5">
              <w:rPr>
                <w:rStyle w:val="FootnoteReference"/>
              </w:rPr>
              <w:footnoteReference w:id="236"/>
            </w:r>
          </w:p>
        </w:tc>
        <w:tc>
          <w:tcPr>
            <w:tcW w:w="1945" w:type="pct"/>
          </w:tcPr>
          <w:p w:rsidR="00B27BE5" w:rsidRPr="00B27BE5" w:rsidRDefault="00E45432" w:rsidP="00B27BE5">
            <w:r>
              <w:lastRenderedPageBreak/>
              <w:t>We</w:t>
            </w:r>
            <w:r w:rsidR="00B27BE5" w:rsidRPr="00883125">
              <w:t xml:space="preserve"> consider the equity ownership</w:t>
            </w:r>
            <w:r>
              <w:t xml:space="preserve"> approach</w:t>
            </w:r>
            <w:r w:rsidR="00B27BE5" w:rsidRPr="00883125">
              <w:t xml:space="preserve"> remains the best method</w:t>
            </w:r>
            <w:r w:rsidR="00B27BE5" w:rsidRPr="00B27BE5">
              <w:t xml:space="preserve"> to estimate the utilisation </w:t>
            </w:r>
            <w:r>
              <w:t>rate</w:t>
            </w:r>
            <w:r w:rsidR="00B27BE5" w:rsidRPr="00B27BE5">
              <w:t xml:space="preserve">. </w:t>
            </w:r>
            <w:r>
              <w:t>We do</w:t>
            </w:r>
            <w:r w:rsidR="00B27BE5" w:rsidRPr="00B27BE5">
              <w:t xml:space="preserve"> not consider the difference between </w:t>
            </w:r>
            <w:r>
              <w:t xml:space="preserve">the </w:t>
            </w:r>
            <w:r w:rsidR="00B27BE5" w:rsidRPr="00B27BE5">
              <w:t>equity ownership approach and tax statistics is due to the 45 day holding rule</w:t>
            </w:r>
            <w:r w:rsidR="00D51604">
              <w:t xml:space="preserve"> and</w:t>
            </w:r>
            <w:r w:rsidR="00B27BE5" w:rsidRPr="00B27BE5">
              <w:t xml:space="preserve"> </w:t>
            </w:r>
            <w:r w:rsidR="0011728A">
              <w:t>Lally</w:t>
            </w:r>
            <w:r w:rsidR="0011728A" w:rsidRPr="0011728A">
              <w:t xml:space="preserve">, in his recent report, </w:t>
            </w:r>
            <w:r w:rsidR="0011728A">
              <w:t>agrees with this.</w:t>
            </w:r>
            <w:r w:rsidR="0011728A">
              <w:rPr>
                <w:rStyle w:val="FootnoteReference"/>
              </w:rPr>
              <w:footnoteReference w:id="237"/>
            </w:r>
            <w:r w:rsidR="0011728A">
              <w:t xml:space="preserve"> </w:t>
            </w:r>
            <w:r w:rsidR="00B27BE5" w:rsidRPr="00B27BE5">
              <w:t xml:space="preserve">Instead, </w:t>
            </w:r>
            <w:r>
              <w:t>we</w:t>
            </w:r>
            <w:r w:rsidR="00B27BE5" w:rsidRPr="00B27BE5">
              <w:t xml:space="preserve"> consider the difference in </w:t>
            </w:r>
            <w:r w:rsidR="00FC0D36">
              <w:t xml:space="preserve">the </w:t>
            </w:r>
            <w:r w:rsidR="00B27BE5" w:rsidRPr="00B27BE5">
              <w:t xml:space="preserve">utilisation </w:t>
            </w:r>
            <w:r w:rsidR="00983582">
              <w:t>rate</w:t>
            </w:r>
            <w:r w:rsidR="00983582" w:rsidRPr="00B27BE5">
              <w:t xml:space="preserve"> </w:t>
            </w:r>
            <w:r w:rsidR="00B27BE5" w:rsidRPr="00B27BE5">
              <w:t>is</w:t>
            </w:r>
            <w:r>
              <w:t xml:space="preserve"> likely</w:t>
            </w:r>
            <w:r w:rsidR="00B27BE5" w:rsidRPr="00B27BE5">
              <w:t xml:space="preserve"> driven by the unreliability </w:t>
            </w:r>
            <w:r w:rsidR="00D51604">
              <w:t>in the taxation data underlying</w:t>
            </w:r>
            <w:r w:rsidR="00D51604" w:rsidRPr="00B27BE5">
              <w:t xml:space="preserve"> </w:t>
            </w:r>
            <w:r w:rsidR="00B27BE5" w:rsidRPr="00B27BE5">
              <w:t>the tax statistics</w:t>
            </w:r>
            <w:r w:rsidR="00D51604">
              <w:t xml:space="preserve"> estimate</w:t>
            </w:r>
            <w:r w:rsidR="00B27BE5" w:rsidRPr="00B27BE5">
              <w:t>.</w:t>
            </w:r>
            <w:r w:rsidR="00011F30">
              <w:t xml:space="preserve"> </w:t>
            </w:r>
            <w:r w:rsidR="00537151">
              <w:t>Lally</w:t>
            </w:r>
            <w:r w:rsidR="00D51604">
              <w:t>,</w:t>
            </w:r>
            <w:r w:rsidR="00537151">
              <w:t xml:space="preserve"> in his recent report</w:t>
            </w:r>
            <w:r w:rsidR="00D51604">
              <w:t>,</w:t>
            </w:r>
            <w:r w:rsidR="00D53487">
              <w:t xml:space="preserve"> considers the </w:t>
            </w:r>
            <w:r w:rsidR="00D53487" w:rsidRPr="00D53487">
              <w:t xml:space="preserve">most obvious explanation for the difference is the estimate of the redemption rate from tax statistics used by </w:t>
            </w:r>
            <w:r w:rsidR="00D53487" w:rsidRPr="00D53487">
              <w:lastRenderedPageBreak/>
              <w:t>the AER is too low</w:t>
            </w:r>
            <w:r w:rsidR="00537151">
              <w:t>.</w:t>
            </w:r>
            <w:r w:rsidR="004B4BF3">
              <w:rPr>
                <w:rStyle w:val="FootnoteReference"/>
              </w:rPr>
              <w:footnoteReference w:id="238"/>
            </w:r>
            <w:r w:rsidR="00FF12F1">
              <w:t xml:space="preserve"> However we note that</w:t>
            </w:r>
            <w:r w:rsidR="00FF12F1" w:rsidRPr="00FF12F1">
              <w:t>, regardless of any issues of taxation data reliability, an estimate of gamma of approximately 0.4 is obtained when combining a utilisation rate of 0.48 (</w:t>
            </w:r>
            <w:r w:rsidR="00E35BE0">
              <w:t>consistent with</w:t>
            </w:r>
            <w:r w:rsidR="00FF12F1" w:rsidRPr="00FF12F1">
              <w:t xml:space="preserve"> FAB data) with Lally's preferred estimate of the distribution rate for a benchmark efficient entity of 0.83.</w:t>
            </w:r>
            <w:r w:rsidR="00FF12F1" w:rsidRPr="00FF12F1">
              <w:rPr>
                <w:rStyle w:val="FootnoteReference"/>
              </w:rPr>
              <w:footnoteReference w:id="239"/>
            </w:r>
          </w:p>
          <w:p w:rsidR="00B27BE5" w:rsidRPr="00B27BE5" w:rsidRDefault="00D51604" w:rsidP="00B27BE5">
            <w:r>
              <w:t>We</w:t>
            </w:r>
            <w:r w:rsidR="00B27BE5" w:rsidRPr="00883125">
              <w:t xml:space="preserve"> remain of the view that the 45 day rule does not have </w:t>
            </w:r>
            <w:r w:rsidR="00B27BE5" w:rsidRPr="00B27BE5">
              <w:t xml:space="preserve">a material impact on the utilisation </w:t>
            </w:r>
            <w:r w:rsidR="00983582">
              <w:t>rate</w:t>
            </w:r>
            <w:r w:rsidR="00B27BE5" w:rsidRPr="00B27BE5">
              <w:t xml:space="preserve">. </w:t>
            </w:r>
            <w:r w:rsidR="00537151">
              <w:t>This is supported by Lally.</w:t>
            </w:r>
            <w:r w:rsidR="00537151">
              <w:rPr>
                <w:rStyle w:val="FootnoteReference"/>
              </w:rPr>
              <w:footnoteReference w:id="240"/>
            </w:r>
            <w:r w:rsidR="00537151">
              <w:t xml:space="preserve"> </w:t>
            </w:r>
            <w:r>
              <w:t>We have</w:t>
            </w:r>
            <w:r w:rsidR="00B27BE5" w:rsidRPr="00B27BE5">
              <w:t xml:space="preserve"> not been presented with any data that would suggest the 45 day rule is having any impact on the utilisation of imputation credits. </w:t>
            </w:r>
          </w:p>
          <w:p w:rsidR="00B27BE5" w:rsidRPr="00B27BE5" w:rsidRDefault="00D51604" w:rsidP="00B27BE5">
            <w:r>
              <w:t>We</w:t>
            </w:r>
            <w:r w:rsidR="00B27BE5" w:rsidRPr="00883125">
              <w:t xml:space="preserve"> consider that on a </w:t>
            </w:r>
            <w:r w:rsidR="00B27BE5" w:rsidRPr="00B27BE5">
              <w:t>pre-personal tax basis</w:t>
            </w:r>
            <w:r>
              <w:t>,</w:t>
            </w:r>
            <w:r w:rsidR="00B27BE5" w:rsidRPr="00B27BE5">
              <w:t xml:space="preserve"> investors that are eligible to receive imputation credits value them at their full face value. A dollar face value of imputation credits reduces eligible investor's tax liabilities by one dollar. The face value of the imputation credit is the pre-personal tax value of </w:t>
            </w:r>
            <w:r>
              <w:t xml:space="preserve">the </w:t>
            </w:r>
            <w:r w:rsidR="00B27BE5" w:rsidRPr="00B27BE5">
              <w:t>imputation credit.</w:t>
            </w:r>
          </w:p>
        </w:tc>
      </w:tr>
      <w:tr w:rsidR="00B27BE5" w:rsidRPr="00B45BDD" w:rsidTr="00BF55C8">
        <w:trPr>
          <w:cnfStyle w:val="000000010000" w:firstRow="0" w:lastRow="0" w:firstColumn="0" w:lastColumn="0" w:oddVBand="0" w:evenVBand="0" w:oddHBand="0" w:evenHBand="1" w:firstRowFirstColumn="0" w:firstRowLastColumn="0" w:lastRowFirstColumn="0" w:lastRowLastColumn="0"/>
        </w:trPr>
        <w:tc>
          <w:tcPr>
            <w:tcW w:w="784" w:type="pct"/>
          </w:tcPr>
          <w:p w:rsidR="00B27BE5" w:rsidRPr="00B27BE5" w:rsidRDefault="00B27BE5" w:rsidP="00B27BE5">
            <w:r w:rsidRPr="00883125">
              <w:lastRenderedPageBreak/>
              <w:t>Tax statistic estimates</w:t>
            </w:r>
          </w:p>
        </w:tc>
        <w:tc>
          <w:tcPr>
            <w:tcW w:w="2271" w:type="pct"/>
          </w:tcPr>
          <w:p w:rsidR="00B27BE5" w:rsidRPr="00B27BE5" w:rsidRDefault="00B27BE5" w:rsidP="00B27BE5">
            <w:r w:rsidRPr="00883125">
              <w:t>Tax statistics can only provide an upper bound on the estimate of theta.</w:t>
            </w:r>
            <w:r w:rsidRPr="00B27BE5">
              <w:rPr>
                <w:rStyle w:val="FootnoteReference"/>
              </w:rPr>
              <w:footnoteReference w:id="241"/>
            </w:r>
          </w:p>
          <w:p w:rsidR="00B27BE5" w:rsidRPr="00B27BE5" w:rsidRDefault="00B27BE5" w:rsidP="00B27BE5">
            <w:r w:rsidRPr="00883125">
              <w:t xml:space="preserve">The value of theta produced by taxation statistics is evidence that Australian investors do not value </w:t>
            </w:r>
            <w:r w:rsidRPr="00B27BE5">
              <w:t>imputation credits at their face value, because they may be unable to use them.</w:t>
            </w:r>
            <w:r w:rsidRPr="00B27BE5">
              <w:rPr>
                <w:rStyle w:val="FootnoteReference"/>
              </w:rPr>
              <w:footnoteReference w:id="242"/>
            </w:r>
          </w:p>
          <w:p w:rsidR="00B27BE5" w:rsidRPr="00B27BE5" w:rsidRDefault="00B27BE5" w:rsidP="00B27BE5">
            <w:r w:rsidRPr="00883125">
              <w:t>The ATO data relied by Hathaway has since been acknowledged by Hathaway to be of some concern.</w:t>
            </w:r>
            <w:r w:rsidRPr="00B27BE5">
              <w:rPr>
                <w:rStyle w:val="FootnoteReference"/>
              </w:rPr>
              <w:footnoteReference w:id="243"/>
            </w:r>
          </w:p>
        </w:tc>
        <w:tc>
          <w:tcPr>
            <w:tcW w:w="1945" w:type="pct"/>
          </w:tcPr>
          <w:p w:rsidR="00B27BE5" w:rsidRDefault="00B27BE5" w:rsidP="00B27BE5">
            <w:r w:rsidRPr="00883125">
              <w:t xml:space="preserve">Handley advised that his previous comments regarding the use of tax statistics being an 'upper bound' were misinterpreted in these proceedings. Handley confirmed that tax statistics can be used to produce a point estimate of the utilisation </w:t>
            </w:r>
            <w:r w:rsidR="00B05231">
              <w:t>rate</w:t>
            </w:r>
            <w:r w:rsidRPr="00883125">
              <w:t>. We discussed Handley's views in section A.6.1 of the draft</w:t>
            </w:r>
            <w:r w:rsidR="00B05231">
              <w:t>/preliminary</w:t>
            </w:r>
            <w:r w:rsidRPr="00883125">
              <w:t xml:space="preserve"> decisions. We discuss the use of tax statistics more broadly in </w:t>
            </w:r>
            <w:r w:rsidRPr="00B27BE5">
              <w:t xml:space="preserve">section </w:t>
            </w:r>
            <w:r w:rsidRPr="00B27BE5">
              <w:fldChar w:fldCharType="begin"/>
            </w:r>
            <w:r w:rsidRPr="00B27BE5">
              <w:instrText xml:space="preserve"> REF _Ref402179420 \r \h  \* MERGEFORMAT </w:instrText>
            </w:r>
            <w:r w:rsidRPr="00B27BE5">
              <w:fldChar w:fldCharType="separate"/>
            </w:r>
            <w:r w:rsidR="00881794">
              <w:t>A.13</w:t>
            </w:r>
            <w:r w:rsidRPr="00B27BE5">
              <w:fldChar w:fldCharType="end"/>
            </w:r>
            <w:r w:rsidRPr="00B27BE5">
              <w:t xml:space="preserve"> of this appendix</w:t>
            </w:r>
            <w:r w:rsidR="00FC0D36">
              <w:t>.</w:t>
            </w:r>
          </w:p>
          <w:p w:rsidR="00FF12F1" w:rsidRDefault="00FD7A90" w:rsidP="00B27BE5">
            <w:r>
              <w:t>Lally advised that the correct tax statistic is upward biased as it</w:t>
            </w:r>
            <w:r w:rsidR="00B05231">
              <w:t xml:space="preserve"> is</w:t>
            </w:r>
            <w:r>
              <w:t xml:space="preserve"> expected local investors would tilt their shareholding towards stock with </w:t>
            </w:r>
            <w:r>
              <w:lastRenderedPageBreak/>
              <w:t xml:space="preserve">high imputation credit yields. However, </w:t>
            </w:r>
            <w:r w:rsidR="00FF12F1">
              <w:t xml:space="preserve">he considers that </w:t>
            </w:r>
            <w:r>
              <w:t xml:space="preserve">given the </w:t>
            </w:r>
            <w:r w:rsidR="00B05231">
              <w:t xml:space="preserve">taxation </w:t>
            </w:r>
            <w:r>
              <w:t xml:space="preserve">data reliability issues and the fact </w:t>
            </w:r>
            <w:r w:rsidR="00B05231">
              <w:t>that we</w:t>
            </w:r>
            <w:r>
              <w:t xml:space="preserve"> select the lower of the two possible tax statistic estimates (0.45 vs. 0.62), the tax statistic estimate </w:t>
            </w:r>
            <w:r w:rsidR="00B05231">
              <w:t>we use (updated to 0.48 in this decision)</w:t>
            </w:r>
            <w:r>
              <w:t xml:space="preserve"> is not an upper bound.</w:t>
            </w:r>
            <w:r>
              <w:rPr>
                <w:rStyle w:val="FootnoteReference"/>
              </w:rPr>
              <w:footnoteReference w:id="244"/>
            </w:r>
            <w:r w:rsidR="00FA1822">
              <w:t xml:space="preserve"> </w:t>
            </w:r>
            <w:r w:rsidR="00B05231">
              <w:t>Ultimately, w</w:t>
            </w:r>
            <w:r w:rsidR="00FA1822">
              <w:t xml:space="preserve">e consider any uncertain estimate is not an upper bound. </w:t>
            </w:r>
            <w:r w:rsidR="00FF12F1">
              <w:t xml:space="preserve">Moreover, </w:t>
            </w:r>
            <w:r w:rsidR="00FF12F1" w:rsidRPr="00FF12F1">
              <w:t>even if we do use an estimate of the utilisation rate of 0.48 from tax statistics (</w:t>
            </w:r>
            <w:r w:rsidR="00E35BE0">
              <w:t>consistent with</w:t>
            </w:r>
            <w:r w:rsidR="00FF12F1" w:rsidRPr="00FF12F1">
              <w:t xml:space="preserve"> FAB data), this results in an estimate for gamma of approximately 0.4 when combined with Lally's preferred distribution rate of 0.83 for a benchmark efficient entity.</w:t>
            </w:r>
          </w:p>
          <w:p w:rsidR="00FA1822" w:rsidRPr="00B27BE5" w:rsidRDefault="00FF12F1" w:rsidP="00B27BE5">
            <w:r w:rsidRPr="00FF12F1">
              <w:t>Having regard to the potential data limitations and alternate estimates, the evidence from tax statistics is not inconsistent with the evidence from the equity ownership approach, but we place less reliance upon it.</w:t>
            </w:r>
            <w:r>
              <w:t xml:space="preserve"> </w:t>
            </w:r>
          </w:p>
          <w:p w:rsidR="00B27BE5" w:rsidRPr="00B27BE5" w:rsidRDefault="00297495" w:rsidP="00983582">
            <w:r>
              <w:t>We do</w:t>
            </w:r>
            <w:r w:rsidR="00B27BE5" w:rsidRPr="00883125">
              <w:t xml:space="preserve"> not consider </w:t>
            </w:r>
            <w:r w:rsidR="00B27BE5" w:rsidRPr="00B27BE5">
              <w:t xml:space="preserve">the  utilisation </w:t>
            </w:r>
            <w:r w:rsidR="00983582">
              <w:t>rate</w:t>
            </w:r>
            <w:r w:rsidR="00983582" w:rsidRPr="00B27BE5">
              <w:t xml:space="preserve"> </w:t>
            </w:r>
            <w:r w:rsidR="00B27BE5" w:rsidRPr="00B27BE5">
              <w:t xml:space="preserve">produced by taxation statistics is evidence that Australian investors do not value imputation credits at their face value. Rather </w:t>
            </w:r>
            <w:r w:rsidR="00983582">
              <w:t>we</w:t>
            </w:r>
            <w:r w:rsidR="00B27BE5" w:rsidRPr="00B27BE5">
              <w:t xml:space="preserve"> consider the evidence demonstrates there are </w:t>
            </w:r>
            <w:r w:rsidR="00983582">
              <w:t xml:space="preserve">potential </w:t>
            </w:r>
            <w:r w:rsidR="00B27BE5" w:rsidRPr="00B27BE5">
              <w:t>data reliability issues with tax statistics. The Tribunal itself has acknowledged concerns with the ATO data.</w:t>
            </w:r>
            <w:r w:rsidR="00B27BE5" w:rsidRPr="00B27BE5">
              <w:rPr>
                <w:rStyle w:val="FootnoteReference"/>
              </w:rPr>
              <w:footnoteReference w:id="245"/>
            </w:r>
          </w:p>
        </w:tc>
      </w:tr>
      <w:tr w:rsidR="00B27BE5" w:rsidRPr="00B45BDD" w:rsidTr="00BF55C8">
        <w:tc>
          <w:tcPr>
            <w:tcW w:w="784" w:type="pct"/>
          </w:tcPr>
          <w:p w:rsidR="00B27BE5" w:rsidRPr="00B27BE5" w:rsidRDefault="00B27BE5" w:rsidP="00B27BE5">
            <w:r w:rsidRPr="00883125">
              <w:lastRenderedPageBreak/>
              <w:t>The conceptual basis for dividend drop off studies</w:t>
            </w:r>
          </w:p>
        </w:tc>
        <w:tc>
          <w:tcPr>
            <w:tcW w:w="2271" w:type="pct"/>
          </w:tcPr>
          <w:p w:rsidR="00B27BE5" w:rsidRPr="00B27BE5" w:rsidRDefault="00983582" w:rsidP="00B27BE5">
            <w:r>
              <w:t>O</w:t>
            </w:r>
            <w:r w:rsidR="00B27BE5" w:rsidRPr="00883125">
              <w:t>f the various methodologies for estimating gamma employed by the AER, market value studies are best place</w:t>
            </w:r>
            <w:r w:rsidR="00FC0D36">
              <w:t>d</w:t>
            </w:r>
            <w:r w:rsidR="00B27BE5" w:rsidRPr="00883125">
              <w:t xml:space="preserve"> to capture the considerations that investors make in determining the worth of imputation credits to them.</w:t>
            </w:r>
            <w:r w:rsidR="00B27BE5" w:rsidRPr="00B27BE5">
              <w:rPr>
                <w:rStyle w:val="FootnoteReference"/>
              </w:rPr>
              <w:footnoteReference w:id="246"/>
            </w:r>
          </w:p>
          <w:p w:rsidR="00B27BE5" w:rsidRPr="00B27BE5" w:rsidRDefault="00B27BE5" w:rsidP="00B27BE5">
            <w:r w:rsidRPr="00883125">
              <w:t>The AER could have excluded earlier market based studies that were not relevant, such as the studies that were conducted on pre 2000 data.</w:t>
            </w:r>
            <w:r w:rsidRPr="00B27BE5">
              <w:rPr>
                <w:rStyle w:val="FootnoteReference"/>
              </w:rPr>
              <w:footnoteReference w:id="247"/>
            </w:r>
          </w:p>
          <w:p w:rsidR="00B27BE5" w:rsidRPr="00B27BE5" w:rsidRDefault="00B27BE5" w:rsidP="00B27BE5">
            <w:r w:rsidRPr="00883125">
              <w:t xml:space="preserve">That the econometric issues identified in market based studies is at odds with the AER's </w:t>
            </w:r>
            <w:r w:rsidRPr="00B27BE5">
              <w:t>reliance on economic modelling in other aspects of its determinations.</w:t>
            </w:r>
            <w:r w:rsidRPr="00B27BE5">
              <w:rPr>
                <w:rStyle w:val="FootnoteReference"/>
              </w:rPr>
              <w:footnoteReference w:id="248"/>
            </w:r>
          </w:p>
          <w:p w:rsidR="00B27BE5" w:rsidRPr="00B27BE5" w:rsidRDefault="00B27BE5" w:rsidP="00B27BE5">
            <w:r w:rsidRPr="00883125">
              <w:t xml:space="preserve">The best estimate derived by the updated SFG study is 0.35 and it </w:t>
            </w:r>
            <w:r w:rsidRPr="00B27BE5">
              <w:t xml:space="preserve">is incorrect for the AER to adjusted the SFG study for factors, such as differential personal taxes and </w:t>
            </w:r>
            <w:r w:rsidRPr="00B27BE5">
              <w:lastRenderedPageBreak/>
              <w:t>risk.</w:t>
            </w:r>
            <w:r w:rsidRPr="00B27BE5">
              <w:rPr>
                <w:rStyle w:val="FootnoteReference"/>
              </w:rPr>
              <w:footnoteReference w:id="249"/>
            </w:r>
          </w:p>
          <w:p w:rsidR="00B27BE5" w:rsidRPr="00B27BE5" w:rsidRDefault="00B27BE5" w:rsidP="00B27BE5">
            <w:r w:rsidRPr="00883125">
              <w:t>The SFG 2013 Study represents one point of view. As in a number of instances in these matters, there are conflicting expert views. Without the benefit of learning further from the experts, the Tribunal (like the AER) is faced with the selection between competing views.</w:t>
            </w:r>
            <w:r w:rsidRPr="00B27BE5">
              <w:rPr>
                <w:rStyle w:val="FootnoteReference"/>
              </w:rPr>
              <w:footnoteReference w:id="250"/>
            </w:r>
          </w:p>
        </w:tc>
        <w:tc>
          <w:tcPr>
            <w:tcW w:w="1945" w:type="pct"/>
          </w:tcPr>
          <w:p w:rsidR="00B27BE5" w:rsidRPr="00B27BE5" w:rsidRDefault="00B27BE5" w:rsidP="00B27BE5">
            <w:r w:rsidRPr="00883125">
              <w:lastRenderedPageBreak/>
              <w:t xml:space="preserve">The limitations of dividend drop off studies have been widely identified—we provide a selection of comments from academics and regulators in section </w:t>
            </w:r>
            <w:r w:rsidR="00FD7A90">
              <w:fldChar w:fldCharType="begin"/>
            </w:r>
            <w:r w:rsidR="00FD7A90">
              <w:instrText xml:space="preserve"> REF _Ref451266265 \r \h </w:instrText>
            </w:r>
            <w:r w:rsidR="00BF55C8">
              <w:instrText xml:space="preserve"> \* MERGEFORMAT </w:instrText>
            </w:r>
            <w:r w:rsidR="00FD7A90">
              <w:fldChar w:fldCharType="separate"/>
            </w:r>
            <w:r w:rsidR="00881794">
              <w:t>A.15</w:t>
            </w:r>
            <w:r w:rsidR="00FD7A90">
              <w:fldChar w:fldCharType="end"/>
            </w:r>
            <w:r w:rsidR="00983582">
              <w:t xml:space="preserve"> and </w:t>
            </w:r>
            <w:r w:rsidR="00983582">
              <w:fldChar w:fldCharType="begin"/>
            </w:r>
            <w:r w:rsidR="00983582">
              <w:instrText xml:space="preserve"> REF _Ref450761230 \r \h </w:instrText>
            </w:r>
            <w:r w:rsidR="00983582">
              <w:fldChar w:fldCharType="separate"/>
            </w:r>
            <w:r w:rsidR="00881794">
              <w:t>4.4.1</w:t>
            </w:r>
            <w:r w:rsidR="00983582">
              <w:fldChar w:fldCharType="end"/>
            </w:r>
            <w:r w:rsidRPr="00B27BE5">
              <w:t xml:space="preserve">. Moreover, both Handley and Lally advised that other approaches to estimating the utilisation </w:t>
            </w:r>
            <w:r w:rsidR="00983582">
              <w:t>rate</w:t>
            </w:r>
            <w:r w:rsidR="00983582" w:rsidRPr="00B27BE5">
              <w:t xml:space="preserve"> </w:t>
            </w:r>
            <w:r w:rsidRPr="00B27BE5">
              <w:t xml:space="preserve">should be preferred. Handley and Lally also advised that, without adjustment, dividend drop off studies produce downwards-biased estimates of the utilisation </w:t>
            </w:r>
            <w:r w:rsidR="00983582">
              <w:t>rate</w:t>
            </w:r>
            <w:r w:rsidRPr="00B27BE5">
              <w:t>.</w:t>
            </w:r>
          </w:p>
          <w:p w:rsidR="00B27BE5" w:rsidRPr="00B27BE5" w:rsidRDefault="00B27BE5" w:rsidP="00B27BE5">
            <w:r w:rsidRPr="00883125">
              <w:t xml:space="preserve">The issue with dividend </w:t>
            </w:r>
            <w:r w:rsidRPr="00B27BE5">
              <w:t xml:space="preserve">drop off estimates of the utilisation </w:t>
            </w:r>
            <w:r w:rsidR="00372D19">
              <w:t xml:space="preserve">rate </w:t>
            </w:r>
            <w:r w:rsidR="00983582">
              <w:t>(or value)</w:t>
            </w:r>
            <w:r w:rsidR="00983582" w:rsidRPr="00B27BE5">
              <w:t xml:space="preserve"> </w:t>
            </w:r>
            <w:r w:rsidRPr="00B27BE5">
              <w:t xml:space="preserve">is that they do not produce a </w:t>
            </w:r>
            <w:r w:rsidR="008337C2">
              <w:t>post-tax (</w:t>
            </w:r>
            <w:r w:rsidRPr="00B27BE5">
              <w:t>pre-personal tax</w:t>
            </w:r>
            <w:r w:rsidR="008337C2">
              <w:t>)</w:t>
            </w:r>
            <w:r w:rsidRPr="00B27BE5">
              <w:t xml:space="preserve"> estimate</w:t>
            </w:r>
            <w:r w:rsidR="008337C2">
              <w:t xml:space="preserve"> and therefore </w:t>
            </w:r>
            <w:r w:rsidR="00983582">
              <w:t xml:space="preserve">do not </w:t>
            </w:r>
            <w:r w:rsidR="008337C2">
              <w:t>produce estimates consistent with the Officer post-tax framework</w:t>
            </w:r>
            <w:r w:rsidRPr="00B27BE5">
              <w:t>. The dividend drop</w:t>
            </w:r>
            <w:r w:rsidR="00983582">
              <w:t xml:space="preserve"> off</w:t>
            </w:r>
            <w:r w:rsidRPr="00B27BE5">
              <w:t xml:space="preserve"> estimate is influenced by differential </w:t>
            </w:r>
            <w:r w:rsidRPr="00B27BE5">
              <w:lastRenderedPageBreak/>
              <w:t xml:space="preserve">personal taxes, given that investor value capital gains more than dividend income due preferential tax treatment of capital gains. Further, dividend drop off studies reflect the value of the marginal investor and not the </w:t>
            </w:r>
            <w:r w:rsidR="00FC0D36">
              <w:t xml:space="preserve">value of </w:t>
            </w:r>
            <w:r w:rsidRPr="00B27BE5">
              <w:t>aggregate long term investors in regulated utilities. This is further discusse</w:t>
            </w:r>
            <w:r w:rsidR="00983582">
              <w:t>d</w:t>
            </w:r>
            <w:r w:rsidRPr="00B27BE5">
              <w:t xml:space="preserve"> in section </w:t>
            </w:r>
            <w:r w:rsidRPr="00B27BE5">
              <w:fldChar w:fldCharType="begin"/>
            </w:r>
            <w:r w:rsidRPr="00B27BE5">
              <w:instrText xml:space="preserve"> REF _Ref435171205 \r \h </w:instrText>
            </w:r>
            <w:r w:rsidR="00BF55C8">
              <w:instrText xml:space="preserve"> \* MERGEFORMAT </w:instrText>
            </w:r>
            <w:r w:rsidRPr="00B27BE5">
              <w:fldChar w:fldCharType="separate"/>
            </w:r>
            <w:r w:rsidR="00881794">
              <w:t>A.15.3</w:t>
            </w:r>
            <w:r w:rsidRPr="00B27BE5">
              <w:fldChar w:fldCharType="end"/>
            </w:r>
            <w:r w:rsidRPr="00B27BE5">
              <w:t>.</w:t>
            </w:r>
          </w:p>
          <w:p w:rsidR="00B27BE5" w:rsidRPr="00B27BE5" w:rsidRDefault="00B27BE5" w:rsidP="00983582">
            <w:r w:rsidRPr="00883125">
              <w:t xml:space="preserve">The </w:t>
            </w:r>
            <w:r w:rsidR="00983582" w:rsidRPr="00883125">
              <w:t xml:space="preserve">utilisation value estimate </w:t>
            </w:r>
            <w:r w:rsidR="00983582">
              <w:t xml:space="preserve">from </w:t>
            </w:r>
            <w:r w:rsidRPr="00883125">
              <w:t>dividend drop off studies is neither a pre</w:t>
            </w:r>
            <w:r w:rsidR="00983582">
              <w:t>-</w:t>
            </w:r>
            <w:r w:rsidRPr="00883125">
              <w:t xml:space="preserve"> nor post-personal tax estimate. The pre-personal tax estimate of the </w:t>
            </w:r>
            <w:r w:rsidRPr="00B27BE5">
              <w:t>utilisation value is the face value of imputation credits. The personal tax is levied on the face value of imputation credits (levied on gross dividend).</w:t>
            </w:r>
          </w:p>
        </w:tc>
      </w:tr>
      <w:tr w:rsidR="00B27BE5" w:rsidRPr="00B45BDD" w:rsidTr="005764F6">
        <w:trPr>
          <w:cnfStyle w:val="000000010000" w:firstRow="0" w:lastRow="0" w:firstColumn="0" w:lastColumn="0" w:oddVBand="0" w:evenVBand="0" w:oddHBand="0" w:evenHBand="1" w:firstRowFirstColumn="0" w:firstRowLastColumn="0" w:lastRowFirstColumn="0" w:lastRowLastColumn="0"/>
        </w:trPr>
        <w:tc>
          <w:tcPr>
            <w:tcW w:w="784" w:type="pct"/>
          </w:tcPr>
          <w:p w:rsidR="00B27BE5" w:rsidRPr="00B27BE5" w:rsidRDefault="00B27BE5" w:rsidP="00B27BE5">
            <w:r w:rsidRPr="00883125">
              <w:lastRenderedPageBreak/>
              <w:t>Consistency of allowed rate of return parameters</w:t>
            </w:r>
          </w:p>
        </w:tc>
        <w:tc>
          <w:tcPr>
            <w:tcW w:w="2271" w:type="pct"/>
          </w:tcPr>
          <w:p w:rsidR="00B27BE5" w:rsidRPr="00B27BE5" w:rsidRDefault="00B27BE5" w:rsidP="00B27BE5">
            <w:r w:rsidRPr="00883125">
              <w:t>The AER's reasoning ignores the fact that other parameters in the WACC calculation are market values that already incorporate the effects of the difference in investors' tax position and transaction costs'.</w:t>
            </w:r>
            <w:r w:rsidRPr="00B27BE5">
              <w:rPr>
                <w:rStyle w:val="FootnoteReference"/>
              </w:rPr>
              <w:footnoteReference w:id="251"/>
            </w:r>
            <w:r w:rsidRPr="00B27BE5">
              <w:t xml:space="preserve"> There is no inconsistency between the use of market studies to estimate the value of imputation credits and the method used to calculate other parameters of the cost of debt and equity from market data.</w:t>
            </w:r>
            <w:r w:rsidRPr="00B27BE5">
              <w:rPr>
                <w:rStyle w:val="FootnoteReference"/>
              </w:rPr>
              <w:footnoteReference w:id="252"/>
            </w:r>
            <w:r w:rsidRPr="00B27BE5">
              <w:t xml:space="preserve"> The Tribunal consider that return on equity is derived from market prices of government bonds (the risk free rate) and from the market prices of shares (beta and MRP).</w:t>
            </w:r>
            <w:r w:rsidRPr="00B27BE5">
              <w:rPr>
                <w:rStyle w:val="FootnoteReference"/>
              </w:rPr>
              <w:footnoteReference w:id="253"/>
            </w:r>
            <w:r w:rsidRPr="00B27BE5">
              <w:t xml:space="preserve"> The cost of debt is calculated by reference to bond yields which are derived directly from traded market prices.</w:t>
            </w:r>
            <w:r w:rsidRPr="00B27BE5">
              <w:rPr>
                <w:rStyle w:val="FootnoteReference"/>
              </w:rPr>
              <w:footnoteReference w:id="254"/>
            </w:r>
            <w:r w:rsidRPr="00B27BE5">
              <w:t xml:space="preserve"> These market prices reflect every consideration that investors make in determining the worth of shares to them and that the bond prices, and the yields that are derived from them, reflect every consideration that investors make in determining the worth of the asset to them, including "personal costs".</w:t>
            </w:r>
            <w:r w:rsidRPr="00B27BE5">
              <w:rPr>
                <w:rStyle w:val="FootnoteReference"/>
              </w:rPr>
              <w:footnoteReference w:id="255"/>
            </w:r>
          </w:p>
        </w:tc>
        <w:tc>
          <w:tcPr>
            <w:tcW w:w="1945" w:type="pct"/>
          </w:tcPr>
          <w:p w:rsidR="00B27BE5" w:rsidRPr="00B27BE5" w:rsidRDefault="00B27BE5" w:rsidP="00B27BE5">
            <w:r w:rsidRPr="00B27BE5">
              <w:t xml:space="preserve">The market value of imputation credits is inferred from dividend drop off studies which measure the dividend drop off ratio. The value of imputation credits from dividend drop off studies is influenced by differential personal taxation of dividend income and capital gains. It reflects investor's preference for capital gains over dividend income given the preferential tax treatment of capital gains in Australia. As such, it does not reflect a post-tax value consistent with the </w:t>
            </w:r>
            <w:r w:rsidR="00983582">
              <w:t>f</w:t>
            </w:r>
            <w:r w:rsidRPr="00B27BE5">
              <w:t>ramework in the NER/N</w:t>
            </w:r>
            <w:r w:rsidR="00345C01">
              <w:t>G</w:t>
            </w:r>
            <w:r w:rsidRPr="00B27BE5">
              <w:t>R based on Officer's work</w:t>
            </w:r>
            <w:r w:rsidR="00983582">
              <w:t>.</w:t>
            </w:r>
          </w:p>
          <w:p w:rsidR="00B27BE5" w:rsidRPr="00B27BE5" w:rsidRDefault="00983582" w:rsidP="004B6F8C">
            <w:r>
              <w:t>We</w:t>
            </w:r>
            <w:r w:rsidR="00B27BE5" w:rsidRPr="00883125">
              <w:t xml:space="preserve"> consider all parameters in the WACC are calculated on a consistent basis. In </w:t>
            </w:r>
            <w:r w:rsidR="00B27BE5" w:rsidRPr="00B27BE5">
              <w:t xml:space="preserve">the WACC </w:t>
            </w:r>
            <w:r>
              <w:t>we use</w:t>
            </w:r>
            <w:r w:rsidR="00B27BE5" w:rsidRPr="00B27BE5">
              <w:t xml:space="preserve"> both market values (equity and debt prices) and face values (dividends, imputation credits, debt coupons, debt principal). </w:t>
            </w:r>
            <w:r w:rsidR="004B6F8C">
              <w:t>We</w:t>
            </w:r>
            <w:r w:rsidR="00B27BE5" w:rsidRPr="00B27BE5">
              <w:t xml:space="preserve"> use the face value for imputation credits because this value is a pre-personal tax value and is internally consistent with all other allowed rate of return parameters. </w:t>
            </w:r>
            <w:r w:rsidR="004B6F8C">
              <w:t>We note</w:t>
            </w:r>
            <w:r w:rsidR="00B27BE5" w:rsidRPr="00B27BE5">
              <w:t xml:space="preserve"> personal tax is levie</w:t>
            </w:r>
            <w:r w:rsidR="00CB38D8">
              <w:t>d</w:t>
            </w:r>
            <w:r w:rsidR="00B27BE5" w:rsidRPr="00B27BE5">
              <w:t xml:space="preserve"> on the face value of imputation credits</w:t>
            </w:r>
            <w:r w:rsidR="00CB38D8">
              <w:t xml:space="preserve"> (levied on gross dividend</w:t>
            </w:r>
            <w:r w:rsidR="00372D19">
              <w:t>s</w:t>
            </w:r>
            <w:r w:rsidR="00CB38D8">
              <w:t>)</w:t>
            </w:r>
            <w:r w:rsidR="00B27BE5" w:rsidRPr="00B27BE5">
              <w:t xml:space="preserve">. </w:t>
            </w:r>
          </w:p>
        </w:tc>
      </w:tr>
      <w:tr w:rsidR="00B27BE5" w:rsidTr="005764F6">
        <w:tc>
          <w:tcPr>
            <w:tcW w:w="784" w:type="pct"/>
          </w:tcPr>
          <w:p w:rsidR="00B27BE5" w:rsidRPr="00B27BE5" w:rsidRDefault="00B27BE5" w:rsidP="00B27BE5">
            <w:r w:rsidRPr="00883125">
              <w:t xml:space="preserve">The need to re-evaluate </w:t>
            </w:r>
            <w:r w:rsidRPr="00883125">
              <w:lastRenderedPageBreak/>
              <w:t>gamma</w:t>
            </w:r>
          </w:p>
        </w:tc>
        <w:tc>
          <w:tcPr>
            <w:tcW w:w="2271" w:type="pct"/>
          </w:tcPr>
          <w:p w:rsidR="00B27BE5" w:rsidRPr="00B27BE5" w:rsidRDefault="00B27BE5" w:rsidP="00B27BE5">
            <w:r w:rsidRPr="00883125">
              <w:lastRenderedPageBreak/>
              <w:t xml:space="preserve">Changes to the NER and the NEL allow </w:t>
            </w:r>
            <w:r w:rsidRPr="00B27BE5">
              <w:t xml:space="preserve">the AER greater flexibility to adopt a more </w:t>
            </w:r>
            <w:r w:rsidRPr="00B27BE5">
              <w:lastRenderedPageBreak/>
              <w:t>sophisticated approach to the cost of capital than previously envisaged by the NER and the NEL.</w:t>
            </w:r>
            <w:r w:rsidRPr="00B27BE5">
              <w:rPr>
                <w:rStyle w:val="FootnoteReference"/>
              </w:rPr>
              <w:footnoteReference w:id="256"/>
            </w:r>
            <w:r w:rsidRPr="00B27BE5">
              <w:t xml:space="preserve"> It is appropriate that the AER should use that additional flexibility to seek advice on alternatives to the Officer Framework that better define the impact of imputation credits on the cost of capital.</w:t>
            </w:r>
            <w:r w:rsidRPr="00B27BE5">
              <w:rPr>
                <w:rStyle w:val="FootnoteReference"/>
              </w:rPr>
              <w:footnoteReference w:id="257"/>
            </w:r>
          </w:p>
          <w:p w:rsidR="00B27BE5" w:rsidRPr="00B27BE5" w:rsidRDefault="00B27BE5" w:rsidP="00B27BE5">
            <w:r w:rsidRPr="00883125">
              <w:t>Suggested that given the New Zealand High Court decision financial modelling may not yet have produced a workable version of a CAPM that incorporates a generalised treatment of imputation credits, in which case the AER would necessarily have to make judgements about whether and how to modify the methodology in the RoR Guidelines for factors subsequently raise in advice it received from experts.</w:t>
            </w:r>
            <w:r w:rsidRPr="00B27BE5">
              <w:rPr>
                <w:rStyle w:val="FootnoteReference"/>
              </w:rPr>
              <w:footnoteReference w:id="258"/>
            </w:r>
          </w:p>
          <w:p w:rsidR="00B27BE5" w:rsidRPr="00B27BE5" w:rsidRDefault="00B27BE5" w:rsidP="00B27BE5">
            <w:r w:rsidRPr="00883125">
              <w:t>Experts present no consistently coherent CAPM framework for the assessment of the components of the cost of capital. There are models with disputed applicability which may or may not be consistent with the application of a vanilla WACC.</w:t>
            </w:r>
            <w:r w:rsidRPr="00B27BE5">
              <w:rPr>
                <w:rStyle w:val="FootnoteReference"/>
              </w:rPr>
              <w:footnoteReference w:id="259"/>
            </w:r>
          </w:p>
        </w:tc>
        <w:tc>
          <w:tcPr>
            <w:tcW w:w="1945" w:type="pct"/>
          </w:tcPr>
          <w:p w:rsidR="00B27BE5" w:rsidRPr="00B27BE5" w:rsidRDefault="004B6F8C" w:rsidP="004B6F8C">
            <w:r>
              <w:lastRenderedPageBreak/>
              <w:t>We</w:t>
            </w:r>
            <w:r w:rsidR="00B27BE5" w:rsidRPr="00883125">
              <w:t xml:space="preserve"> remain of the view that Officer Framewor</w:t>
            </w:r>
            <w:r w:rsidR="00B27BE5" w:rsidRPr="00B27BE5">
              <w:t xml:space="preserve">k remains appropriate for the </w:t>
            </w:r>
            <w:r w:rsidR="00B27BE5" w:rsidRPr="00B27BE5">
              <w:lastRenderedPageBreak/>
              <w:t xml:space="preserve">current final decisions. </w:t>
            </w:r>
            <w:r>
              <w:t>We</w:t>
            </w:r>
            <w:r w:rsidR="00B27BE5" w:rsidRPr="00B27BE5">
              <w:t xml:space="preserve"> consider </w:t>
            </w:r>
            <w:r>
              <w:t>our</w:t>
            </w:r>
            <w:r w:rsidRPr="00B27BE5">
              <w:t xml:space="preserve"> </w:t>
            </w:r>
            <w:r w:rsidR="00B27BE5" w:rsidRPr="00B27BE5">
              <w:t xml:space="preserve">application of the Officer Framework will lead to an overall rate of return (inclusive of the value of imputation credits) that is commensurate with the efficient </w:t>
            </w:r>
            <w:r w:rsidR="00FD7A90" w:rsidRPr="00B27BE5">
              <w:t>financing</w:t>
            </w:r>
            <w:r w:rsidR="00B27BE5" w:rsidRPr="00B27BE5">
              <w:t xml:space="preserve"> costs of </w:t>
            </w:r>
            <w:r>
              <w:t>a</w:t>
            </w:r>
            <w:r w:rsidRPr="00B27BE5">
              <w:t xml:space="preserve"> </w:t>
            </w:r>
            <w:r w:rsidR="00B27BE5" w:rsidRPr="00B27BE5">
              <w:t>benchmark efficient entity in the provision of regulated services</w:t>
            </w:r>
            <w:r w:rsidR="00477B36">
              <w:t>.</w:t>
            </w:r>
            <w:r w:rsidR="00B90EE7">
              <w:t xml:space="preserve"> I</w:t>
            </w:r>
          </w:p>
        </w:tc>
      </w:tr>
    </w:tbl>
    <w:p w:rsidR="00B27BE5" w:rsidRPr="00883125" w:rsidRDefault="00B27BE5" w:rsidP="00B27BE5">
      <w:pPr>
        <w:pStyle w:val="AERtablesource"/>
      </w:pPr>
      <w:r w:rsidRPr="00883125">
        <w:lastRenderedPageBreak/>
        <w:t xml:space="preserve">Source: </w:t>
      </w:r>
      <w:r w:rsidRPr="00883125">
        <w:tab/>
        <w:t>As specified in table.</w:t>
      </w:r>
    </w:p>
    <w:p w:rsidR="00B27BE5" w:rsidRPr="00883125" w:rsidRDefault="00B27BE5" w:rsidP="00B27BE5"/>
    <w:p w:rsidR="00B27BE5" w:rsidRPr="00883125" w:rsidRDefault="00B27BE5" w:rsidP="00B27BE5">
      <w:pPr>
        <w:sectPr w:rsidR="00B27BE5" w:rsidRPr="00883125" w:rsidSect="00B27BE5">
          <w:pgSz w:w="16838" w:h="11906" w:orient="landscape"/>
          <w:pgMar w:top="1440" w:right="1440" w:bottom="1440" w:left="1440" w:header="709" w:footer="709" w:gutter="0"/>
          <w:pgNumType w:chapStyle="1"/>
          <w:cols w:space="708"/>
          <w:docGrid w:linePitch="360"/>
        </w:sectPr>
      </w:pPr>
    </w:p>
    <w:p w:rsidR="00B27BE5" w:rsidRPr="00B27BE5" w:rsidRDefault="00B27BE5" w:rsidP="00B27BE5"/>
    <w:p w:rsidR="00B27BE5" w:rsidRPr="00883125" w:rsidRDefault="005F24C5" w:rsidP="00B27BE5">
      <w:pPr>
        <w:pStyle w:val="Heading9"/>
      </w:pPr>
      <w:r>
        <w:t xml:space="preserve"> </w:t>
      </w:r>
      <w:r w:rsidR="00B27BE5" w:rsidRPr="00883125">
        <w:t>Energex</w:t>
      </w:r>
    </w:p>
    <w:p w:rsidR="00B27BE5" w:rsidRPr="00883125" w:rsidRDefault="00B27BE5" w:rsidP="00B27BE5">
      <w:pPr>
        <w:numPr>
          <w:ilvl w:val="0"/>
          <w:numId w:val="24"/>
        </w:numPr>
      </w:pPr>
      <w:r w:rsidRPr="00883125">
        <w:t>In our 2009 industry wide review of rate of return parameters (the 2009 WACC review), we adopted a gamma of 0.65.</w:t>
      </w:r>
      <w:r w:rsidRPr="00883125">
        <w:rPr>
          <w:rStyle w:val="FootnoteReference"/>
        </w:rPr>
        <w:footnoteReference w:id="260"/>
      </w:r>
      <w:r w:rsidRPr="00883125">
        <w:t xml:space="preserve"> In 2009, we applied this value in the Queensland and South Australian electricity distribution determinations. Energex and Ergon successfully sought review of this decision by the Australian Competition Tribunal. The Tribunal set the distribution rate to 0.7 and initiated a dividend drop off study from SFG to estimate the utilisation rate. The Tribunal adopted SFG's recommendation that the utilisation rate be set at 0.35. This resulted in a gamma of 0.25. </w:t>
      </w:r>
    </w:p>
    <w:p w:rsidR="00B27BE5" w:rsidRPr="00883125" w:rsidRDefault="00B27BE5" w:rsidP="00B27BE5">
      <w:r w:rsidRPr="00883125">
        <w:t xml:space="preserve">In reaching its position, the Tribunal expressed views on the important factors in its decisions. This included areas where the Tribunal felt its understanding was incomplete, as summarised in </w:t>
      </w:r>
      <w:r w:rsidRPr="00883125">
        <w:fldChar w:fldCharType="begin"/>
      </w:r>
      <w:r w:rsidRPr="00883125">
        <w:instrText xml:space="preserve"> REF  _Ref400609646 \* Lower \h  \* MERGEFORMAT </w:instrText>
      </w:r>
      <w:r w:rsidRPr="00883125">
        <w:fldChar w:fldCharType="separate"/>
      </w:r>
      <w:r w:rsidR="00881794" w:rsidRPr="00883125">
        <w:t xml:space="preserve">table </w:t>
      </w:r>
      <w:r w:rsidR="00881794">
        <w:t>4</w:t>
      </w:r>
      <w:r w:rsidR="00881794">
        <w:noBreakHyphen/>
        <w:t>9</w:t>
      </w:r>
      <w:r w:rsidRPr="00883125">
        <w:fldChar w:fldCharType="end"/>
      </w:r>
      <w:r w:rsidRPr="00883125">
        <w:t xml:space="preserve"> below. We have carefully considered these views.</w:t>
      </w:r>
    </w:p>
    <w:p w:rsidR="00B27BE5" w:rsidRPr="00883125" w:rsidRDefault="00B27BE5" w:rsidP="00B27BE5"/>
    <w:p w:rsidR="00B27BE5" w:rsidRPr="00883125" w:rsidRDefault="00B27BE5" w:rsidP="00B27BE5">
      <w:pPr>
        <w:sectPr w:rsidR="00B27BE5" w:rsidRPr="00883125" w:rsidSect="00ED4FB6">
          <w:pgSz w:w="11906" w:h="16838"/>
          <w:pgMar w:top="1440" w:right="1440" w:bottom="1440" w:left="1440" w:header="708" w:footer="708" w:gutter="0"/>
          <w:pgNumType w:chapStyle="1"/>
          <w:cols w:space="708"/>
          <w:docGrid w:linePitch="360"/>
        </w:sectPr>
      </w:pPr>
    </w:p>
    <w:p w:rsidR="00B27BE5" w:rsidRPr="00883125" w:rsidRDefault="00B27BE5" w:rsidP="00B27BE5"/>
    <w:p w:rsidR="00B27BE5" w:rsidRPr="00883125" w:rsidRDefault="00B27BE5" w:rsidP="00B27BE5">
      <w:pPr>
        <w:pStyle w:val="Caption"/>
      </w:pPr>
      <w:bookmarkStart w:id="101" w:name="_Ref400609646"/>
      <w:bookmarkStart w:id="102" w:name="_Ref401260171"/>
      <w:r w:rsidRPr="00883125">
        <w:t xml:space="preserve">Table </w:t>
      </w:r>
      <w:r w:rsidR="004B4BF3">
        <w:fldChar w:fldCharType="begin"/>
      </w:r>
      <w:r w:rsidR="004B4BF3">
        <w:instrText xml:space="preserve"> STYLEREF 1 \s </w:instrText>
      </w:r>
      <w:r w:rsidR="004B4BF3">
        <w:fldChar w:fldCharType="separate"/>
      </w:r>
      <w:r w:rsidR="00881794">
        <w:rPr>
          <w:noProof/>
        </w:rPr>
        <w:t>4</w:t>
      </w:r>
      <w:r w:rsidR="004B4BF3">
        <w:rPr>
          <w:noProof/>
        </w:rPr>
        <w:fldChar w:fldCharType="end"/>
      </w:r>
      <w:r>
        <w:noBreakHyphen/>
      </w:r>
      <w:r w:rsidR="004B4BF3">
        <w:fldChar w:fldCharType="begin"/>
      </w:r>
      <w:r w:rsidR="004B4BF3">
        <w:instrText xml:space="preserve"> SEQ Table \* ARABIC \s 1 </w:instrText>
      </w:r>
      <w:r w:rsidR="004B4BF3">
        <w:fldChar w:fldCharType="separate"/>
      </w:r>
      <w:r w:rsidR="00881794">
        <w:rPr>
          <w:noProof/>
        </w:rPr>
        <w:t>9</w:t>
      </w:r>
      <w:r w:rsidR="004B4BF3">
        <w:rPr>
          <w:noProof/>
        </w:rPr>
        <w:fldChar w:fldCharType="end"/>
      </w:r>
      <w:bookmarkEnd w:id="101"/>
      <w:r w:rsidRPr="00883125">
        <w:tab/>
        <w:t>Australian Competition Tribunal's observations on imputation credits</w:t>
      </w:r>
      <w:bookmarkEnd w:id="102"/>
      <w:r w:rsidRPr="00883125">
        <w:t xml:space="preserve"> in Energex matter</w:t>
      </w:r>
    </w:p>
    <w:tbl>
      <w:tblPr>
        <w:tblStyle w:val="AERtable-text0"/>
        <w:tblW w:w="5000" w:type="pct"/>
        <w:tblLook w:val="04A0" w:firstRow="1" w:lastRow="0" w:firstColumn="1" w:lastColumn="0" w:noHBand="0" w:noVBand="1"/>
      </w:tblPr>
      <w:tblGrid>
        <w:gridCol w:w="2222"/>
        <w:gridCol w:w="6438"/>
        <w:gridCol w:w="5514"/>
      </w:tblGrid>
      <w:tr w:rsidR="00B27BE5" w:rsidTr="00164D25">
        <w:trPr>
          <w:cnfStyle w:val="100000000000" w:firstRow="1" w:lastRow="0" w:firstColumn="0" w:lastColumn="0" w:oddVBand="0" w:evenVBand="0" w:oddHBand="0" w:evenHBand="0" w:firstRowFirstColumn="0" w:firstRowLastColumn="0" w:lastRowFirstColumn="0" w:lastRowLastColumn="0"/>
          <w:tblHeader/>
        </w:trPr>
        <w:tc>
          <w:tcPr>
            <w:tcW w:w="784" w:type="pct"/>
          </w:tcPr>
          <w:p w:rsidR="00B27BE5" w:rsidRPr="00B27BE5" w:rsidRDefault="00B27BE5" w:rsidP="00B27BE5">
            <w:r w:rsidRPr="00883125">
              <w:t>Issue</w:t>
            </w:r>
          </w:p>
        </w:tc>
        <w:tc>
          <w:tcPr>
            <w:tcW w:w="2271" w:type="pct"/>
          </w:tcPr>
          <w:p w:rsidR="00B27BE5" w:rsidRPr="00B27BE5" w:rsidRDefault="00B27BE5" w:rsidP="00B27BE5">
            <w:r w:rsidRPr="00883125">
              <w:t>Tribunal comments</w:t>
            </w:r>
          </w:p>
        </w:tc>
        <w:tc>
          <w:tcPr>
            <w:tcW w:w="1945" w:type="pct"/>
          </w:tcPr>
          <w:p w:rsidR="00B27BE5" w:rsidRPr="00B27BE5" w:rsidRDefault="00B27BE5" w:rsidP="00B27BE5">
            <w:r w:rsidRPr="00883125">
              <w:t>AER comments</w:t>
            </w:r>
          </w:p>
        </w:tc>
      </w:tr>
      <w:tr w:rsidR="00B27BE5" w:rsidTr="00477B36">
        <w:tc>
          <w:tcPr>
            <w:tcW w:w="784" w:type="pct"/>
          </w:tcPr>
          <w:p w:rsidR="00B27BE5" w:rsidRPr="00B27BE5" w:rsidRDefault="00B27BE5" w:rsidP="00B27BE5">
            <w:r w:rsidRPr="00883125">
              <w:t>The conceptual framework for gamma</w:t>
            </w:r>
          </w:p>
        </w:tc>
        <w:tc>
          <w:tcPr>
            <w:tcW w:w="2271" w:type="pct"/>
          </w:tcPr>
          <w:p w:rsidR="00B27BE5" w:rsidRPr="00B27BE5" w:rsidRDefault="00B27BE5" w:rsidP="00B27BE5">
            <w:r w:rsidRPr="00883125">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B27BE5" w:rsidRPr="00B27BE5" w:rsidRDefault="00B27BE5" w:rsidP="00B27BE5">
            <w:r w:rsidRPr="00883125">
              <w:t>The Tribunal would be assisted in its consideration of the issues before it if the AER were to provide relevant extrinsic material explaining:</w:t>
            </w:r>
          </w:p>
          <w:p w:rsidR="00B27BE5" w:rsidRPr="00B27BE5" w:rsidRDefault="00B27BE5" w:rsidP="00B27BE5">
            <w:r w:rsidRPr="00883125">
              <w:t>(a) the rationale for including the gamma component in the formula for calculating the estimated cost of corporate income tax; and</w:t>
            </w:r>
          </w:p>
          <w:p w:rsidR="00B27BE5" w:rsidRPr="00B27BE5" w:rsidRDefault="00B27BE5" w:rsidP="00B27BE5">
            <w:r w:rsidRPr="00883125">
              <w:t>(b) how it relates to the rest of the building blocks, especially the rate of return (cl 6.4.3(a) and cl 6.5.2(b) of the Rules)."</w:t>
            </w:r>
            <w:r w:rsidRPr="00B27BE5">
              <w:rPr>
                <w:rStyle w:val="FootnoteReference"/>
              </w:rPr>
              <w:footnoteReference w:id="261"/>
            </w:r>
          </w:p>
        </w:tc>
        <w:tc>
          <w:tcPr>
            <w:tcW w:w="1945" w:type="pct"/>
          </w:tcPr>
          <w:p w:rsidR="00B27BE5" w:rsidRDefault="00B27BE5" w:rsidP="00B27BE5">
            <w:r w:rsidRPr="00883125">
              <w:t>In developing the Guideline, we re-evaluated the conceptual framework for the value of imputation credits. In making this final decision, we have built on this re-evaluation</w:t>
            </w:r>
            <w:r w:rsidRPr="00B27BE5">
              <w:t xml:space="preserve">. We discuss the role of the value of imputation credits and the underlying conceptual framework in sections </w:t>
            </w:r>
            <w:r w:rsidRPr="00B27BE5">
              <w:fldChar w:fldCharType="begin"/>
            </w:r>
            <w:r w:rsidRPr="00B27BE5">
              <w:instrText xml:space="preserve"> REF _Ref415144114 \r \h  \* MERGEFORMAT </w:instrText>
            </w:r>
            <w:r w:rsidRPr="00B27BE5">
              <w:fldChar w:fldCharType="separate"/>
            </w:r>
            <w:r w:rsidR="00881794">
              <w:t>A.5</w:t>
            </w:r>
            <w:r w:rsidRPr="00B27BE5">
              <w:fldChar w:fldCharType="end"/>
            </w:r>
            <w:r w:rsidRPr="00B27BE5">
              <w:t xml:space="preserve"> and </w:t>
            </w:r>
            <w:r w:rsidRPr="00B27BE5">
              <w:fldChar w:fldCharType="begin"/>
            </w:r>
            <w:r w:rsidRPr="00B27BE5">
              <w:instrText xml:space="preserve"> REF _Ref400965182 \r \h  \* MERGEFORMAT </w:instrText>
            </w:r>
            <w:r w:rsidRPr="00B27BE5">
              <w:fldChar w:fldCharType="separate"/>
            </w:r>
            <w:r w:rsidR="00881794">
              <w:t>A.6</w:t>
            </w:r>
            <w:r w:rsidRPr="00B27BE5">
              <w:fldChar w:fldCharType="end"/>
            </w:r>
            <w:r w:rsidRPr="00B27BE5">
              <w:t>.</w:t>
            </w:r>
          </w:p>
          <w:p w:rsidR="00477B36" w:rsidRPr="00B27BE5" w:rsidRDefault="00477B36" w:rsidP="00477B36">
            <w:r>
              <w:t xml:space="preserve">Also see our response above in section </w:t>
            </w:r>
            <w:r>
              <w:fldChar w:fldCharType="begin"/>
            </w:r>
            <w:r>
              <w:instrText xml:space="preserve"> REF _Ref451813952 \r \h </w:instrText>
            </w:r>
            <w:r>
              <w:fldChar w:fldCharType="separate"/>
            </w:r>
            <w:r w:rsidR="00881794">
              <w:t>A.3.1</w:t>
            </w:r>
            <w:r>
              <w:fldChar w:fldCharType="end"/>
            </w:r>
            <w:r>
              <w:t xml:space="preserve"> under ' </w:t>
            </w:r>
            <w:r w:rsidRPr="00477B36">
              <w:t>The conceptual framework for gamma</w:t>
            </w:r>
            <w:r>
              <w:t>'.</w:t>
            </w:r>
          </w:p>
        </w:tc>
      </w:tr>
      <w:tr w:rsidR="00B27BE5" w:rsidTr="00477B36">
        <w:trPr>
          <w:cnfStyle w:val="000000010000" w:firstRow="0" w:lastRow="0" w:firstColumn="0" w:lastColumn="0" w:oddVBand="0" w:evenVBand="0" w:oddHBand="0" w:evenHBand="1" w:firstRowFirstColumn="0" w:firstRowLastColumn="0" w:lastRowFirstColumn="0" w:lastRowLastColumn="0"/>
        </w:trPr>
        <w:tc>
          <w:tcPr>
            <w:tcW w:w="784" w:type="pct"/>
          </w:tcPr>
          <w:p w:rsidR="00B27BE5" w:rsidRPr="00B27BE5" w:rsidRDefault="00B27BE5" w:rsidP="00B27BE5">
            <w:r w:rsidRPr="00883125">
              <w:t>The distribution rate (payout ratio)</w:t>
            </w:r>
          </w:p>
        </w:tc>
        <w:tc>
          <w:tcPr>
            <w:tcW w:w="2271" w:type="pct"/>
          </w:tcPr>
          <w:p w:rsidR="00B27BE5" w:rsidRPr="00B27BE5" w:rsidRDefault="00B27BE5" w:rsidP="00B27BE5">
            <w:r w:rsidRPr="00883125">
              <w:t>"…there is [was] no empirical evidence currently available supporting a distribution ratio higher than 0.70."</w:t>
            </w:r>
            <w:r w:rsidRPr="00B27BE5">
              <w:rPr>
                <w:rStyle w:val="FootnoteReference"/>
              </w:rPr>
              <w:footnoteReference w:id="262"/>
            </w:r>
          </w:p>
        </w:tc>
        <w:tc>
          <w:tcPr>
            <w:tcW w:w="1945" w:type="pct"/>
          </w:tcPr>
          <w:p w:rsidR="00FD7A90" w:rsidRDefault="00B27BE5" w:rsidP="00FD7A90">
            <w:r w:rsidRPr="00883125">
              <w:t xml:space="preserve">As discussed in </w:t>
            </w:r>
            <w:r w:rsidRPr="00B27BE5">
              <w:t xml:space="preserve">section </w:t>
            </w:r>
            <w:r w:rsidRPr="00B27BE5">
              <w:fldChar w:fldCharType="begin"/>
            </w:r>
            <w:r w:rsidRPr="00B27BE5">
              <w:instrText xml:space="preserve"> REF _Ref401133206 \r \h  \* MERGEFORMAT </w:instrText>
            </w:r>
            <w:r w:rsidRPr="00B27BE5">
              <w:fldChar w:fldCharType="separate"/>
            </w:r>
            <w:r w:rsidR="00881794">
              <w:t>A.10</w:t>
            </w:r>
            <w:r w:rsidRPr="00B27BE5">
              <w:fldChar w:fldCharType="end"/>
            </w:r>
            <w:r w:rsidRPr="00B27BE5">
              <w:t xml:space="preserve"> of this appendix, we consider that a distribution rate of 0.7 across all equity </w:t>
            </w:r>
            <w:r w:rsidR="00FD7A90">
              <w:t xml:space="preserve"> and</w:t>
            </w:r>
            <w:r w:rsidRPr="00B27BE5">
              <w:t xml:space="preserve"> </w:t>
            </w:r>
            <w:r w:rsidR="00FD7A90">
              <w:t xml:space="preserve">a </w:t>
            </w:r>
            <w:r w:rsidRPr="00B27BE5">
              <w:t>distribution rate of 0.77</w:t>
            </w:r>
            <w:r w:rsidR="00FD7A90">
              <w:t xml:space="preserve"> for listed equity is appropriate</w:t>
            </w:r>
            <w:r w:rsidR="00477B36">
              <w:t xml:space="preserve"> for a benchmark efficient entity</w:t>
            </w:r>
            <w:r w:rsidRPr="00B27BE5">
              <w:t>. Lally also finds a distribution rate of 0.8</w:t>
            </w:r>
            <w:r w:rsidR="00FD7A90">
              <w:t>3</w:t>
            </w:r>
            <w:r w:rsidRPr="00B27BE5">
              <w:t xml:space="preserve"> </w:t>
            </w:r>
            <w:r w:rsidR="00477B36">
              <w:t>for listed equity estimated from financial reports of</w:t>
            </w:r>
            <w:r w:rsidR="00477B36" w:rsidRPr="00B27BE5">
              <w:t xml:space="preserve"> </w:t>
            </w:r>
            <w:r w:rsidRPr="00B27BE5">
              <w:t>the largest 20 listed companies.</w:t>
            </w:r>
          </w:p>
          <w:p w:rsidR="00B27BE5" w:rsidRPr="00B27BE5" w:rsidRDefault="00477B36" w:rsidP="00477B36">
            <w:r>
              <w:t xml:space="preserve">Also see </w:t>
            </w:r>
            <w:r w:rsidRPr="00477B36">
              <w:t xml:space="preserve">our response above in section </w:t>
            </w:r>
            <w:r w:rsidRPr="00477B36">
              <w:fldChar w:fldCharType="begin"/>
            </w:r>
            <w:r w:rsidRPr="00477B36">
              <w:instrText xml:space="preserve"> REF _Ref451813952 \r \h </w:instrText>
            </w:r>
            <w:r w:rsidRPr="00477B36">
              <w:fldChar w:fldCharType="separate"/>
            </w:r>
            <w:r w:rsidR="00881794">
              <w:t>A.3.1</w:t>
            </w:r>
            <w:r w:rsidRPr="00477B36">
              <w:fldChar w:fldCharType="end"/>
            </w:r>
            <w:r>
              <w:t xml:space="preserve"> under '</w:t>
            </w:r>
            <w:r w:rsidRPr="00477B36">
              <w:t>The distribution rate (payout ratio)</w:t>
            </w:r>
            <w:r>
              <w:t>'.</w:t>
            </w:r>
            <w:r w:rsidR="00B27BE5" w:rsidRPr="00B27BE5">
              <w:t xml:space="preserve"> </w:t>
            </w:r>
          </w:p>
        </w:tc>
      </w:tr>
      <w:tr w:rsidR="00B27BE5" w:rsidRPr="00B45BDD" w:rsidTr="00477B36">
        <w:tc>
          <w:tcPr>
            <w:tcW w:w="784" w:type="pct"/>
          </w:tcPr>
          <w:p w:rsidR="00B27BE5" w:rsidRPr="00B27BE5" w:rsidRDefault="00B27BE5" w:rsidP="00B27BE5">
            <w:r w:rsidRPr="00883125">
              <w:t>Tax statistic estimates</w:t>
            </w:r>
          </w:p>
        </w:tc>
        <w:tc>
          <w:tcPr>
            <w:tcW w:w="2271" w:type="pct"/>
          </w:tcPr>
          <w:p w:rsidR="00B27BE5" w:rsidRPr="00B27BE5" w:rsidRDefault="00B27BE5" w:rsidP="00B27BE5">
            <w:r w:rsidRPr="00883125">
              <w:t xml:space="preserve">"The AER accepted that utilisation rates derived from tax statistics provide an upper bound on possible values of theta. Setting aside the manner in which the AER derived a value from the tax statistics study, it correctly considered that information from a tax </w:t>
            </w:r>
            <w:r w:rsidRPr="00883125">
              <w:lastRenderedPageBreak/>
              <w:t>statistics study was relevant. However, its relevance could only be related to the fact that it was an upper bound. No estimate that exceeded a genuine upper bound could be correct. Thus the appropriate way to use the tax statistics figure was as a check."</w:t>
            </w:r>
            <w:r w:rsidRPr="00B27BE5">
              <w:rPr>
                <w:rStyle w:val="FootnoteReference"/>
              </w:rPr>
              <w:footnoteReference w:id="263"/>
            </w:r>
          </w:p>
          <w:p w:rsidR="00B27BE5" w:rsidRPr="00B27BE5" w:rsidRDefault="00B27BE5" w:rsidP="00B27BE5">
            <w:r w:rsidRPr="00883125">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B27BE5" w:rsidRPr="00B27BE5" w:rsidRDefault="00B27BE5" w:rsidP="00B27BE5">
            <w:r w:rsidRPr="00883125">
              <w:t xml:space="preserve">- estimates from dividend drop-off studies are very imprecise and of questionable reliability; </w:t>
            </w:r>
          </w:p>
          <w:p w:rsidR="00B27BE5" w:rsidRPr="00B27BE5" w:rsidRDefault="00B27BE5" w:rsidP="00B27BE5">
            <w:r w:rsidRPr="00883125">
              <w:t xml:space="preserve">- such studies are likely to produce downwardly-biased estimates of theta; and </w:t>
            </w:r>
          </w:p>
          <w:p w:rsidR="00B27BE5" w:rsidRPr="00B27BE5" w:rsidRDefault="00B27BE5" w:rsidP="00B27BE5">
            <w:r w:rsidRPr="00883125">
              <w:t>- taxation studies do not give an upper bound to theta.</w:t>
            </w:r>
          </w:p>
          <w:p w:rsidR="00B27BE5" w:rsidRPr="00B27BE5" w:rsidRDefault="00B27BE5" w:rsidP="00B27BE5">
            <w:r w:rsidRPr="00883125">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B27BE5" w:rsidRPr="00B27BE5" w:rsidRDefault="00B27BE5" w:rsidP="00B27BE5">
            <w:r w:rsidRPr="00883125">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B27BE5">
              <w:rPr>
                <w:rStyle w:val="FootnoteReference"/>
              </w:rPr>
              <w:footnoteReference w:id="264"/>
            </w:r>
          </w:p>
        </w:tc>
        <w:tc>
          <w:tcPr>
            <w:tcW w:w="1945" w:type="pct"/>
          </w:tcPr>
          <w:p w:rsidR="00B27BE5" w:rsidRDefault="00B27BE5" w:rsidP="00FD7A90">
            <w:r w:rsidRPr="00883125">
              <w:lastRenderedPageBreak/>
              <w:t xml:space="preserve">Handley advised that his previous comments regarding the use of tax statistics being an 'upper bound' were misinterpreted in these proceedings. Handley confirmed that tax statistics can be used to produce a point </w:t>
            </w:r>
            <w:r w:rsidRPr="00883125">
              <w:lastRenderedPageBreak/>
              <w:t xml:space="preserve">estimate of the utilisation rate. We discussed Handley's views in section A.6.1 of </w:t>
            </w:r>
            <w:r w:rsidR="00477B36">
              <w:t>our</w:t>
            </w:r>
            <w:r w:rsidR="00477B36" w:rsidRPr="00883125">
              <w:t xml:space="preserve"> </w:t>
            </w:r>
            <w:r w:rsidRPr="00883125">
              <w:t>draft</w:t>
            </w:r>
            <w:r w:rsidR="00477B36">
              <w:t>/preliminary</w:t>
            </w:r>
            <w:r w:rsidRPr="00883125">
              <w:t xml:space="preserve"> decisions. We discuss the use of tax statistics more broadly in </w:t>
            </w:r>
            <w:r w:rsidRPr="00B27BE5">
              <w:t xml:space="preserve">section </w:t>
            </w:r>
            <w:r w:rsidRPr="00B27BE5">
              <w:fldChar w:fldCharType="begin"/>
            </w:r>
            <w:r w:rsidRPr="00B27BE5">
              <w:instrText xml:space="preserve"> REF _Ref402179420 \r \h  \* MERGEFORMAT </w:instrText>
            </w:r>
            <w:r w:rsidRPr="00B27BE5">
              <w:fldChar w:fldCharType="separate"/>
            </w:r>
            <w:r w:rsidR="00881794">
              <w:t>A.13</w:t>
            </w:r>
            <w:r w:rsidRPr="00B27BE5">
              <w:fldChar w:fldCharType="end"/>
            </w:r>
            <w:r w:rsidRPr="00B27BE5">
              <w:t xml:space="preserve"> of this appendix.</w:t>
            </w:r>
          </w:p>
          <w:p w:rsidR="00FD7A90" w:rsidRPr="00FD7A90" w:rsidRDefault="00477B36" w:rsidP="00FD7A90">
            <w:r>
              <w:t>Also</w:t>
            </w:r>
            <w:r w:rsidRPr="00477B36">
              <w:t xml:space="preserve"> see our response above in section </w:t>
            </w:r>
            <w:r w:rsidRPr="00477B36">
              <w:fldChar w:fldCharType="begin"/>
            </w:r>
            <w:r w:rsidRPr="00477B36">
              <w:instrText xml:space="preserve"> REF _Ref451813952 \r \h </w:instrText>
            </w:r>
            <w:r w:rsidRPr="00477B36">
              <w:fldChar w:fldCharType="separate"/>
            </w:r>
            <w:r w:rsidR="00881794">
              <w:t>A.3.1</w:t>
            </w:r>
            <w:r w:rsidRPr="00477B36">
              <w:fldChar w:fldCharType="end"/>
            </w:r>
            <w:r w:rsidRPr="00477B36">
              <w:t xml:space="preserve"> under </w:t>
            </w:r>
            <w:r>
              <w:t>'</w:t>
            </w:r>
            <w:r w:rsidRPr="00477B36">
              <w:t>Tax statistic estimates'.</w:t>
            </w:r>
          </w:p>
          <w:p w:rsidR="00FD7A90" w:rsidRPr="00B27BE5" w:rsidRDefault="00FD7A90" w:rsidP="00FD7A90"/>
        </w:tc>
      </w:tr>
      <w:tr w:rsidR="00B27BE5" w:rsidRPr="00B45BDD" w:rsidTr="00477B36">
        <w:trPr>
          <w:cnfStyle w:val="000000010000" w:firstRow="0" w:lastRow="0" w:firstColumn="0" w:lastColumn="0" w:oddVBand="0" w:evenVBand="0" w:oddHBand="0" w:evenHBand="1" w:firstRowFirstColumn="0" w:firstRowLastColumn="0" w:lastRowFirstColumn="0" w:lastRowLastColumn="0"/>
        </w:trPr>
        <w:tc>
          <w:tcPr>
            <w:tcW w:w="784" w:type="pct"/>
          </w:tcPr>
          <w:p w:rsidR="00B27BE5" w:rsidRPr="00B27BE5" w:rsidRDefault="00B27BE5" w:rsidP="00B27BE5">
            <w:r w:rsidRPr="00883125">
              <w:lastRenderedPageBreak/>
              <w:t>The conceptual basis for dividend drop off studies</w:t>
            </w:r>
          </w:p>
        </w:tc>
        <w:tc>
          <w:tcPr>
            <w:tcW w:w="2271" w:type="pct"/>
          </w:tcPr>
          <w:p w:rsidR="00B27BE5" w:rsidRPr="00B27BE5" w:rsidRDefault="00B27BE5" w:rsidP="00B27BE5">
            <w:r w:rsidRPr="00883125">
              <w:t xml:space="preserve">"The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w:t>
            </w:r>
            <w:r w:rsidRPr="00883125">
              <w:lastRenderedPageBreak/>
              <w:t>issues raised in the Tribunal's earlier reasons regarding the arbitrage model underlying dividend drop-off studies.</w:t>
            </w:r>
          </w:p>
          <w:p w:rsidR="00B27BE5" w:rsidRPr="00B27BE5" w:rsidRDefault="00B27BE5" w:rsidP="00B27BE5">
            <w:r w:rsidRPr="00883125">
              <w:t>However, SIRCA's March 2011 report does not resolve these issues and the AER has provided no conclusions of its own."</w:t>
            </w:r>
            <w:r w:rsidRPr="00B27BE5">
              <w:rPr>
                <w:rStyle w:val="FootnoteReference"/>
              </w:rPr>
              <w:footnoteReference w:id="265"/>
            </w:r>
          </w:p>
        </w:tc>
        <w:tc>
          <w:tcPr>
            <w:tcW w:w="1945" w:type="pct"/>
          </w:tcPr>
          <w:p w:rsidR="00B27BE5" w:rsidRDefault="00B27BE5" w:rsidP="00FD7A90">
            <w:r w:rsidRPr="00883125">
              <w:lastRenderedPageBreak/>
              <w:t xml:space="preserve">The limitations of dividend drop off studies have been widely identified since these proceedings—we provide a selection of comments from academics and regulators in section </w:t>
            </w:r>
            <w:r w:rsidR="00FD7A90">
              <w:fldChar w:fldCharType="begin"/>
            </w:r>
            <w:r w:rsidR="00FD7A90">
              <w:instrText xml:space="preserve"> REF _Ref451267181 \r \h </w:instrText>
            </w:r>
            <w:r w:rsidR="00477B36">
              <w:instrText xml:space="preserve"> \* MERGEFORMAT </w:instrText>
            </w:r>
            <w:r w:rsidR="00FD7A90">
              <w:fldChar w:fldCharType="separate"/>
            </w:r>
            <w:r w:rsidR="00881794">
              <w:t>A.15</w:t>
            </w:r>
            <w:r w:rsidR="00FD7A90">
              <w:fldChar w:fldCharType="end"/>
            </w:r>
            <w:r w:rsidRPr="00B27BE5">
              <w:t xml:space="preserve">. Moreover, both Handley and Lally advised that other approaches to estimating the utilisation rate should </w:t>
            </w:r>
            <w:r w:rsidRPr="00B27BE5">
              <w:lastRenderedPageBreak/>
              <w:t>be preferred. Handley and Lally also advised that, without adjustment, dividend drop off studies produce downwards-biased estimates of the utilisation rate.</w:t>
            </w:r>
          </w:p>
          <w:p w:rsidR="00A7267D" w:rsidRPr="00B27BE5" w:rsidRDefault="00A7267D" w:rsidP="00A7267D">
            <w:r>
              <w:t>Also</w:t>
            </w:r>
            <w:r w:rsidRPr="00A7267D">
              <w:t xml:space="preserve"> see our response above in section </w:t>
            </w:r>
            <w:r w:rsidRPr="00A7267D">
              <w:fldChar w:fldCharType="begin"/>
            </w:r>
            <w:r w:rsidRPr="00A7267D">
              <w:instrText xml:space="preserve"> REF _Ref451813952 \r \h </w:instrText>
            </w:r>
            <w:r w:rsidRPr="00A7267D">
              <w:fldChar w:fldCharType="separate"/>
            </w:r>
            <w:r w:rsidR="00881794">
              <w:t>A.3.1</w:t>
            </w:r>
            <w:r w:rsidRPr="00A7267D">
              <w:fldChar w:fldCharType="end"/>
            </w:r>
            <w:r w:rsidRPr="00A7267D">
              <w:t xml:space="preserve"> under </w:t>
            </w:r>
            <w:r>
              <w:t>'</w:t>
            </w:r>
            <w:r w:rsidRPr="00A7267D">
              <w:t>The conceptual basis for dividend drop off studies '.</w:t>
            </w:r>
          </w:p>
        </w:tc>
      </w:tr>
      <w:tr w:rsidR="00B27BE5" w:rsidTr="00477B36">
        <w:tc>
          <w:tcPr>
            <w:tcW w:w="784" w:type="pct"/>
          </w:tcPr>
          <w:p w:rsidR="00B27BE5" w:rsidRPr="00B27BE5" w:rsidRDefault="00B27BE5" w:rsidP="00B27BE5">
            <w:r w:rsidRPr="00883125">
              <w:lastRenderedPageBreak/>
              <w:t>The need to re-evaluate gamma</w:t>
            </w:r>
          </w:p>
        </w:tc>
        <w:tc>
          <w:tcPr>
            <w:tcW w:w="2271" w:type="pct"/>
          </w:tcPr>
          <w:p w:rsidR="00B27BE5" w:rsidRPr="00B27BE5" w:rsidRDefault="00B27BE5" w:rsidP="00B27BE5">
            <w:r w:rsidRPr="00883125">
              <w:t>"Further, the Tribunal notes that estimation of a parameter such as gamma is necessarily, and desirably, an ongoing intellectual and empirical endeavour. Its decision in these proceedings is based on the material before it.”</w:t>
            </w:r>
            <w:r w:rsidRPr="00B27BE5">
              <w:rPr>
                <w:rStyle w:val="FootnoteReference"/>
              </w:rPr>
              <w:footnoteReference w:id="266"/>
            </w:r>
          </w:p>
        </w:tc>
        <w:tc>
          <w:tcPr>
            <w:tcW w:w="1945" w:type="pct"/>
          </w:tcPr>
          <w:p w:rsidR="00B27BE5" w:rsidRDefault="00B27BE5" w:rsidP="00B27BE5">
            <w:r w:rsidRPr="00883125">
              <w:t xml:space="preserve">Consistent with this comment, we have not sought to apply the Tribunal's previous considerations in this final decision. Instead, we adopt a value of imputation credits that is based on our assessment of the merits of the evidence before us, which includes a large amount of material that was not before the Tribunal in these proceedings. </w:t>
            </w:r>
          </w:p>
          <w:p w:rsidR="00A7267D" w:rsidRPr="00B27BE5" w:rsidRDefault="00A7267D" w:rsidP="00B27BE5">
            <w:r>
              <w:t>Also</w:t>
            </w:r>
            <w:r w:rsidRPr="00A7267D">
              <w:t xml:space="preserve"> see our response above in section </w:t>
            </w:r>
            <w:r w:rsidRPr="00A7267D">
              <w:fldChar w:fldCharType="begin"/>
            </w:r>
            <w:r w:rsidRPr="00A7267D">
              <w:instrText xml:space="preserve"> REF _Ref451813952 \r \h </w:instrText>
            </w:r>
            <w:r w:rsidRPr="00A7267D">
              <w:fldChar w:fldCharType="separate"/>
            </w:r>
            <w:r w:rsidR="00881794">
              <w:t>A.3.1</w:t>
            </w:r>
            <w:r w:rsidRPr="00A7267D">
              <w:fldChar w:fldCharType="end"/>
            </w:r>
            <w:r w:rsidRPr="00A7267D">
              <w:t xml:space="preserve"> under </w:t>
            </w:r>
            <w:r>
              <w:t>'</w:t>
            </w:r>
            <w:r w:rsidRPr="00A7267D">
              <w:t>The need to re-evaluate gamma '.</w:t>
            </w:r>
          </w:p>
        </w:tc>
      </w:tr>
    </w:tbl>
    <w:p w:rsidR="00B27BE5" w:rsidRPr="00883125" w:rsidRDefault="00B27BE5" w:rsidP="00B27BE5">
      <w:pPr>
        <w:pStyle w:val="AERtablesource"/>
      </w:pPr>
      <w:r w:rsidRPr="00883125">
        <w:t xml:space="preserve">Source: </w:t>
      </w:r>
      <w:r w:rsidRPr="00883125">
        <w:tab/>
        <w:t>As specified in table.</w:t>
      </w:r>
    </w:p>
    <w:p w:rsidR="00B27BE5" w:rsidRPr="00883125" w:rsidRDefault="00B27BE5" w:rsidP="00B27BE5">
      <w:pPr>
        <w:numPr>
          <w:ilvl w:val="0"/>
          <w:numId w:val="24"/>
        </w:numPr>
        <w:sectPr w:rsidR="00B27BE5" w:rsidRPr="00883125" w:rsidSect="00ED4FB6">
          <w:pgSz w:w="16838" w:h="11906" w:orient="landscape"/>
          <w:pgMar w:top="1440" w:right="1440" w:bottom="1440" w:left="1440" w:header="708" w:footer="708" w:gutter="0"/>
          <w:pgNumType w:chapStyle="1"/>
          <w:cols w:space="708"/>
          <w:docGrid w:linePitch="360"/>
        </w:sectPr>
      </w:pPr>
    </w:p>
    <w:p w:rsidR="00B27BE5" w:rsidRPr="00883125" w:rsidRDefault="00B27BE5" w:rsidP="00B27BE5">
      <w:pPr>
        <w:numPr>
          <w:ilvl w:val="0"/>
          <w:numId w:val="24"/>
        </w:numPr>
      </w:pPr>
      <w:r w:rsidRPr="00883125">
        <w:lastRenderedPageBreak/>
        <w:t>During the Guideline process, service providers frequently proposed a value of imputation credits of 0.25 and referenced the Tribunal decision</w:t>
      </w:r>
      <w:r w:rsidR="00106204">
        <w:t xml:space="preserve"> for Energex</w:t>
      </w:r>
      <w:r w:rsidRPr="00883125">
        <w:t xml:space="preserve"> in support of this.</w:t>
      </w:r>
      <w:r w:rsidRPr="00883125">
        <w:rPr>
          <w:rStyle w:val="FootnoteReference"/>
        </w:rPr>
        <w:footnoteReference w:id="267"/>
      </w:r>
      <w:r w:rsidRPr="00883125">
        <w:t xml:space="preserve"> However, the last quote from the Tribunal demonstrates that it did not intend for its decision to be determinative of the appropriate estimation technique for gamma, and certainly not on a permanent basis. In the Guideline, we also made this point. Service providers with current proposals no longer refer to the Tribunal's decision as if it were precedent. Rather, they propose a value of imputation credits, and reasons for that value, which are consistent with the Tribunal decision. However, the service providers consider that the problematic estimation methodologies and the currency of the underlying data that apply to other dividend drop off studies does not apply to the SFG study.</w:t>
      </w:r>
      <w:r w:rsidRPr="00883125">
        <w:rPr>
          <w:rStyle w:val="FootnoteReference"/>
        </w:rPr>
        <w:footnoteReference w:id="268"/>
      </w:r>
      <w:r w:rsidRPr="00883125">
        <w:t xml:space="preserve"> </w:t>
      </w:r>
      <w:r w:rsidR="00106204">
        <w:t>We do</w:t>
      </w:r>
      <w:r w:rsidRPr="00883125">
        <w:t xml:space="preserve"> not agree for the reasons outlined in section </w:t>
      </w:r>
      <w:r w:rsidR="00FD7A90">
        <w:fldChar w:fldCharType="begin"/>
      </w:r>
      <w:r w:rsidR="00FD7A90">
        <w:instrText xml:space="preserve"> REF _Ref451267267 \r \h </w:instrText>
      </w:r>
      <w:r w:rsidR="00FD7A90">
        <w:fldChar w:fldCharType="separate"/>
      </w:r>
      <w:r w:rsidR="00881794">
        <w:t>A.15</w:t>
      </w:r>
      <w:r w:rsidR="00FD7A90">
        <w:fldChar w:fldCharType="end"/>
      </w:r>
      <w:r w:rsidRPr="00883125">
        <w:t>.</w:t>
      </w:r>
    </w:p>
    <w:p w:rsidR="00B27BE5" w:rsidRPr="00883125" w:rsidRDefault="00B27BE5" w:rsidP="00B27BE5">
      <w:pPr>
        <w:numPr>
          <w:ilvl w:val="0"/>
          <w:numId w:val="24"/>
        </w:numPr>
      </w:pPr>
      <w:r w:rsidRPr="00883125">
        <w:t>Both during the Guideline development process and this determination process, we have considered the previous Tribunal decision</w:t>
      </w:r>
      <w:r w:rsidR="00106204">
        <w:t xml:space="preserve"> for Energex</w:t>
      </w:r>
      <w:r w:rsidRPr="00883125">
        <w:t xml:space="preserve"> carefully in forming our view on the value of imputation credits. For the reasons expressed in this appendix and attachment 4 we have come to a different position. This is consistent with the Tribunal's expectation that the value of imputation credits is 'necessarily, and desirably, an ongoing intellectual and empirical endeavour'.</w:t>
      </w:r>
    </w:p>
    <w:p w:rsidR="00B27BE5" w:rsidRPr="00883125" w:rsidRDefault="00B27BE5" w:rsidP="00B27BE5">
      <w:pPr>
        <w:pStyle w:val="Heading9"/>
      </w:pPr>
      <w:r w:rsidRPr="00883125">
        <w:t>DBNGP and WA Gas Networks</w:t>
      </w:r>
    </w:p>
    <w:p w:rsidR="00B27BE5" w:rsidRPr="00883125" w:rsidRDefault="00B27BE5" w:rsidP="00B27BE5">
      <w:pPr>
        <w:numPr>
          <w:ilvl w:val="0"/>
          <w:numId w:val="24"/>
        </w:numPr>
      </w:pPr>
      <w:r w:rsidRPr="00883125">
        <w:t>In 2012, Dampier to Bunbury Natural Gas Pipeline (DBNGP) sought Tribunal review of the ERA's decision to adopt a value of imputation credits of 0.25. In upholding the ERA's value, the Tribunal again emphasised the lack of consensus on an appropriate value and the fact that determining a value for gamma is continually being refined:</w:t>
      </w:r>
      <w:r w:rsidRPr="00883125">
        <w:rPr>
          <w:rStyle w:val="FootnoteReference"/>
        </w:rPr>
        <w:footnoteReference w:id="269"/>
      </w:r>
    </w:p>
    <w:p w:rsidR="00B27BE5" w:rsidRPr="00883125" w:rsidRDefault="00B27BE5" w:rsidP="00B27BE5">
      <w:pPr>
        <w:pStyle w:val="AERquote"/>
      </w:pPr>
      <w:r w:rsidRPr="00883125">
        <w:t xml:space="preserve">171 </w:t>
      </w:r>
      <w:r w:rsidRPr="00883125">
        <w:tab/>
        <w:t>Determining the appropriate values of F [the distribution rate] 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B27BE5" w:rsidRPr="00883125" w:rsidRDefault="00B27BE5" w:rsidP="00B27BE5">
      <w:pPr>
        <w:pStyle w:val="AERquote"/>
      </w:pPr>
      <w:r w:rsidRPr="00883125">
        <w:t>…</w:t>
      </w:r>
    </w:p>
    <w:p w:rsidR="00B27BE5" w:rsidRPr="00883125" w:rsidRDefault="00B27BE5" w:rsidP="00B27BE5">
      <w:pPr>
        <w:pStyle w:val="AERquote"/>
      </w:pPr>
      <w:r w:rsidRPr="00883125">
        <w:lastRenderedPageBreak/>
        <w:t xml:space="preserve">210 </w:t>
      </w:r>
      <w:r w:rsidRPr="00883125">
        <w:tab/>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B27BE5" w:rsidRPr="00883125" w:rsidRDefault="00B27BE5" w:rsidP="00B27BE5">
      <w:pPr>
        <w:pStyle w:val="AERquote"/>
      </w:pPr>
      <w:r w:rsidRPr="00883125">
        <w:t xml:space="preserve">211 </w:t>
      </w:r>
      <w:r w:rsidRPr="00883125">
        <w:tab/>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B27BE5" w:rsidRPr="00883125" w:rsidRDefault="00B27BE5" w:rsidP="00B27BE5">
      <w:pPr>
        <w:pStyle w:val="AERquote"/>
      </w:pPr>
      <w:r w:rsidRPr="00883125">
        <w:t xml:space="preserve">214 </w:t>
      </w:r>
      <w:r w:rsidRPr="00883125">
        <w:tab/>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B27BE5" w:rsidRPr="00883125" w:rsidRDefault="00B27BE5" w:rsidP="00B27BE5">
      <w:r w:rsidRPr="00883125">
        <w:t>The Tribunal made similar comments in the earlier WA Gas Networks matter.</w:t>
      </w:r>
      <w:r w:rsidRPr="00883125">
        <w:rPr>
          <w:rStyle w:val="FootnoteReference"/>
        </w:rPr>
        <w:footnoteReference w:id="270"/>
      </w:r>
    </w:p>
    <w:p w:rsidR="00B27BE5" w:rsidRPr="00883125" w:rsidRDefault="00B27BE5" w:rsidP="00B27BE5">
      <w:pPr>
        <w:pStyle w:val="Heading8"/>
      </w:pPr>
      <w:bookmarkStart w:id="103" w:name="_Ref415070393"/>
      <w:bookmarkStart w:id="104" w:name="_Toc436049445"/>
      <w:bookmarkStart w:id="105" w:name="_Toc451928278"/>
      <w:r w:rsidRPr="00883125">
        <w:t>Key concerns of the service providers</w:t>
      </w:r>
      <w:bookmarkEnd w:id="103"/>
      <w:bookmarkEnd w:id="104"/>
      <w:bookmarkEnd w:id="105"/>
    </w:p>
    <w:p w:rsidR="00B27BE5" w:rsidRPr="00883125" w:rsidRDefault="00B27BE5" w:rsidP="00B27BE5">
      <w:r w:rsidRPr="00883125">
        <w:t>In their revised proposals, Ausgrid, Endeavour Energy, Essential Energy, ActewAGL, TransGrid, Directlink, and Jemena Gas Networks directly raised eight key concerns with our draft decisions released in 2014, which they characterised as errors.</w:t>
      </w:r>
      <w:r w:rsidRPr="00883125">
        <w:rPr>
          <w:rStyle w:val="FootnoteReference"/>
        </w:rPr>
        <w:footnoteReference w:id="271"/>
      </w:r>
      <w:r w:rsidRPr="00883125">
        <w:t xml:space="preserve"> A number of these concerns were also implicitly or explicitly raised in the revised or initial proposals</w:t>
      </w:r>
      <w:r w:rsidR="00DA0E8B">
        <w:t xml:space="preserve"> of the service providers currently under assessment, and/or</w:t>
      </w:r>
      <w:r w:rsidRPr="00883125">
        <w:t xml:space="preserve"> and </w:t>
      </w:r>
      <w:r w:rsidR="00DA0E8B">
        <w:t xml:space="preserve">their </w:t>
      </w:r>
      <w:r w:rsidRPr="00883125">
        <w:t xml:space="preserve">supporting expert's reports. Below we set out each of these and identify where we have responded to each of these eight key concerns in this </w:t>
      </w:r>
      <w:r w:rsidR="008337C2">
        <w:t>final</w:t>
      </w:r>
      <w:r w:rsidRPr="00883125">
        <w:t xml:space="preserve"> decision.</w:t>
      </w:r>
    </w:p>
    <w:p w:rsidR="00B27BE5" w:rsidRPr="00883125" w:rsidRDefault="00B27BE5" w:rsidP="00B27BE5">
      <w:pPr>
        <w:pStyle w:val="AERbulletlistfirststyle"/>
      </w:pPr>
      <w:r w:rsidRPr="00883125">
        <w:rPr>
          <w:rStyle w:val="AERtextitalic"/>
        </w:rPr>
        <w:t>Our definition of the utilisation rate is conceptually incorrect and inconsistent with the requirements of the NER/NGR</w:t>
      </w:r>
      <w:r w:rsidRPr="00883125">
        <w:t xml:space="preserve">—our understanding of the utilisation rate (and the value of imputation credits more broadly) is discussed in sections </w:t>
      </w:r>
      <w:r w:rsidRPr="00883125">
        <w:fldChar w:fldCharType="begin"/>
      </w:r>
      <w:r w:rsidRPr="00883125">
        <w:instrText xml:space="preserve"> REF _Ref416802459 \r \h </w:instrText>
      </w:r>
      <w:r w:rsidRPr="00883125">
        <w:fldChar w:fldCharType="separate"/>
      </w:r>
      <w:r w:rsidR="00881794">
        <w:t>4.3.1</w:t>
      </w:r>
      <w:r w:rsidRPr="00883125">
        <w:fldChar w:fldCharType="end"/>
      </w:r>
      <w:r w:rsidRPr="00883125">
        <w:t xml:space="preserve">, </w:t>
      </w:r>
      <w:r w:rsidRPr="00883125">
        <w:fldChar w:fldCharType="begin"/>
      </w:r>
      <w:r w:rsidRPr="00883125">
        <w:instrText xml:space="preserve"> REF _Ref415048973 \r \h </w:instrText>
      </w:r>
      <w:r w:rsidRPr="00883125">
        <w:fldChar w:fldCharType="separate"/>
      </w:r>
      <w:r w:rsidR="00881794">
        <w:t>4.3.6</w:t>
      </w:r>
      <w:r w:rsidRPr="00883125">
        <w:fldChar w:fldCharType="end"/>
      </w:r>
      <w:r w:rsidRPr="00883125">
        <w:t>,</w:t>
      </w:r>
      <w:r w:rsidR="00FD7A90">
        <w:fldChar w:fldCharType="begin"/>
      </w:r>
      <w:r w:rsidR="00FD7A90">
        <w:instrText xml:space="preserve"> REF _Ref415144114 \r \h </w:instrText>
      </w:r>
      <w:r w:rsidR="00FD7A90">
        <w:fldChar w:fldCharType="separate"/>
      </w:r>
      <w:r w:rsidR="00881794">
        <w:t>A.5</w:t>
      </w:r>
      <w:r w:rsidR="00FD7A90">
        <w:fldChar w:fldCharType="end"/>
      </w:r>
      <w:r w:rsidR="00FD7A90">
        <w:t>,</w:t>
      </w:r>
      <w:r w:rsidRPr="00883125">
        <w:t xml:space="preserve"> </w:t>
      </w:r>
      <w:r w:rsidRPr="00883125">
        <w:fldChar w:fldCharType="begin"/>
      </w:r>
      <w:r w:rsidRPr="00883125">
        <w:instrText xml:space="preserve"> REF _Ref400965182 \r \h </w:instrText>
      </w:r>
      <w:r w:rsidRPr="00883125">
        <w:fldChar w:fldCharType="separate"/>
      </w:r>
      <w:r w:rsidR="00881794">
        <w:t>A.6</w:t>
      </w:r>
      <w:r w:rsidRPr="00883125">
        <w:fldChar w:fldCharType="end"/>
      </w:r>
      <w:r w:rsidRPr="00883125">
        <w:t xml:space="preserve">, </w:t>
      </w:r>
      <w:r w:rsidR="00FD7A90">
        <w:t xml:space="preserve">and </w:t>
      </w:r>
      <w:r w:rsidRPr="00883125">
        <w:lastRenderedPageBreak/>
        <w:fldChar w:fldCharType="begin"/>
      </w:r>
      <w:r w:rsidRPr="00883125">
        <w:instrText xml:space="preserve"> REF _Ref414282622 \r \h </w:instrText>
      </w:r>
      <w:r w:rsidRPr="00883125">
        <w:fldChar w:fldCharType="separate"/>
      </w:r>
      <w:r w:rsidR="00881794">
        <w:t>A.7</w:t>
      </w:r>
      <w:r w:rsidRPr="00883125">
        <w:fldChar w:fldCharType="end"/>
      </w:r>
      <w:r w:rsidRPr="00883125">
        <w:t>. As shown there, our understanding is consistent with the theoretical framework that underpins the NER/NGR and is supported by expert advice from Handley</w:t>
      </w:r>
      <w:r w:rsidR="008337C2">
        <w:t xml:space="preserve"> and Lally</w:t>
      </w:r>
      <w:r w:rsidRPr="00883125">
        <w:t>.</w:t>
      </w:r>
    </w:p>
    <w:p w:rsidR="00B27BE5" w:rsidRPr="00883125" w:rsidRDefault="00B27BE5" w:rsidP="00B27BE5">
      <w:pPr>
        <w:pStyle w:val="AERbulletlistfirststyle"/>
      </w:pPr>
      <w:r w:rsidRPr="00883125">
        <w:t xml:space="preserve">We incorrectly use equity ownership rates as direct evidence of the value of distributed imputation credits—given our understanding of the utilisation rate, we set out in section </w:t>
      </w:r>
      <w:r w:rsidR="00FD7A90">
        <w:fldChar w:fldCharType="begin"/>
      </w:r>
      <w:r w:rsidR="00FD7A90">
        <w:instrText xml:space="preserve"> REF _Ref415049811 \r \h </w:instrText>
      </w:r>
      <w:r w:rsidR="00FD7A90">
        <w:fldChar w:fldCharType="separate"/>
      </w:r>
      <w:r w:rsidR="00881794">
        <w:t>A.12</w:t>
      </w:r>
      <w:r w:rsidR="00FD7A90">
        <w:fldChar w:fldCharType="end"/>
      </w:r>
      <w:r w:rsidR="008337C2">
        <w:t xml:space="preserve"> </w:t>
      </w:r>
      <w:r w:rsidRPr="00883125">
        <w:t>why the equity ownership approach provides a reasonable estimate.</w:t>
      </w:r>
    </w:p>
    <w:p w:rsidR="00B27BE5" w:rsidRPr="00883125" w:rsidRDefault="00B27BE5" w:rsidP="00B27BE5">
      <w:pPr>
        <w:pStyle w:val="AERbulletlistfirststyle"/>
      </w:pPr>
      <w:r w:rsidRPr="00883125">
        <w:t xml:space="preserve">The ranges we used for the equity ownership rate were not supported by the evidence in the draft decisions—as discussed in section </w:t>
      </w:r>
      <w:r w:rsidRPr="00883125">
        <w:fldChar w:fldCharType="begin"/>
      </w:r>
      <w:r w:rsidRPr="00883125">
        <w:instrText xml:space="preserve"> REF _Ref415049811 \r \h </w:instrText>
      </w:r>
      <w:r w:rsidRPr="00883125">
        <w:fldChar w:fldCharType="separate"/>
      </w:r>
      <w:r w:rsidR="00881794">
        <w:t>A.12</w:t>
      </w:r>
      <w:r w:rsidRPr="00883125">
        <w:fldChar w:fldCharType="end"/>
      </w:r>
      <w:r w:rsidRPr="00883125">
        <w:t xml:space="preserve">, the service providers who raised this did not recognise that our ranges were based on the evidence from two alternative applications of the equity ownership approach. In this final decision, our ranges are </w:t>
      </w:r>
      <w:r w:rsidR="008337C2">
        <w:t xml:space="preserve">primarily </w:t>
      </w:r>
      <w:r w:rsidRPr="00883125">
        <w:t>based on the application that was deemed more relevant by Handley</w:t>
      </w:r>
      <w:r w:rsidR="008337C2">
        <w:t>, although we also have regar</w:t>
      </w:r>
      <w:r w:rsidR="00E9154C">
        <w:t>d to the range for all equity</w:t>
      </w:r>
      <w:r w:rsidR="008337C2">
        <w:t xml:space="preserve"> implied by Lally's recommended estimate for the distribution rate</w:t>
      </w:r>
      <w:r w:rsidR="00E9154C">
        <w:t xml:space="preserve"> and particularly his preferred point estimate for gamma of at least 0.5</w:t>
      </w:r>
      <w:r w:rsidR="008337C2">
        <w:t>.</w:t>
      </w:r>
    </w:p>
    <w:p w:rsidR="00B27BE5" w:rsidRPr="00883125" w:rsidRDefault="00B27BE5" w:rsidP="00B27BE5">
      <w:pPr>
        <w:pStyle w:val="AERbulletlistfirststyle"/>
      </w:pPr>
      <w:r w:rsidRPr="00883125">
        <w:t xml:space="preserve">We incorrectly use tax statistics as direct evidence of the value of distributed imputation credits—given our understanding of the utilisation rate, we set out in section </w:t>
      </w:r>
      <w:r w:rsidR="00FD7A90">
        <w:fldChar w:fldCharType="begin"/>
      </w:r>
      <w:r w:rsidR="00FD7A90">
        <w:instrText xml:space="preserve"> REF _Ref402179420 \r \h </w:instrText>
      </w:r>
      <w:r w:rsidR="00FD7A90">
        <w:fldChar w:fldCharType="separate"/>
      </w:r>
      <w:r w:rsidR="00881794">
        <w:t>A.13</w:t>
      </w:r>
      <w:r w:rsidR="00FD7A90">
        <w:fldChar w:fldCharType="end"/>
      </w:r>
      <w:r w:rsidRPr="00883125">
        <w:t xml:space="preserve"> why tax statistics provide a </w:t>
      </w:r>
      <w:r w:rsidR="00F64ABD">
        <w:t xml:space="preserve">valid, albeit </w:t>
      </w:r>
      <w:r w:rsidR="0058484B">
        <w:t>uncertain</w:t>
      </w:r>
      <w:r w:rsidR="00F64ABD">
        <w:t>,</w:t>
      </w:r>
      <w:r w:rsidRPr="00883125">
        <w:t xml:space="preserve"> estimate.</w:t>
      </w:r>
    </w:p>
    <w:p w:rsidR="00B27BE5" w:rsidRPr="00883125" w:rsidRDefault="00B27BE5" w:rsidP="00B27BE5">
      <w:pPr>
        <w:pStyle w:val="AERbulletlistfirststyle"/>
      </w:pPr>
      <w:r w:rsidRPr="00883125">
        <w:t xml:space="preserve">We incorrectly conclude that implied market value studies reflect factors that are not relevant to estimating the utilisation rate—given our understanding of the utilisation rate, we set out in sections </w:t>
      </w:r>
      <w:r w:rsidRPr="00883125">
        <w:fldChar w:fldCharType="begin"/>
      </w:r>
      <w:r w:rsidRPr="00883125">
        <w:instrText xml:space="preserve"> REF _Ref415065117 \r \h </w:instrText>
      </w:r>
      <w:r w:rsidRPr="00883125">
        <w:fldChar w:fldCharType="separate"/>
      </w:r>
      <w:r w:rsidR="00881794">
        <w:t>A.15.4</w:t>
      </w:r>
      <w:r w:rsidRPr="00883125">
        <w:fldChar w:fldCharType="end"/>
      </w:r>
      <w:r w:rsidRPr="00883125">
        <w:t xml:space="preserve"> and </w:t>
      </w:r>
      <w:r w:rsidRPr="00883125">
        <w:fldChar w:fldCharType="begin"/>
      </w:r>
      <w:r w:rsidRPr="00883125">
        <w:instrText xml:space="preserve"> REF _Ref414624721 \r \h </w:instrText>
      </w:r>
      <w:r w:rsidRPr="00883125">
        <w:fldChar w:fldCharType="separate"/>
      </w:r>
      <w:r w:rsidR="00881794">
        <w:t>A.15.5</w:t>
      </w:r>
      <w:r w:rsidRPr="00883125">
        <w:fldChar w:fldCharType="end"/>
      </w:r>
      <w:r w:rsidRPr="00883125">
        <w:t xml:space="preserve"> why the results of implied market value studies can reflect factors that are not relevant to the utilisation rate.</w:t>
      </w:r>
    </w:p>
    <w:p w:rsidR="00B27BE5" w:rsidRPr="00883125" w:rsidRDefault="00B27BE5" w:rsidP="00B27BE5">
      <w:pPr>
        <w:pStyle w:val="AERbulletlistfirststyle"/>
      </w:pPr>
      <w:r w:rsidRPr="00883125">
        <w:t>We erred by considering implied market value studies in a general manner rather than considering the merits of SFG's dividend drop off study—in section</w:t>
      </w:r>
      <w:r w:rsidR="00270C63">
        <w:t xml:space="preserve">s </w:t>
      </w:r>
      <w:r w:rsidR="00270C63">
        <w:fldChar w:fldCharType="begin"/>
      </w:r>
      <w:r w:rsidR="00270C63">
        <w:instrText xml:space="preserve"> REF _Ref450761230 \r \h </w:instrText>
      </w:r>
      <w:r w:rsidR="00270C63">
        <w:fldChar w:fldCharType="separate"/>
      </w:r>
      <w:r w:rsidR="00881794">
        <w:t>4.4.1</w:t>
      </w:r>
      <w:r w:rsidR="00270C63">
        <w:fldChar w:fldCharType="end"/>
      </w:r>
      <w:r w:rsidR="00270C63">
        <w:t xml:space="preserve"> and</w:t>
      </w:r>
      <w:r w:rsidRPr="00883125">
        <w:t xml:space="preserve"> </w:t>
      </w:r>
      <w:r w:rsidR="00FD7A90">
        <w:fldChar w:fldCharType="begin"/>
      </w:r>
      <w:r w:rsidR="00FD7A90">
        <w:instrText xml:space="preserve"> REF _Ref451267696 \r \h </w:instrText>
      </w:r>
      <w:r w:rsidR="00FD7A90">
        <w:fldChar w:fldCharType="separate"/>
      </w:r>
      <w:r w:rsidR="00881794">
        <w:t>A.15</w:t>
      </w:r>
      <w:r w:rsidR="00FD7A90">
        <w:fldChar w:fldCharType="end"/>
      </w:r>
      <w:r w:rsidRPr="00883125">
        <w:t xml:space="preserve"> we set out a list of limitations that can apply to implied market value studies, and in section </w:t>
      </w:r>
      <w:r w:rsidRPr="00883125">
        <w:fldChar w:fldCharType="begin"/>
      </w:r>
      <w:r w:rsidRPr="00883125">
        <w:instrText xml:space="preserve"> REF _Ref414624721 \r \h </w:instrText>
      </w:r>
      <w:r w:rsidRPr="00883125">
        <w:fldChar w:fldCharType="separate"/>
      </w:r>
      <w:r w:rsidR="00881794">
        <w:t>A.15.5</w:t>
      </w:r>
      <w:r w:rsidRPr="00883125">
        <w:fldChar w:fldCharType="end"/>
      </w:r>
      <w:r w:rsidRPr="00883125">
        <w:t xml:space="preserve"> we conclude that that there is reasonable evidence to suggest that several of these limitations apply to SFG's dividend drop off study. In section</w:t>
      </w:r>
      <w:r w:rsidR="00270C63">
        <w:t xml:space="preserve">s </w:t>
      </w:r>
      <w:r w:rsidR="00270C63">
        <w:fldChar w:fldCharType="begin"/>
      </w:r>
      <w:r w:rsidR="00270C63">
        <w:instrText xml:space="preserve"> REF _Ref450761230 \r \h </w:instrText>
      </w:r>
      <w:r w:rsidR="00270C63">
        <w:fldChar w:fldCharType="separate"/>
      </w:r>
      <w:r w:rsidR="00881794">
        <w:t>4.4.1</w:t>
      </w:r>
      <w:r w:rsidR="00270C63">
        <w:fldChar w:fldCharType="end"/>
      </w:r>
      <w:r w:rsidR="00270C63">
        <w:t>and</w:t>
      </w:r>
      <w:r w:rsidRPr="00883125">
        <w:t xml:space="preserve"> </w:t>
      </w:r>
      <w:r w:rsidR="00FD7A90">
        <w:fldChar w:fldCharType="begin"/>
      </w:r>
      <w:r w:rsidR="00FD7A90">
        <w:instrText xml:space="preserve"> REF _Ref451267729 \r \h </w:instrText>
      </w:r>
      <w:r w:rsidR="00FD7A90">
        <w:fldChar w:fldCharType="separate"/>
      </w:r>
      <w:r w:rsidR="00881794">
        <w:t>A.15</w:t>
      </w:r>
      <w:r w:rsidR="00FD7A90">
        <w:fldChar w:fldCharType="end"/>
      </w:r>
      <w:r w:rsidRPr="00883125">
        <w:t xml:space="preserve"> we also refer to the issues raised by Lally in relation to SFG's dividend drop off study, and McKenzie and Partington's view that there is no obvious manner in which to weigh the results from various implied market value studies based on their characteristics. In section </w:t>
      </w:r>
      <w:r w:rsidR="00FD7A90">
        <w:fldChar w:fldCharType="begin"/>
      </w:r>
      <w:r w:rsidR="00FD7A90">
        <w:instrText xml:space="preserve"> REF _Ref451267750 \r \h </w:instrText>
      </w:r>
      <w:r w:rsidR="00FD7A90">
        <w:fldChar w:fldCharType="separate"/>
      </w:r>
      <w:r w:rsidR="00881794">
        <w:t>A.15</w:t>
      </w:r>
      <w:r w:rsidR="00FD7A90">
        <w:fldChar w:fldCharType="end"/>
      </w:r>
      <w:r w:rsidRPr="00883125">
        <w:t xml:space="preserve"> we set out statements from experts and other regulators on the limitations of dividend drop off studies. All but one of these statements occurred after the development of SFG's dividend drop off study.</w:t>
      </w:r>
    </w:p>
    <w:p w:rsidR="00DA0E8B" w:rsidRDefault="00B27BE5" w:rsidP="00B27BE5">
      <w:pPr>
        <w:pStyle w:val="AERbulletlistfirststyle"/>
      </w:pPr>
      <w:r w:rsidRPr="00883125">
        <w:t xml:space="preserve">It was neither necessary nor appropriate for us to identify a distribution rate for only listed equity—in sections </w:t>
      </w:r>
      <w:r w:rsidR="00270C63">
        <w:fldChar w:fldCharType="begin"/>
      </w:r>
      <w:r w:rsidR="00270C63">
        <w:instrText xml:space="preserve"> REF _Ref451790065 \r \h </w:instrText>
      </w:r>
      <w:r w:rsidR="00270C63">
        <w:fldChar w:fldCharType="separate"/>
      </w:r>
      <w:r w:rsidR="00881794">
        <w:t>A.9</w:t>
      </w:r>
      <w:r w:rsidR="00270C63">
        <w:fldChar w:fldCharType="end"/>
      </w:r>
      <w:r w:rsidR="00270C63">
        <w:t xml:space="preserve"> and </w:t>
      </w:r>
      <w:r w:rsidRPr="00883125">
        <w:fldChar w:fldCharType="begin"/>
      </w:r>
      <w:r w:rsidRPr="00883125">
        <w:instrText xml:space="preserve"> REF _Ref414289334 \r \h </w:instrText>
      </w:r>
      <w:r w:rsidRPr="00883125">
        <w:fldChar w:fldCharType="separate"/>
      </w:r>
      <w:r w:rsidR="00881794">
        <w:t>A.10.1</w:t>
      </w:r>
      <w:r w:rsidRPr="00883125">
        <w:fldChar w:fldCharType="end"/>
      </w:r>
      <w:r w:rsidR="00270C63">
        <w:t xml:space="preserve"> </w:t>
      </w:r>
      <w:r w:rsidRPr="00883125">
        <w:t xml:space="preserve">this is further discussed. </w:t>
      </w:r>
    </w:p>
    <w:p w:rsidR="00B27BE5" w:rsidRPr="00883125" w:rsidRDefault="00B27BE5" w:rsidP="00B27BE5">
      <w:pPr>
        <w:pStyle w:val="AERbulletlistfirststyle"/>
      </w:pPr>
      <w:r w:rsidRPr="00883125">
        <w:t xml:space="preserve">Our ultimate conclusion as to the value of imputation credits was inconsistent with the evidence presented in </w:t>
      </w:r>
      <w:r w:rsidR="00DA0E8B">
        <w:t>our recent</w:t>
      </w:r>
      <w:r w:rsidRPr="00883125">
        <w:t xml:space="preserve"> decisions—</w:t>
      </w:r>
      <w:r w:rsidR="00DA0E8B">
        <w:t xml:space="preserve">as set out in section </w:t>
      </w:r>
      <w:r w:rsidR="00DA0E8B">
        <w:fldChar w:fldCharType="begin"/>
      </w:r>
      <w:r w:rsidR="00DA0E8B">
        <w:instrText xml:space="preserve"> REF _Ref451815218 \r \h </w:instrText>
      </w:r>
      <w:r w:rsidR="00DA0E8B">
        <w:fldChar w:fldCharType="separate"/>
      </w:r>
      <w:r w:rsidR="00881794">
        <w:t>4.4</w:t>
      </w:r>
      <w:r w:rsidR="00DA0E8B">
        <w:fldChar w:fldCharType="end"/>
      </w:r>
      <w:r w:rsidR="00DA0E8B">
        <w:t xml:space="preserve">, </w:t>
      </w:r>
      <w:r w:rsidRPr="00883125">
        <w:t xml:space="preserve">the evidence presented in this </w:t>
      </w:r>
      <w:r w:rsidR="008131C4">
        <w:t>final</w:t>
      </w:r>
      <w:r w:rsidRPr="00883125">
        <w:t xml:space="preserve"> decision suggests that a reasonable estimate for the value of imputation credits is within the range 0.3 to 0.5. Our estimate of 0.4 is within this range.</w:t>
      </w:r>
    </w:p>
    <w:p w:rsidR="00B27BE5" w:rsidRPr="00883125" w:rsidRDefault="00B27BE5" w:rsidP="00B27BE5">
      <w:pPr>
        <w:rPr>
          <w:rStyle w:val="AERbody"/>
        </w:rPr>
      </w:pPr>
      <w:r w:rsidRPr="00883125">
        <w:rPr>
          <w:rStyle w:val="AERbody"/>
        </w:rPr>
        <w:lastRenderedPageBreak/>
        <w:t>In the revised regulatory proposals of SA Power Networks, Ergon</w:t>
      </w:r>
      <w:r w:rsidR="00DA0E8B">
        <w:rPr>
          <w:rStyle w:val="AERbody"/>
        </w:rPr>
        <w:t xml:space="preserve"> Energy</w:t>
      </w:r>
      <w:r w:rsidRPr="00883125">
        <w:rPr>
          <w:rStyle w:val="AERbody"/>
        </w:rPr>
        <w:t xml:space="preserve">, and </w:t>
      </w:r>
      <w:r w:rsidR="00DA0E8B">
        <w:rPr>
          <w:rStyle w:val="AERbody"/>
        </w:rPr>
        <w:t>Energex submitted in July 2015</w:t>
      </w:r>
      <w:r w:rsidRPr="00883125">
        <w:rPr>
          <w:rStyle w:val="AERbody"/>
        </w:rPr>
        <w:t>, two issues were raised as the key issues in dispute.</w:t>
      </w:r>
      <w:r w:rsidR="00234985" w:rsidRPr="00883125">
        <w:rPr>
          <w:rStyle w:val="FootnoteReference"/>
        </w:rPr>
        <w:footnoteReference w:id="272"/>
      </w:r>
      <w:r w:rsidRPr="00883125">
        <w:rPr>
          <w:rStyle w:val="AERbody"/>
        </w:rPr>
        <w:t xml:space="preserve"> These issues were also raised in Gray's June 2015 report (for Frontier) relied on by the majority of service providers </w:t>
      </w:r>
      <w:r w:rsidR="00234985">
        <w:rPr>
          <w:rStyle w:val="AERbody"/>
        </w:rPr>
        <w:t>currently under assessment. These issues are</w:t>
      </w:r>
      <w:r w:rsidRPr="00883125">
        <w:rPr>
          <w:rStyle w:val="AERbody"/>
        </w:rPr>
        <w:t>:</w:t>
      </w:r>
    </w:p>
    <w:p w:rsidR="00B27BE5" w:rsidRPr="005764F6" w:rsidRDefault="00B27BE5" w:rsidP="00270C63">
      <w:pPr>
        <w:pStyle w:val="AERbulletlistfirststyle"/>
      </w:pPr>
      <w:r w:rsidRPr="005764F6">
        <w:t>The first key point of difference is conceptually whether theta should be interpreted as the value of distributed credits, or the redemption proportion. The service providers consider that if their value interpretation is adopted then you must use estimates that measure the value of distributed credits (such as dividend drop-off studies).</w:t>
      </w:r>
      <w:r w:rsidRPr="00437E7F">
        <w:rPr>
          <w:rStyle w:val="FootnoteReference"/>
        </w:rPr>
        <w:footnoteReference w:id="273"/>
      </w:r>
      <w:r w:rsidRPr="005764F6">
        <w:t xml:space="preserve"> In section</w:t>
      </w:r>
      <w:r w:rsidR="00270C63" w:rsidRPr="005764F6">
        <w:t xml:space="preserve">s </w:t>
      </w:r>
      <w:r w:rsidR="00270C63" w:rsidRPr="005764F6">
        <w:fldChar w:fldCharType="begin"/>
      </w:r>
      <w:r w:rsidR="00270C63" w:rsidRPr="005764F6">
        <w:instrText xml:space="preserve"> REF _Ref415144114 \r \h </w:instrText>
      </w:r>
      <w:r w:rsidR="00270C63">
        <w:instrText xml:space="preserve"> \* MERGEFORMAT </w:instrText>
      </w:r>
      <w:r w:rsidR="00270C63" w:rsidRPr="005764F6">
        <w:fldChar w:fldCharType="separate"/>
      </w:r>
      <w:r w:rsidR="00881794">
        <w:t>A.5</w:t>
      </w:r>
      <w:r w:rsidR="00270C63" w:rsidRPr="005764F6">
        <w:fldChar w:fldCharType="end"/>
      </w:r>
      <w:r w:rsidR="00270C63" w:rsidRPr="005764F6">
        <w:t xml:space="preserve"> and</w:t>
      </w:r>
      <w:r w:rsidRPr="005764F6">
        <w:t xml:space="preserve"> </w:t>
      </w:r>
      <w:r w:rsidRPr="005764F6">
        <w:fldChar w:fldCharType="begin"/>
      </w:r>
      <w:r w:rsidRPr="005764F6">
        <w:instrText xml:space="preserve"> REF _Ref401748758 \r \h  \* MERGEFORMAT </w:instrText>
      </w:r>
      <w:r w:rsidRPr="005764F6">
        <w:fldChar w:fldCharType="separate"/>
      </w:r>
      <w:r w:rsidR="00881794">
        <w:t>A.8.1</w:t>
      </w:r>
      <w:r w:rsidRPr="005764F6">
        <w:fldChar w:fldCharType="end"/>
      </w:r>
      <w:r w:rsidRPr="005764F6">
        <w:t xml:space="preserve"> we explain why we consider the proportion of imputation credits distributed to shareholders eligible to utilise them is an appropriate measure of the value of imputation credits before personal taxes and transaction costs.</w:t>
      </w:r>
      <w:r w:rsidRPr="005764F6" w:rsidDel="00E07815">
        <w:t xml:space="preserve"> </w:t>
      </w:r>
    </w:p>
    <w:p w:rsidR="00EE3DC6" w:rsidRPr="005764F6" w:rsidRDefault="00B27BE5">
      <w:pPr>
        <w:pStyle w:val="AERbulletlistfirststyle"/>
      </w:pPr>
      <w:r w:rsidRPr="005764F6">
        <w:t>The second key point of difference concerns the set of comparator businesses that should be used when estimating a benchmark distribution rate.</w:t>
      </w:r>
      <w:r w:rsidRPr="00E87CA4">
        <w:rPr>
          <w:rStyle w:val="FootnoteReference"/>
        </w:rPr>
        <w:footnoteReference w:id="274"/>
      </w:r>
      <w:r w:rsidRPr="005764F6">
        <w:t xml:space="preserve"> The service providers consider: firstly, </w:t>
      </w:r>
      <w:r w:rsidR="00234985" w:rsidRPr="005764F6">
        <w:t>we are</w:t>
      </w:r>
      <w:r w:rsidRPr="005764F6">
        <w:t xml:space="preserve"> incorrect to consider the same set of firms need to be used to estimate the distribution rate and to estimate the value of imputation credits</w:t>
      </w:r>
      <w:r w:rsidR="00234985" w:rsidRPr="005764F6">
        <w:t>;</w:t>
      </w:r>
      <w:r w:rsidRPr="005764F6">
        <w:t xml:space="preserve"> and secondly, </w:t>
      </w:r>
      <w:r w:rsidR="00234985" w:rsidRPr="005764F6">
        <w:t>we are</w:t>
      </w:r>
      <w:r w:rsidRPr="005764F6">
        <w:t xml:space="preserve"> incorrect to use a distribution rate from all listed equity of around 0.8</w:t>
      </w:r>
      <w:r w:rsidRPr="00E87CA4">
        <w:rPr>
          <w:rStyle w:val="FootnoteReference"/>
        </w:rPr>
        <w:footnoteReference w:id="275"/>
      </w:r>
      <w:r w:rsidRPr="005764F6">
        <w:t xml:space="preserve"> given our benchmark efficient network operator is a pure play wholly domestic business that is not necessarily stock market listed. </w:t>
      </w:r>
      <w:r w:rsidR="00234985" w:rsidRPr="005764F6">
        <w:t xml:space="preserve">We respond to these views in </w:t>
      </w:r>
      <w:r w:rsidRPr="005764F6">
        <w:t>section</w:t>
      </w:r>
      <w:r w:rsidR="00234985" w:rsidRPr="005764F6">
        <w:t>s</w:t>
      </w:r>
      <w:r w:rsidRPr="005764F6">
        <w:t xml:space="preserve"> </w:t>
      </w:r>
      <w:r w:rsidR="00234985" w:rsidRPr="005764F6">
        <w:fldChar w:fldCharType="begin"/>
      </w:r>
      <w:r w:rsidR="00234985" w:rsidRPr="005764F6">
        <w:instrText xml:space="preserve"> REF _Ref451790065 \r \h </w:instrText>
      </w:r>
      <w:r w:rsidR="00E87CA4">
        <w:instrText xml:space="preserve"> \* MERGEFORMAT </w:instrText>
      </w:r>
      <w:r w:rsidR="00234985" w:rsidRPr="005764F6">
        <w:fldChar w:fldCharType="separate"/>
      </w:r>
      <w:r w:rsidR="00881794">
        <w:t>A.9</w:t>
      </w:r>
      <w:r w:rsidR="00234985" w:rsidRPr="005764F6">
        <w:fldChar w:fldCharType="end"/>
      </w:r>
      <w:r w:rsidRPr="005764F6">
        <w:t xml:space="preserve"> and </w:t>
      </w:r>
      <w:r w:rsidR="00EE3DC6" w:rsidRPr="005764F6">
        <w:fldChar w:fldCharType="begin"/>
      </w:r>
      <w:r w:rsidR="00EE3DC6" w:rsidRPr="005764F6">
        <w:instrText xml:space="preserve"> REF _Ref401133206 \r \h  \* MERGEFORMAT </w:instrText>
      </w:r>
      <w:r w:rsidR="00EE3DC6" w:rsidRPr="005764F6">
        <w:fldChar w:fldCharType="separate"/>
      </w:r>
      <w:r w:rsidR="00881794">
        <w:t>A.10</w:t>
      </w:r>
      <w:r w:rsidR="00EE3DC6" w:rsidRPr="005764F6">
        <w:fldChar w:fldCharType="end"/>
      </w:r>
      <w:r w:rsidR="00F64ABD" w:rsidRPr="005764F6">
        <w:t>.</w:t>
      </w:r>
    </w:p>
    <w:p w:rsidR="00B27BE5" w:rsidRPr="00883125" w:rsidRDefault="00B27BE5" w:rsidP="00B27BE5">
      <w:pPr>
        <w:rPr>
          <w:rStyle w:val="AERbody"/>
        </w:rPr>
      </w:pPr>
      <w:r w:rsidRPr="00883125">
        <w:rPr>
          <w:rStyle w:val="AERbody"/>
        </w:rPr>
        <w:t xml:space="preserve">We note that both of these points of difference were considered in our decisions released in April and June 2015 and also considered by Handley who supported our approach. </w:t>
      </w:r>
      <w:r w:rsidR="008131C4">
        <w:rPr>
          <w:rStyle w:val="AERbody"/>
        </w:rPr>
        <w:t xml:space="preserve">We also note Lally's </w:t>
      </w:r>
      <w:r w:rsidR="00234985">
        <w:rPr>
          <w:rStyle w:val="AERbody"/>
        </w:rPr>
        <w:t>latest</w:t>
      </w:r>
      <w:r w:rsidR="008131C4">
        <w:rPr>
          <w:rStyle w:val="AERbody"/>
        </w:rPr>
        <w:t xml:space="preserve"> advice </w:t>
      </w:r>
      <w:r w:rsidR="00234985">
        <w:rPr>
          <w:rStyle w:val="AERbody"/>
        </w:rPr>
        <w:t>recommends a distribution rate for listed equity estimated from the financial reports of the top 20 listed firms</w:t>
      </w:r>
      <w:r w:rsidR="00DC75A7">
        <w:rPr>
          <w:rStyle w:val="AERbody"/>
        </w:rPr>
        <w:t xml:space="preserve">. It also </w:t>
      </w:r>
      <w:r w:rsidR="008131C4">
        <w:rPr>
          <w:rStyle w:val="AERbody"/>
        </w:rPr>
        <w:t>implies matching</w:t>
      </w:r>
      <w:r w:rsidR="00DC75A7">
        <w:rPr>
          <w:rStyle w:val="AERbody"/>
        </w:rPr>
        <w:t xml:space="preserve"> distribution and utilisation rates based on the dataset used</w:t>
      </w:r>
      <w:r w:rsidR="008131C4">
        <w:rPr>
          <w:rStyle w:val="AERbody"/>
        </w:rPr>
        <w:t xml:space="preserve"> is likely to result in an underestimate of gamma </w:t>
      </w:r>
      <w:r w:rsidR="00DC75A7">
        <w:rPr>
          <w:rStyle w:val="AERbody"/>
        </w:rPr>
        <w:t>(</w:t>
      </w:r>
      <w:r w:rsidR="008131C4">
        <w:rPr>
          <w:rStyle w:val="AERbody"/>
        </w:rPr>
        <w:t>given his recommended values for the distribution rate</w:t>
      </w:r>
      <w:r w:rsidR="00DC75A7">
        <w:rPr>
          <w:rStyle w:val="AERbody"/>
        </w:rPr>
        <w:t xml:space="preserve"> and utilisation rate)</w:t>
      </w:r>
      <w:r w:rsidR="008131C4">
        <w:rPr>
          <w:rStyle w:val="AERbody"/>
        </w:rPr>
        <w:t>.</w:t>
      </w:r>
      <w:r w:rsidR="00DC75A7">
        <w:rPr>
          <w:rStyle w:val="FootnoteReference"/>
        </w:rPr>
        <w:footnoteReference w:id="276"/>
      </w:r>
      <w:r w:rsidR="008131C4">
        <w:rPr>
          <w:rStyle w:val="AERbody"/>
        </w:rPr>
        <w:t xml:space="preserve"> </w:t>
      </w:r>
    </w:p>
    <w:p w:rsidR="00B27BE5" w:rsidRPr="00883125" w:rsidRDefault="00DC75A7" w:rsidP="00B27BE5">
      <w:pPr>
        <w:rPr>
          <w:rStyle w:val="AERbody"/>
        </w:rPr>
      </w:pPr>
      <w:r>
        <w:rPr>
          <w:rStyle w:val="AERbody"/>
        </w:rPr>
        <w:t>I</w:t>
      </w:r>
      <w:r w:rsidRPr="00883125">
        <w:rPr>
          <w:rStyle w:val="AERbody"/>
        </w:rPr>
        <w:t>n the revised proposals of the service providers</w:t>
      </w:r>
      <w:r>
        <w:rPr>
          <w:rStyle w:val="AERbody"/>
        </w:rPr>
        <w:t xml:space="preserve"> currently under assessment (</w:t>
      </w:r>
      <w:r w:rsidRPr="00883125">
        <w:rPr>
          <w:rStyle w:val="AERbody"/>
        </w:rPr>
        <w:t>or the</w:t>
      </w:r>
      <w:r>
        <w:rPr>
          <w:rStyle w:val="AERbody"/>
        </w:rPr>
        <w:t>ir</w:t>
      </w:r>
      <w:r w:rsidRPr="00883125">
        <w:rPr>
          <w:rStyle w:val="AERbody"/>
        </w:rPr>
        <w:t xml:space="preserve"> new expert reports by Gray (for Frontier)</w:t>
      </w:r>
      <w:r>
        <w:rPr>
          <w:rStyle w:val="AERbody"/>
        </w:rPr>
        <w:t>)</w:t>
      </w:r>
      <w:r w:rsidR="00B27BE5" w:rsidRPr="00883125">
        <w:rPr>
          <w:rStyle w:val="AERbody"/>
        </w:rPr>
        <w:t>, a number of key 'second order' differences of view have been identified:</w:t>
      </w:r>
    </w:p>
    <w:p w:rsidR="00B27BE5" w:rsidRPr="005764F6" w:rsidRDefault="00B27BE5">
      <w:pPr>
        <w:pStyle w:val="AERbulletlistfirststyle"/>
      </w:pPr>
      <w:r w:rsidRPr="005764F6">
        <w:lastRenderedPageBreak/>
        <w:t>A redemption rate study can only provide an upper bound for estimating theta.</w:t>
      </w:r>
      <w:r w:rsidRPr="00E87CA4">
        <w:rPr>
          <w:rStyle w:val="FootnoteReference"/>
        </w:rPr>
        <w:footnoteReference w:id="277"/>
      </w:r>
      <w:r w:rsidRPr="005764F6">
        <w:t xml:space="preserve"> In section </w:t>
      </w:r>
      <w:r w:rsidRPr="005764F6">
        <w:fldChar w:fldCharType="begin"/>
      </w:r>
      <w:r w:rsidRPr="005764F6">
        <w:instrText xml:space="preserve"> REF _Ref414099389 \r \h  \* MERGEFORMAT </w:instrText>
      </w:r>
      <w:r w:rsidRPr="005764F6">
        <w:fldChar w:fldCharType="separate"/>
      </w:r>
      <w:r w:rsidR="00881794">
        <w:t>A.8.3</w:t>
      </w:r>
      <w:r w:rsidRPr="005764F6">
        <w:fldChar w:fldCharType="end"/>
      </w:r>
      <w:r w:rsidRPr="005764F6">
        <w:t xml:space="preserve"> we consider this further. </w:t>
      </w:r>
    </w:p>
    <w:p w:rsidR="00B27BE5" w:rsidRPr="005764F6" w:rsidRDefault="00B27BE5">
      <w:pPr>
        <w:pStyle w:val="AERbulletlistfirststyle"/>
      </w:pPr>
      <w:r w:rsidRPr="005764F6">
        <w:t>The criticisms of Gray and Hall's dividend drop-off work is not reasonable.</w:t>
      </w:r>
      <w:r w:rsidRPr="00E87CA4">
        <w:rPr>
          <w:rStyle w:val="FootnoteReference"/>
        </w:rPr>
        <w:footnoteReference w:id="278"/>
      </w:r>
      <w:r w:rsidRPr="005764F6">
        <w:t xml:space="preserve"> We discuss the limitations of dividend drop off studies and which of these apply to the SFG dividend drop off study in section </w:t>
      </w:r>
      <w:r w:rsidRPr="005764F6">
        <w:fldChar w:fldCharType="begin"/>
      </w:r>
      <w:r w:rsidRPr="005764F6">
        <w:instrText xml:space="preserve"> REF _Ref414624721 \r \h  \* MERGEFORMAT </w:instrText>
      </w:r>
      <w:r w:rsidRPr="005764F6">
        <w:fldChar w:fldCharType="separate"/>
      </w:r>
      <w:r w:rsidR="00881794">
        <w:t>A.15.5</w:t>
      </w:r>
      <w:r w:rsidRPr="005764F6">
        <w:fldChar w:fldCharType="end"/>
      </w:r>
      <w:r w:rsidRPr="005764F6">
        <w:t>.</w:t>
      </w:r>
    </w:p>
    <w:p w:rsidR="00B27BE5" w:rsidRPr="00883125" w:rsidRDefault="00B27BE5" w:rsidP="00B27BE5">
      <w:pPr>
        <w:rPr>
          <w:rStyle w:val="AERbody"/>
        </w:rPr>
      </w:pPr>
      <w:r w:rsidRPr="00883125">
        <w:rPr>
          <w:rStyle w:val="AERbody"/>
        </w:rPr>
        <w:t xml:space="preserve">We note the primary and second order differences of view identified above do not appear to be new issues and largely overlap with the </w:t>
      </w:r>
      <w:r w:rsidR="00DC75A7">
        <w:rPr>
          <w:rStyle w:val="AERbody"/>
        </w:rPr>
        <w:t>eight</w:t>
      </w:r>
      <w:r w:rsidRPr="00883125">
        <w:rPr>
          <w:rStyle w:val="AERbody"/>
        </w:rPr>
        <w:t xml:space="preserve"> key concerns </w:t>
      </w:r>
      <w:r w:rsidR="00DC75A7">
        <w:rPr>
          <w:rStyle w:val="AERbody"/>
        </w:rPr>
        <w:t>that</w:t>
      </w:r>
      <w:r w:rsidRPr="00883125">
        <w:rPr>
          <w:rStyle w:val="AERbody"/>
        </w:rPr>
        <w:t xml:space="preserve"> service providers </w:t>
      </w:r>
      <w:r w:rsidR="00DC75A7">
        <w:rPr>
          <w:rStyle w:val="AERbody"/>
        </w:rPr>
        <w:t xml:space="preserve">have </w:t>
      </w:r>
      <w:r w:rsidRPr="00883125">
        <w:rPr>
          <w:rStyle w:val="AERbody"/>
        </w:rPr>
        <w:t>raised previously. Having considered the revised proposals, the new experts' reports</w:t>
      </w:r>
      <w:r w:rsidR="00EA5758">
        <w:rPr>
          <w:rStyle w:val="AERbody"/>
        </w:rPr>
        <w:t xml:space="preserve"> since our 2015 JGN decision</w:t>
      </w:r>
      <w:r w:rsidR="00DC75A7">
        <w:rPr>
          <w:rStyle w:val="AERbody"/>
        </w:rPr>
        <w:t xml:space="preserve"> and late submissions (discussed in section </w:t>
      </w:r>
      <w:r w:rsidR="00DC75A7">
        <w:rPr>
          <w:rStyle w:val="AERbody"/>
        </w:rPr>
        <w:fldChar w:fldCharType="begin"/>
      </w:r>
      <w:r w:rsidR="00DC75A7">
        <w:rPr>
          <w:rStyle w:val="AERbody"/>
        </w:rPr>
        <w:instrText xml:space="preserve"> REF _Ref451816453 \r \h </w:instrText>
      </w:r>
      <w:r w:rsidR="00DC75A7">
        <w:rPr>
          <w:rStyle w:val="AERbody"/>
        </w:rPr>
      </w:r>
      <w:r w:rsidR="00DC75A7">
        <w:rPr>
          <w:rStyle w:val="AERbody"/>
        </w:rPr>
        <w:fldChar w:fldCharType="separate"/>
      </w:r>
      <w:r w:rsidR="00881794">
        <w:rPr>
          <w:rStyle w:val="AERbody"/>
        </w:rPr>
        <w:t>4.1</w:t>
      </w:r>
      <w:r w:rsidR="00DC75A7">
        <w:rPr>
          <w:rStyle w:val="AERbody"/>
        </w:rPr>
        <w:fldChar w:fldCharType="end"/>
      </w:r>
      <w:r w:rsidR="00DC75A7">
        <w:rPr>
          <w:rStyle w:val="AERbody"/>
        </w:rPr>
        <w:t xml:space="preserve"> and </w:t>
      </w:r>
      <w:r w:rsidR="00DC75A7">
        <w:rPr>
          <w:rStyle w:val="AERbody"/>
        </w:rPr>
        <w:fldChar w:fldCharType="begin"/>
      </w:r>
      <w:r w:rsidR="00DC75A7">
        <w:rPr>
          <w:rStyle w:val="AERbody"/>
        </w:rPr>
        <w:instrText xml:space="preserve"> REF _Ref451816460 \r \h </w:instrText>
      </w:r>
      <w:r w:rsidR="00DC75A7">
        <w:rPr>
          <w:rStyle w:val="AERbody"/>
        </w:rPr>
      </w:r>
      <w:r w:rsidR="00DC75A7">
        <w:rPr>
          <w:rStyle w:val="AERbody"/>
        </w:rPr>
        <w:fldChar w:fldCharType="separate"/>
      </w:r>
      <w:r w:rsidR="00881794">
        <w:rPr>
          <w:rStyle w:val="AERbody"/>
        </w:rPr>
        <w:t>4.4.2</w:t>
      </w:r>
      <w:r w:rsidR="00DC75A7">
        <w:rPr>
          <w:rStyle w:val="AERbody"/>
        </w:rPr>
        <w:fldChar w:fldCharType="end"/>
      </w:r>
      <w:r w:rsidR="00DC75A7">
        <w:rPr>
          <w:rStyle w:val="AERbody"/>
        </w:rPr>
        <w:t>)</w:t>
      </w:r>
      <w:r w:rsidRPr="00883125">
        <w:rPr>
          <w:rStyle w:val="AERbody"/>
        </w:rPr>
        <w:t>, we remain of the view that a gamma value of 0.4 is appropriate.</w:t>
      </w:r>
    </w:p>
    <w:p w:rsidR="00B27BE5" w:rsidRPr="00883125" w:rsidRDefault="00B27BE5" w:rsidP="00B27BE5">
      <w:r w:rsidRPr="00883125">
        <w:t xml:space="preserve">In </w:t>
      </w:r>
      <w:r w:rsidR="00DC75A7">
        <w:t>their</w:t>
      </w:r>
      <w:r w:rsidR="00DC75A7" w:rsidRPr="00883125">
        <w:t xml:space="preserve"> </w:t>
      </w:r>
      <w:r w:rsidRPr="00883125">
        <w:t xml:space="preserve">revised proposals, </w:t>
      </w:r>
      <w:r w:rsidR="00DC75A7">
        <w:t>these service providers have</w:t>
      </w:r>
      <w:r w:rsidRPr="00883125">
        <w:t xml:space="preserve"> broadly not submitted anything new. Besides a new report by Frontier Economics, which presented no substantive new arguments, the service providers have submitted </w:t>
      </w:r>
      <w:r w:rsidR="00DC75A7">
        <w:t xml:space="preserve">essentially </w:t>
      </w:r>
      <w:r w:rsidRPr="00883125">
        <w:t xml:space="preserve">the same arguments that were considered in </w:t>
      </w:r>
      <w:r w:rsidR="00DC75A7">
        <w:t>our</w:t>
      </w:r>
      <w:r w:rsidR="00DC75A7" w:rsidRPr="00883125">
        <w:t xml:space="preserve"> </w:t>
      </w:r>
      <w:r w:rsidRPr="00883125">
        <w:t xml:space="preserve">decisions released in October and November 2015. Overall the service providers propose a </w:t>
      </w:r>
      <w:r>
        <w:t>gamma</w:t>
      </w:r>
      <w:r w:rsidRPr="00883125">
        <w:t xml:space="preserve"> estimate of 0.25 which is based on a 0.35 utilisation </w:t>
      </w:r>
      <w:r w:rsidR="0096666B">
        <w:t>rate</w:t>
      </w:r>
      <w:r w:rsidR="0096666B" w:rsidRPr="00883125">
        <w:t xml:space="preserve"> </w:t>
      </w:r>
      <w:r w:rsidRPr="00883125">
        <w:t>from the SFG dividend drop off study and an all equity distribution rate of 0.7.</w:t>
      </w:r>
      <w:r w:rsidRPr="00883125">
        <w:rPr>
          <w:rStyle w:val="FootnoteReference"/>
        </w:rPr>
        <w:footnoteReference w:id="279"/>
      </w:r>
      <w:r w:rsidRPr="00883125">
        <w:t xml:space="preserve"> </w:t>
      </w:r>
    </w:p>
    <w:p w:rsidR="00B27BE5" w:rsidRPr="00883125" w:rsidRDefault="00B27BE5" w:rsidP="00B27BE5">
      <w:r w:rsidRPr="00883125">
        <w:t>As a high level summary of the revised proposal</w:t>
      </w:r>
      <w:r w:rsidR="00DC75A7">
        <w:t>s</w:t>
      </w:r>
      <w:r w:rsidRPr="00883125">
        <w:t xml:space="preserve">, </w:t>
      </w:r>
      <w:r w:rsidR="00DC75A7">
        <w:t>service providers</w:t>
      </w:r>
      <w:r w:rsidR="00DC75A7" w:rsidRPr="00883125">
        <w:t xml:space="preserve"> </w:t>
      </w:r>
      <w:r w:rsidRPr="00883125">
        <w:t>submitted:</w:t>
      </w:r>
    </w:p>
    <w:p w:rsidR="00B27BE5" w:rsidRPr="00DC75A7" w:rsidRDefault="00DC75A7" w:rsidP="00B27BE5">
      <w:pPr>
        <w:pStyle w:val="AERbulletlistfirststyle"/>
        <w:rPr>
          <w:rStyle w:val="AERtexthighlight"/>
          <w:shd w:val="clear" w:color="auto" w:fill="auto"/>
        </w:rPr>
      </w:pPr>
      <w:r w:rsidRPr="0096666B">
        <w:t>our</w:t>
      </w:r>
      <w:r w:rsidR="00B27BE5" w:rsidRPr="0096666B">
        <w:t xml:space="preserve"> approach to estimating gamma is premised on an incorrect interpretation of the NGR</w:t>
      </w:r>
      <w:r w:rsidR="00B27BE5" w:rsidRPr="00B27BE5">
        <w:rPr>
          <w:rStyle w:val="FootnoteReference"/>
        </w:rPr>
        <w:footnoteReference w:id="280"/>
      </w:r>
    </w:p>
    <w:p w:rsidR="00B27BE5" w:rsidRPr="0096666B" w:rsidRDefault="00DC75A7" w:rsidP="008845FC">
      <w:pPr>
        <w:pStyle w:val="AERbulletlistfirststyle"/>
        <w:rPr>
          <w:rStyle w:val="AERtexthighlight"/>
          <w:shd w:val="clear" w:color="auto" w:fill="auto"/>
        </w:rPr>
      </w:pPr>
      <w:r w:rsidRPr="0096666B">
        <w:lastRenderedPageBreak/>
        <w:t>b</w:t>
      </w:r>
      <w:r w:rsidR="00B27BE5" w:rsidRPr="0096666B">
        <w:t>oth the equity ownership value and taxation statistics</w:t>
      </w:r>
      <w:r w:rsidR="008845FC" w:rsidRPr="0096666B">
        <w:t xml:space="preserve"> can be no more than</w:t>
      </w:r>
      <w:r w:rsidR="00B27BE5" w:rsidRPr="0096666B">
        <w:t xml:space="preserve"> an upper bound for the utilisation </w:t>
      </w:r>
      <w:r w:rsidR="0096666B">
        <w:t>rate</w:t>
      </w:r>
      <w:r w:rsidR="00B27BE5" w:rsidRPr="008845FC">
        <w:rPr>
          <w:rStyle w:val="FootnoteReference"/>
        </w:rPr>
        <w:footnoteReference w:id="281"/>
      </w:r>
    </w:p>
    <w:p w:rsidR="00B27BE5" w:rsidRPr="0096666B" w:rsidRDefault="0096666B" w:rsidP="00B27BE5">
      <w:pPr>
        <w:pStyle w:val="AERbulletlistfirststyle"/>
        <w:rPr>
          <w:rStyle w:val="AERtexthighlight"/>
          <w:shd w:val="clear" w:color="auto" w:fill="auto"/>
        </w:rPr>
      </w:pPr>
      <w:r w:rsidRPr="0096666B">
        <w:t>market value studies are direct evidence of the value of imputation credits to investors</w:t>
      </w:r>
      <w:r>
        <w:t>—we</w:t>
      </w:r>
      <w:r w:rsidR="00B27BE5" w:rsidRPr="0096666B">
        <w:t xml:space="preserve"> ha</w:t>
      </w:r>
      <w:r>
        <w:t>ve</w:t>
      </w:r>
      <w:r w:rsidR="00B27BE5" w:rsidRPr="0096666B">
        <w:t xml:space="preserve"> erred in concluding that market value studies reflect factors such as differential personal taxes and risk which are not relevant to the task of measuring </w:t>
      </w:r>
      <w:r>
        <w:t>the utilisation rate</w:t>
      </w:r>
      <w:r w:rsidR="00B27BE5" w:rsidRPr="00B27BE5">
        <w:rPr>
          <w:rStyle w:val="FootnoteReference"/>
        </w:rPr>
        <w:footnoteReference w:id="282"/>
      </w:r>
    </w:p>
    <w:p w:rsidR="00B27BE5" w:rsidRPr="0096666B" w:rsidRDefault="0096666B" w:rsidP="00B27BE5">
      <w:pPr>
        <w:pStyle w:val="AERbulletlistfirststyle"/>
        <w:rPr>
          <w:rStyle w:val="AERtexthighlight"/>
          <w:shd w:val="clear" w:color="auto" w:fill="auto"/>
        </w:rPr>
      </w:pPr>
      <w:r>
        <w:t>we</w:t>
      </w:r>
      <w:r w:rsidR="00B27BE5" w:rsidRPr="0096666B">
        <w:t xml:space="preserve"> incorrectly assume that estimates of </w:t>
      </w:r>
      <w:r>
        <w:t>the utilisation rate</w:t>
      </w:r>
      <w:r w:rsidRPr="0096666B">
        <w:t xml:space="preserve"> </w:t>
      </w:r>
      <w:r>
        <w:t>from listed equity (all equity)</w:t>
      </w:r>
      <w:r w:rsidR="00B27BE5" w:rsidRPr="0096666B">
        <w:t xml:space="preserve"> can only be combined with estimates distribution rate</w:t>
      </w:r>
      <w:r>
        <w:t xml:space="preserve"> from listed equity (all equity)</w:t>
      </w:r>
      <w:r w:rsidR="00B27BE5" w:rsidRPr="00B27BE5">
        <w:rPr>
          <w:rStyle w:val="FootnoteReference"/>
        </w:rPr>
        <w:footnoteReference w:id="283"/>
      </w:r>
      <w:r w:rsidR="00B27BE5" w:rsidRPr="0096666B">
        <w:rPr>
          <w:rStyle w:val="AERtexthighlight"/>
          <w:shd w:val="clear" w:color="auto" w:fill="auto"/>
        </w:rPr>
        <w:t xml:space="preserve"> </w:t>
      </w:r>
    </w:p>
    <w:p w:rsidR="00B27BE5" w:rsidRPr="00B27BE5" w:rsidRDefault="00DC75A7" w:rsidP="00B27BE5">
      <w:pPr>
        <w:pStyle w:val="AERbulletlistfirststyle"/>
        <w:rPr>
          <w:rStyle w:val="AERbody"/>
        </w:rPr>
      </w:pPr>
      <w:r w:rsidRPr="0096666B">
        <w:t>u</w:t>
      </w:r>
      <w:r w:rsidR="00B27BE5" w:rsidRPr="0096666B">
        <w:t xml:space="preserve">nder </w:t>
      </w:r>
      <w:r w:rsidR="0096666B">
        <w:t>our</w:t>
      </w:r>
      <w:r w:rsidR="00B27BE5" w:rsidRPr="0096666B">
        <w:t xml:space="preserve"> interpretation of the NGR, </w:t>
      </w:r>
      <w:r w:rsidR="0096666B">
        <w:t>our</w:t>
      </w:r>
      <w:r w:rsidR="00B27BE5" w:rsidRPr="0096666B">
        <w:t xml:space="preserve"> gamma estimate cannot be supported as the pre-personal cost estimate of </w:t>
      </w:r>
      <w:r w:rsidR="0096666B">
        <w:t>the utilisation rate</w:t>
      </w:r>
      <w:r w:rsidR="0096666B" w:rsidRPr="0096666B">
        <w:t xml:space="preserve"> </w:t>
      </w:r>
      <w:r w:rsidR="00B27BE5" w:rsidRPr="0096666B">
        <w:t>is approximately 0.3.</w:t>
      </w:r>
      <w:r w:rsidR="00B27BE5" w:rsidRPr="00B27BE5">
        <w:rPr>
          <w:rStyle w:val="FootnoteReference"/>
        </w:rPr>
        <w:footnoteReference w:id="284"/>
      </w:r>
    </w:p>
    <w:p w:rsidR="00B27BE5" w:rsidRPr="00883125" w:rsidRDefault="00B27BE5" w:rsidP="00B27BE5">
      <w:pPr>
        <w:pStyle w:val="Heading8"/>
      </w:pPr>
      <w:bookmarkStart w:id="106" w:name="_Ref415144114"/>
      <w:bookmarkStart w:id="107" w:name="_Toc436049446"/>
      <w:bookmarkStart w:id="108" w:name="_Toc451928279"/>
      <w:r w:rsidRPr="00883125">
        <w:t>The role of the value of imputation credits in the regulatory framework</w:t>
      </w:r>
      <w:bookmarkEnd w:id="106"/>
      <w:bookmarkEnd w:id="107"/>
      <w:bookmarkEnd w:id="108"/>
    </w:p>
    <w:p w:rsidR="00B27BE5" w:rsidRPr="00883125" w:rsidRDefault="00B27BE5" w:rsidP="00B27BE5">
      <w:pPr>
        <w:numPr>
          <w:ilvl w:val="0"/>
          <w:numId w:val="24"/>
        </w:numPr>
      </w:pPr>
      <w:r w:rsidRPr="00883125">
        <w:t>To explain the role of the value of imputation credits in the NER/NGR, we must consider:</w:t>
      </w:r>
    </w:p>
    <w:p w:rsidR="00B27BE5" w:rsidRPr="00883125" w:rsidRDefault="00B27BE5" w:rsidP="00B27BE5">
      <w:pPr>
        <w:pStyle w:val="AERbulletlistfirststyle"/>
      </w:pPr>
      <w:r w:rsidRPr="00883125">
        <w:t>the 'building block' revenue framework in the NER/NGR, and</w:t>
      </w:r>
    </w:p>
    <w:p w:rsidR="00B27BE5" w:rsidRPr="00883125" w:rsidRDefault="00B27BE5" w:rsidP="00B27BE5">
      <w:pPr>
        <w:pStyle w:val="AERbulletlistfirststyle"/>
      </w:pPr>
      <w:r w:rsidRPr="00883125">
        <w:t>the construction of the tax building block.</w:t>
      </w:r>
    </w:p>
    <w:p w:rsidR="00B27BE5" w:rsidRPr="00883125" w:rsidRDefault="00B27BE5" w:rsidP="00B27BE5">
      <w:pPr>
        <w:pStyle w:val="Heading9"/>
      </w:pPr>
      <w:r w:rsidRPr="00883125">
        <w:t>The building block framework</w:t>
      </w:r>
    </w:p>
    <w:p w:rsidR="00B27BE5" w:rsidRPr="00883125" w:rsidRDefault="00B27BE5" w:rsidP="00B27BE5">
      <w:pPr>
        <w:numPr>
          <w:ilvl w:val="0"/>
          <w:numId w:val="24"/>
        </w:numPr>
      </w:pPr>
      <w:r w:rsidRPr="00883125">
        <w:t>Under the NER/NGR, we employ a building block framework to estimate revenue for service providers. The building block framework sets out how to estimate the various components (that is, 'building blocks') that make up a total revenue allowance.</w:t>
      </w:r>
      <w:r w:rsidRPr="00883125">
        <w:rPr>
          <w:rStyle w:val="FootnoteReference"/>
        </w:rPr>
        <w:footnoteReference w:id="285"/>
      </w:r>
      <w:r w:rsidRPr="00883125">
        <w:t xml:space="preserve"> The function of this </w:t>
      </w:r>
      <w:r w:rsidRPr="00883125">
        <w:lastRenderedPageBreak/>
        <w:t>building block revenue estimate is to determine the revenue that a service provider requires to:</w:t>
      </w:r>
    </w:p>
    <w:p w:rsidR="00B27BE5" w:rsidRPr="00883125" w:rsidRDefault="00B27BE5" w:rsidP="00B27BE5">
      <w:pPr>
        <w:pStyle w:val="AERbulletlistfirststyle"/>
      </w:pPr>
      <w:r w:rsidRPr="00883125">
        <w:t>fund its operating expenses.</w:t>
      </w:r>
    </w:p>
    <w:p w:rsidR="00B27BE5" w:rsidRPr="00883125" w:rsidRDefault="00B27BE5" w:rsidP="00B27BE5">
      <w:pPr>
        <w:pStyle w:val="AERbulletlistfirststyle"/>
      </w:pPr>
      <w:r w:rsidRPr="00883125">
        <w:t>achieve adequate returns to raise debt and equity in order to finance its capital investments. This is made up of a rate of return on capital to compensate investors for the risks of investment. It also includes a return of capital (depreciation), which gradually returns the initial principal of the investment, and subsequent investments, back to investors.</w:t>
      </w:r>
    </w:p>
    <w:p w:rsidR="00B27BE5" w:rsidRPr="00883125" w:rsidRDefault="00B27BE5" w:rsidP="00B27BE5">
      <w:pPr>
        <w:pStyle w:val="AERbulletlistfirststyle"/>
      </w:pPr>
      <w:r w:rsidRPr="00883125">
        <w:t>pay its tax liability.</w:t>
      </w:r>
    </w:p>
    <w:p w:rsidR="00B27BE5" w:rsidRPr="00883125" w:rsidRDefault="00B27BE5" w:rsidP="00B27BE5">
      <w:pPr>
        <w:pStyle w:val="AERbulletlistfirststyle"/>
      </w:pPr>
      <w:r w:rsidRPr="00883125">
        <w:t>reflect any revenue increments or decrements from incentive mechanisms in the design of the regulatory regime.</w:t>
      </w:r>
    </w:p>
    <w:p w:rsidR="00B27BE5" w:rsidRPr="00883125" w:rsidRDefault="00B27BE5" w:rsidP="00B27BE5">
      <w:pPr>
        <w:numPr>
          <w:ilvl w:val="0"/>
          <w:numId w:val="24"/>
        </w:numPr>
      </w:pPr>
      <w:r w:rsidRPr="00883125">
        <w:t>Importantly, the building block framework is intended to compensate the service provider (and its investors) only for costs incurred by the service provider and not by its investors; that is, the framework is on a before-personal-tax and before-personal-costs basis. Handley described this consideration as follows:</w:t>
      </w:r>
      <w:r w:rsidRPr="00883125">
        <w:rPr>
          <w:rStyle w:val="FootnoteReference"/>
        </w:rPr>
        <w:footnoteReference w:id="286"/>
      </w:r>
    </w:p>
    <w:p w:rsidR="00B27BE5" w:rsidRPr="00883125" w:rsidRDefault="00B27BE5" w:rsidP="00B27BE5">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B27BE5" w:rsidRPr="00883125" w:rsidRDefault="00B27BE5" w:rsidP="00B27BE5">
      <w:pPr>
        <w:pStyle w:val="AERquote"/>
      </w:pPr>
      <w:r w:rsidRPr="00883125">
        <w:t>…</w:t>
      </w:r>
    </w:p>
    <w:p w:rsidR="00B27BE5" w:rsidRPr="00883125" w:rsidRDefault="00B27BE5" w:rsidP="00B27BE5">
      <w:pPr>
        <w:pStyle w:val="AERquote"/>
      </w:pPr>
      <w:r w:rsidRPr="00883125">
        <w:t>The regulatory WACC framework is an after-company-before-personal-tax framework which requires explicit modelling of cash flows and returns after allowing for company tax but avoids most of the complications associated with having to model personal taxes - one complication which remains of course, is gamma. If one wanted to explicitly model personal taxes then an after-company-after-personal-tax WACC framework could be used instead.</w:t>
      </w:r>
    </w:p>
    <w:p w:rsidR="00B27BE5" w:rsidRPr="00883125" w:rsidRDefault="00B27BE5" w:rsidP="00B27BE5">
      <w:r w:rsidRPr="00883125">
        <w:t xml:space="preserve">In particular, Handley advised that the Officer framework provides the basis for the building block framework in the NER/NGR, and that the before-personal-tax and before-personal-costs interpretation is consistent with Officer. Handley's advice on these matters is discussed in more detail in sections </w:t>
      </w:r>
      <w:r w:rsidRPr="00883125">
        <w:fldChar w:fldCharType="begin"/>
      </w:r>
      <w:r w:rsidRPr="00883125">
        <w:instrText xml:space="preserve"> REF _Ref400965182 \r \h </w:instrText>
      </w:r>
      <w:r w:rsidRPr="00883125">
        <w:fldChar w:fldCharType="separate"/>
      </w:r>
      <w:r w:rsidR="00881794">
        <w:t>A.6</w:t>
      </w:r>
      <w:r w:rsidRPr="00883125">
        <w:fldChar w:fldCharType="end"/>
      </w:r>
      <w:r w:rsidRPr="00883125">
        <w:t xml:space="preserve">, </w:t>
      </w:r>
      <w:r w:rsidRPr="00883125">
        <w:fldChar w:fldCharType="begin"/>
      </w:r>
      <w:r w:rsidRPr="00883125">
        <w:instrText xml:space="preserve"> REF _Ref414028398 \r \h </w:instrText>
      </w:r>
      <w:r w:rsidRPr="00883125">
        <w:fldChar w:fldCharType="separate"/>
      </w:r>
      <w:r w:rsidR="00881794">
        <w:t>A.7.3</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881794">
        <w:t>A.8.1</w:t>
      </w:r>
      <w:r w:rsidRPr="00883125">
        <w:fldChar w:fldCharType="end"/>
      </w:r>
      <w:r w:rsidRPr="00883125">
        <w:t>.</w:t>
      </w:r>
    </w:p>
    <w:p w:rsidR="00B27BE5" w:rsidRPr="00883125" w:rsidRDefault="00B27BE5" w:rsidP="00B27BE5">
      <w:pPr>
        <w:rPr>
          <w:rStyle w:val="AERbody"/>
        </w:rPr>
      </w:pPr>
      <w:r w:rsidRPr="00883125">
        <w:rPr>
          <w:rStyle w:val="AERbody"/>
        </w:rPr>
        <w:lastRenderedPageBreak/>
        <w:t>In response to a number of service providers</w:t>
      </w:r>
      <w:r w:rsidR="0096666B">
        <w:rPr>
          <w:rStyle w:val="AERbody"/>
        </w:rPr>
        <w:t>' view</w:t>
      </w:r>
      <w:r w:rsidRPr="00883125">
        <w:rPr>
          <w:rStyle w:val="AERbody"/>
        </w:rPr>
        <w:t xml:space="preserve"> that </w:t>
      </w:r>
      <w:r w:rsidR="0096666B">
        <w:rPr>
          <w:rStyle w:val="AERbody"/>
        </w:rPr>
        <w:t>we</w:t>
      </w:r>
      <w:r w:rsidRPr="00883125">
        <w:rPr>
          <w:rStyle w:val="AERbody"/>
        </w:rPr>
        <w:t xml:space="preserve"> prefers </w:t>
      </w:r>
      <w:r w:rsidR="0096666B">
        <w:rPr>
          <w:rStyle w:val="AERbody"/>
        </w:rPr>
        <w:t>our</w:t>
      </w:r>
      <w:r w:rsidR="0096666B" w:rsidRPr="00883125">
        <w:rPr>
          <w:rStyle w:val="AERbody"/>
        </w:rPr>
        <w:t xml:space="preserve"> </w:t>
      </w:r>
      <w:r w:rsidRPr="00883125">
        <w:rPr>
          <w:rStyle w:val="AERbody"/>
        </w:rPr>
        <w:t xml:space="preserve">conceptual valuation relative to a market mechanism derived value, and </w:t>
      </w:r>
      <w:r w:rsidR="0096666B">
        <w:rPr>
          <w:rStyle w:val="AERbody"/>
        </w:rPr>
        <w:t xml:space="preserve">their </w:t>
      </w:r>
      <w:r w:rsidRPr="00883125">
        <w:rPr>
          <w:rStyle w:val="AERbody"/>
        </w:rPr>
        <w:t xml:space="preserve">concerns around </w:t>
      </w:r>
      <w:r w:rsidR="0096666B">
        <w:rPr>
          <w:rStyle w:val="AERbody"/>
        </w:rPr>
        <w:t>our</w:t>
      </w:r>
      <w:r w:rsidRPr="00883125">
        <w:rPr>
          <w:rStyle w:val="AERbody"/>
        </w:rPr>
        <w:t xml:space="preserve"> definition of gamma, we note:</w:t>
      </w:r>
    </w:p>
    <w:p w:rsidR="00B27BE5" w:rsidRPr="005764F6" w:rsidRDefault="00B27BE5">
      <w:pPr>
        <w:pStyle w:val="AERbulletlistfirststyle"/>
      </w:pPr>
      <w:r w:rsidRPr="005764F6">
        <w:t>There is no market for imputation credits and therefore there is no directly observable market price</w:t>
      </w:r>
      <w:r w:rsidR="00F1222E" w:rsidRPr="005764F6">
        <w:t>.</w:t>
      </w:r>
      <w:r w:rsidR="00F64ABD" w:rsidRPr="00E87CA4">
        <w:rPr>
          <w:rStyle w:val="FootnoteReference"/>
        </w:rPr>
        <w:footnoteReference w:id="287"/>
      </w:r>
      <w:r w:rsidR="00F1222E" w:rsidRPr="005764F6">
        <w:t xml:space="preserve"> </w:t>
      </w:r>
      <w:r w:rsidRPr="005764F6">
        <w:t xml:space="preserve">This is also discussed below in section </w:t>
      </w:r>
      <w:r w:rsidRPr="005764F6">
        <w:fldChar w:fldCharType="begin"/>
      </w:r>
      <w:r w:rsidRPr="005764F6">
        <w:instrText xml:space="preserve"> REF _Ref435171205 \r \h  \* MERGEFORMAT </w:instrText>
      </w:r>
      <w:r w:rsidRPr="005764F6">
        <w:fldChar w:fldCharType="separate"/>
      </w:r>
      <w:r w:rsidR="00881794">
        <w:t>A.15.3</w:t>
      </w:r>
      <w:r w:rsidRPr="005764F6">
        <w:fldChar w:fldCharType="end"/>
      </w:r>
      <w:r w:rsidRPr="005764F6">
        <w:t>.</w:t>
      </w:r>
    </w:p>
    <w:p w:rsidR="00B27BE5" w:rsidRPr="005764F6" w:rsidRDefault="00B27BE5">
      <w:pPr>
        <w:pStyle w:val="AERbulletlistfirststyle"/>
      </w:pPr>
      <w:r w:rsidRPr="005764F6">
        <w:t>The value of imputation credits as estimated through a dividend drop off study:</w:t>
      </w:r>
    </w:p>
    <w:p w:rsidR="00B27BE5" w:rsidRPr="005764F6" w:rsidRDefault="00B27BE5">
      <w:pPr>
        <w:pStyle w:val="AERbulletlistsecondstyle"/>
      </w:pPr>
      <w:r w:rsidRPr="005764F6">
        <w:t>is not a post company tax value before personal taxes and personal transaction costs (particularly demonstrated where the study estimates a value for cash dividends materially below their face value as the SFG study does).</w:t>
      </w:r>
    </w:p>
    <w:p w:rsidR="008131C4" w:rsidRPr="005764F6" w:rsidRDefault="00B27BE5">
      <w:pPr>
        <w:pStyle w:val="AERbulletlistsecondstyle"/>
      </w:pPr>
      <w:r w:rsidRPr="005764F6">
        <w:t>is not necessarily consistent with the estimate of the return on equity and return on debt which are estimated required returns before personal taxes and personal transaction costs (particularly demonstrated where the study estimates a value for cash dividends materially below their face value as the SFG study does)</w:t>
      </w:r>
    </w:p>
    <w:p w:rsidR="008131C4" w:rsidRPr="005764F6" w:rsidRDefault="0096666B">
      <w:pPr>
        <w:pStyle w:val="AERbulletlistsecondstyle"/>
      </w:pPr>
      <w:r w:rsidRPr="005764F6">
        <w:t>i</w:t>
      </w:r>
      <w:r w:rsidR="008131C4" w:rsidRPr="005764F6">
        <w:t>s not clearly measuring a value to long term investors supplying capital to the benchmark efficient entity (even where adjusted for adjusted for differential tax impacts)</w:t>
      </w:r>
    </w:p>
    <w:p w:rsidR="00B27BE5" w:rsidRPr="005764F6" w:rsidRDefault="00B27BE5">
      <w:pPr>
        <w:pStyle w:val="AERbulletlistsecondstyle"/>
      </w:pPr>
      <w:r w:rsidRPr="005764F6">
        <w:t xml:space="preserve">is subject to significant uncertainty. </w:t>
      </w:r>
    </w:p>
    <w:p w:rsidR="00B27BE5" w:rsidRPr="00883125" w:rsidRDefault="00B27BE5" w:rsidP="00B27BE5">
      <w:pPr>
        <w:pStyle w:val="AERbulletlistfirststyle"/>
        <w:rPr>
          <w:rStyle w:val="AERbody"/>
        </w:rPr>
      </w:pPr>
      <w:r w:rsidRPr="00883125">
        <w:rPr>
          <w:rStyle w:val="AERbody"/>
        </w:rPr>
        <w:t xml:space="preserve">A number of limitations of these studies are discussed further in sections </w:t>
      </w:r>
      <w:r w:rsidRPr="00883125">
        <w:rPr>
          <w:rStyle w:val="AERbody"/>
        </w:rPr>
        <w:fldChar w:fldCharType="begin"/>
      </w:r>
      <w:r w:rsidRPr="00883125">
        <w:rPr>
          <w:rStyle w:val="AERbody"/>
        </w:rPr>
        <w:instrText xml:space="preserve"> REF _Ref415065117 \r \h </w:instrText>
      </w:r>
      <w:r w:rsidRPr="00883125">
        <w:rPr>
          <w:rStyle w:val="AERbody"/>
        </w:rPr>
      </w:r>
      <w:r w:rsidRPr="00883125">
        <w:rPr>
          <w:rStyle w:val="AERbody"/>
        </w:rPr>
        <w:fldChar w:fldCharType="separate"/>
      </w:r>
      <w:r w:rsidR="00881794">
        <w:rPr>
          <w:rStyle w:val="AERbody"/>
        </w:rPr>
        <w:t>A.15.4</w:t>
      </w:r>
      <w:r w:rsidRPr="00883125">
        <w:rPr>
          <w:rStyle w:val="AERbody"/>
        </w:rPr>
        <w:fldChar w:fldCharType="end"/>
      </w:r>
      <w:r w:rsidRPr="00883125">
        <w:rPr>
          <w:rStyle w:val="AERbody"/>
        </w:rPr>
        <w:t xml:space="preserve"> and </w:t>
      </w:r>
      <w:r w:rsidRPr="00883125">
        <w:rPr>
          <w:rStyle w:val="AERbody"/>
        </w:rPr>
        <w:fldChar w:fldCharType="begin"/>
      </w:r>
      <w:r w:rsidRPr="00883125">
        <w:rPr>
          <w:rStyle w:val="AERbody"/>
        </w:rPr>
        <w:instrText xml:space="preserve"> REF _Ref414624721 \r \h </w:instrText>
      </w:r>
      <w:r w:rsidRPr="00883125">
        <w:rPr>
          <w:rStyle w:val="AERbody"/>
        </w:rPr>
      </w:r>
      <w:r w:rsidRPr="00883125">
        <w:rPr>
          <w:rStyle w:val="AERbody"/>
        </w:rPr>
        <w:fldChar w:fldCharType="separate"/>
      </w:r>
      <w:r w:rsidR="00881794">
        <w:rPr>
          <w:rStyle w:val="AERbody"/>
        </w:rPr>
        <w:t>A.15.5</w:t>
      </w:r>
      <w:r w:rsidRPr="00883125">
        <w:rPr>
          <w:rStyle w:val="AERbody"/>
        </w:rPr>
        <w:fldChar w:fldCharType="end"/>
      </w:r>
      <w:r w:rsidRPr="00883125">
        <w:rPr>
          <w:rStyle w:val="AERbody"/>
        </w:rPr>
        <w:t>.</w:t>
      </w:r>
    </w:p>
    <w:p w:rsidR="0096666B" w:rsidRPr="0096666B" w:rsidRDefault="00857C5F" w:rsidP="00EE3DC6">
      <w:pPr>
        <w:pStyle w:val="AERbulletlistfirststyle"/>
        <w:rPr>
          <w:rStyle w:val="AERtexthighlight"/>
          <w:shd w:val="clear" w:color="auto" w:fill="auto"/>
        </w:rPr>
      </w:pPr>
      <w:r>
        <w:t>Our</w:t>
      </w:r>
      <w:r w:rsidR="00B27BE5" w:rsidRPr="0096666B">
        <w:t xml:space="preserve"> definition of the utilisation value is consistent with Officer Framework underpinning the rules that uses a post-tax Vanilla WACC, is consistent with the way </w:t>
      </w:r>
      <w:r>
        <w:t>we</w:t>
      </w:r>
      <w:r w:rsidR="00B27BE5" w:rsidRPr="0096666B">
        <w:t xml:space="preserve"> estimate the required return on equity, and is supported by Handley. </w:t>
      </w:r>
      <w:r w:rsidR="00EE3DC6" w:rsidRPr="0096666B">
        <w:t xml:space="preserve">Lally also considers </w:t>
      </w:r>
      <w:r w:rsidR="0096666B" w:rsidRPr="0096666B">
        <w:t>our</w:t>
      </w:r>
      <w:r w:rsidR="00EE3DC6" w:rsidRPr="0096666B">
        <w:t xml:space="preserve"> approach to imputation credits is consistent with the post-tax framework in the NER</w:t>
      </w:r>
      <w:r>
        <w:t>/</w:t>
      </w:r>
      <w:r w:rsidR="00EE3DC6" w:rsidRPr="0096666B">
        <w:t>NGR.</w:t>
      </w:r>
      <w:r w:rsidR="00EE3DC6" w:rsidRPr="005764F6">
        <w:rPr>
          <w:rStyle w:val="FootnoteReference"/>
        </w:rPr>
        <w:footnoteReference w:id="288"/>
      </w:r>
      <w:r w:rsidR="00EE3DC6" w:rsidRPr="0096666B">
        <w:rPr>
          <w:rStyle w:val="AERtexthighlight"/>
          <w:shd w:val="clear" w:color="auto" w:fill="auto"/>
        </w:rPr>
        <w:t xml:space="preserve"> </w:t>
      </w:r>
    </w:p>
    <w:p w:rsidR="00B27BE5" w:rsidRPr="00857C5F" w:rsidRDefault="00B27BE5" w:rsidP="00EE3DC6">
      <w:pPr>
        <w:pStyle w:val="AERbulletlistfirststyle"/>
        <w:rPr>
          <w:rStyle w:val="AERtexthighlight"/>
          <w:shd w:val="clear" w:color="auto" w:fill="auto"/>
        </w:rPr>
      </w:pPr>
      <w:r w:rsidRPr="00857C5F">
        <w:t>The explicit recognition that this is a pre personal taxes and pre personal transaction costs value is simply explicit recognition of something implicit in the Officer Vanilla WACC framework. This framework determines the required return to the company (i.e. before personal taxes and personal transaction costs are incurred) consistent with the definition of the after-tax net cash flows set out in Officer.</w:t>
      </w:r>
      <w:r w:rsidRPr="00EE3DC6">
        <w:rPr>
          <w:rStyle w:val="FootnoteReference"/>
        </w:rPr>
        <w:footnoteReference w:id="289"/>
      </w:r>
    </w:p>
    <w:p w:rsidR="00B27BE5" w:rsidRPr="00857C5F" w:rsidRDefault="00857C5F">
      <w:pPr>
        <w:pStyle w:val="AERbulletlistfirststyle"/>
        <w:rPr>
          <w:rStyle w:val="AERtexthighlight"/>
          <w:rFonts w:cstheme="minorBidi"/>
          <w:shd w:val="clear" w:color="auto" w:fill="auto"/>
        </w:rPr>
      </w:pPr>
      <w:r w:rsidRPr="00857C5F">
        <w:t>Our</w:t>
      </w:r>
      <w:r w:rsidR="00B27BE5" w:rsidRPr="00857C5F">
        <w:t xml:space="preserve"> definition is consistent with the 'value' concept in the rules given the rules are requiring the AER to estimate a post-tax nominal Vanilla WACC consistent with Officer formula (12) in his 1994 paper, which as stated by Officer is one particular definition of "a company's after-tax cost of capital (WACC)" and "is determined by the definition used of after-tax operating income or really after-tax net cash flows".</w:t>
      </w:r>
      <w:r w:rsidR="00B27BE5" w:rsidRPr="00F1222E">
        <w:rPr>
          <w:rStyle w:val="FootnoteReference"/>
        </w:rPr>
        <w:footnoteReference w:id="290"/>
      </w:r>
      <w:r w:rsidR="00B27BE5" w:rsidRPr="005764F6">
        <w:t xml:space="preserve"> </w:t>
      </w:r>
      <w:r w:rsidR="00B27BE5" w:rsidRPr="00857C5F">
        <w:t xml:space="preserve">As these after-tax net </w:t>
      </w:r>
      <w:r w:rsidR="00B27BE5" w:rsidRPr="00857C5F">
        <w:lastRenderedPageBreak/>
        <w:t xml:space="preserve">cash flows are at the company level they are before personal taxes and personal transaction costs. This is supported by the advice of </w:t>
      </w:r>
      <w:r w:rsidR="00B27BE5" w:rsidRPr="005764F6">
        <w:t>Handley</w:t>
      </w:r>
      <w:r w:rsidR="008131C4" w:rsidRPr="005764F6">
        <w:t xml:space="preserve"> and Lally</w:t>
      </w:r>
      <w:r w:rsidR="00B27BE5" w:rsidRPr="00857C5F">
        <w:t>.</w:t>
      </w:r>
      <w:r w:rsidR="00B27BE5" w:rsidRPr="00F1222E">
        <w:rPr>
          <w:rStyle w:val="FootnoteReference"/>
        </w:rPr>
        <w:footnoteReference w:id="291"/>
      </w:r>
    </w:p>
    <w:p w:rsidR="00B27BE5" w:rsidRPr="00883125" w:rsidRDefault="00B27BE5" w:rsidP="00B27BE5">
      <w:pPr>
        <w:pStyle w:val="Heading9"/>
      </w:pPr>
      <w:bookmarkStart w:id="109" w:name="_Ref400962032"/>
      <w:r w:rsidRPr="00883125">
        <w:t>The tax building block</w:t>
      </w:r>
      <w:bookmarkEnd w:id="109"/>
    </w:p>
    <w:p w:rsidR="00B27BE5" w:rsidRPr="00883125" w:rsidRDefault="00B27BE5" w:rsidP="00B27BE5">
      <w:pPr>
        <w:numPr>
          <w:ilvl w:val="0"/>
          <w:numId w:val="24"/>
        </w:numPr>
      </w:pPr>
      <w:r w:rsidRPr="00883125">
        <w:t>One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NER/NGR specify that we must estimate a nominal vanilla rate of return.</w:t>
      </w:r>
      <w:r w:rsidRPr="00883125">
        <w:rPr>
          <w:rStyle w:val="FootnoteReference"/>
        </w:rPr>
        <w:footnoteReference w:id="292"/>
      </w:r>
      <w:r w:rsidRPr="00883125">
        <w:t xml:space="preserve"> A nominal vanilla rate of return combines a post-tax return on equity with a pre-tax return on debt. More specifically, as described by Handley above, the return on equity is a post-company-tax-pre-personal-tax return on equity.</w:t>
      </w:r>
    </w:p>
    <w:p w:rsidR="00B27BE5" w:rsidRPr="00883125" w:rsidRDefault="00B27BE5" w:rsidP="00B27BE5">
      <w:pPr>
        <w:numPr>
          <w:ilvl w:val="0"/>
          <w:numId w:val="24"/>
        </w:numPr>
      </w:pPr>
      <w:r w:rsidRPr="00883125">
        <w:t xml:space="preserve">Amongst other things, this means the return on capital does not include an allowance for the cost of taxation. As a result, the building block framework includes an estimate of the cost of corporate income tax as a separate revenue item. </w:t>
      </w:r>
    </w:p>
    <w:p w:rsidR="00B27BE5" w:rsidRPr="00883125" w:rsidRDefault="00B27BE5" w:rsidP="00B27BE5">
      <w:pPr>
        <w:numPr>
          <w:ilvl w:val="0"/>
          <w:numId w:val="24"/>
        </w:numPr>
      </w:pPr>
      <w:r w:rsidRPr="00883125">
        <w:t>The cost of corporate income tax building block takes the following form:</w:t>
      </w:r>
    </w:p>
    <w:p w:rsidR="00B27BE5" w:rsidRPr="00883125" w:rsidRDefault="00984055" w:rsidP="00B27BE5">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B27BE5" w:rsidRPr="00883125" w:rsidRDefault="00B27BE5" w:rsidP="00B27BE5">
      <w:pPr>
        <w:numPr>
          <w:ilvl w:val="0"/>
          <w:numId w:val="24"/>
        </w:numPr>
      </w:pPr>
      <w:r w:rsidRPr="00883125">
        <w:t>where:</w:t>
      </w:r>
    </w:p>
    <w:p w:rsidR="00B27BE5" w:rsidRPr="00883125" w:rsidRDefault="00984055" w:rsidP="00B27BE5">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B27BE5" w:rsidRPr="00883125" w:rsidDel="00CE0EED">
        <w:t xml:space="preserve"> </w:t>
      </w:r>
      <w:r w:rsidR="00B27BE5" w:rsidRPr="00883125">
        <w:t>is an estimate of the benchmark efficient entity's tax liability.</w:t>
      </w:r>
    </w:p>
    <w:p w:rsidR="00B27BE5" w:rsidRPr="00883125" w:rsidRDefault="00B27BE5" w:rsidP="00B27BE5">
      <w:pPr>
        <w:pStyle w:val="AERbulletlistfirststyle"/>
      </w:pPr>
      <m:oMath>
        <m:r>
          <w:rPr>
            <w:rFonts w:ascii="Cambria Math" w:hAnsi="Cambria Math"/>
          </w:rPr>
          <m:t>γ</m:t>
        </m:r>
      </m:oMath>
      <w:r w:rsidRPr="00883125">
        <w:t xml:space="preserve"> is the value of imputation credits.</w:t>
      </w:r>
    </w:p>
    <w:p w:rsidR="00B27BE5" w:rsidRPr="00883125" w:rsidRDefault="00B27BE5" w:rsidP="00B27BE5">
      <w:pPr>
        <w:numPr>
          <w:ilvl w:val="0"/>
          <w:numId w:val="24"/>
        </w:numPr>
      </w:pPr>
      <w:r w:rsidRPr="00883125">
        <w:t xml:space="preserve">Therefore, the effect of the value of imputation credits is to reduce a service provider's allowed revenue by </w:t>
      </w:r>
      <m:oMath>
        <m:r>
          <w:rPr>
            <w:rFonts w:ascii="Cambria Math" w:hAnsi="Cambria Math"/>
          </w:rPr>
          <m:t>γ</m:t>
        </m:r>
      </m:oMath>
      <w:r w:rsidRPr="00883125" w:rsidDel="00EC30CC">
        <w:rPr>
          <w:rFonts w:hint="eastAsia"/>
        </w:rPr>
        <w:t xml:space="preserve"> </w:t>
      </w:r>
      <w:r w:rsidRPr="00883125">
        <w:t>(gamma) dollars for each dollar of expected company tax payable by the benchmark efficient entity. Given it is the tax paid by the benchmark efficient entity that gives rise to the imputation credits, we consider that it is the (pre-personal tax) value of imputation credits to investors in the benchmark efficient entity that is relevant.</w:t>
      </w:r>
      <w:r w:rsidRPr="00883125">
        <w:rPr>
          <w:rStyle w:val="FootnoteReference"/>
        </w:rPr>
        <w:footnoteReference w:id="293"/>
      </w:r>
    </w:p>
    <w:p w:rsidR="00B27BE5" w:rsidRPr="00883125" w:rsidRDefault="00B27BE5" w:rsidP="00B27BE5">
      <w:pPr>
        <w:pStyle w:val="Heading8"/>
      </w:pPr>
      <w:bookmarkStart w:id="110" w:name="_Ref400965182"/>
      <w:bookmarkStart w:id="111" w:name="_Toc436049447"/>
      <w:bookmarkStart w:id="112" w:name="_Ref451826492"/>
      <w:bookmarkStart w:id="113" w:name="_Toc451928280"/>
      <w:r w:rsidRPr="00883125">
        <w:t>The conceptual framework for the value of imputation credits</w:t>
      </w:r>
      <w:bookmarkEnd w:id="110"/>
      <w:bookmarkEnd w:id="111"/>
      <w:bookmarkEnd w:id="112"/>
      <w:bookmarkEnd w:id="113"/>
    </w:p>
    <w:p w:rsidR="00B27BE5" w:rsidRPr="00883125" w:rsidRDefault="00B27BE5" w:rsidP="00B27BE5">
      <w:pPr>
        <w:numPr>
          <w:ilvl w:val="0"/>
          <w:numId w:val="24"/>
        </w:numPr>
      </w:pPr>
      <w:r w:rsidRPr="00883125">
        <w:t xml:space="preserve">With regard to the discussion of the tax building block in section </w:t>
      </w:r>
      <w:r w:rsidRPr="00883125">
        <w:fldChar w:fldCharType="begin"/>
      </w:r>
      <w:r w:rsidRPr="00883125">
        <w:instrText xml:space="preserve"> REF _Ref400962032 \r \h </w:instrText>
      </w:r>
      <w:r w:rsidRPr="00883125">
        <w:fldChar w:fldCharType="separate"/>
      </w:r>
      <w:r w:rsidR="00881794">
        <w:t>A.5.2</w:t>
      </w:r>
      <w:r w:rsidRPr="00883125">
        <w:fldChar w:fldCharType="end"/>
      </w:r>
      <w:r w:rsidRPr="00883125">
        <w:t xml:space="preserve">, we consider the 'value of imputation credits' to be the value of imputation credits to investors in the benchmark efficient entity. Moreover, as noted above, it is the pre-personal tax value of imputation credits to those investors that we seek to estimate. The issue is then how to interpret and estimate the value of imputation credits. Our approach to interpreting and </w:t>
      </w:r>
      <w:r w:rsidRPr="00883125">
        <w:lastRenderedPageBreak/>
        <w:t>estimating the value of imputation credits is guided in the first instance by the conceptual framework developed by Officer.</w:t>
      </w:r>
      <w:r w:rsidRPr="00883125">
        <w:rPr>
          <w:rStyle w:val="FootnoteReference"/>
        </w:rPr>
        <w:footnoteReference w:id="294"/>
      </w:r>
      <w:r w:rsidRPr="00883125">
        <w:t xml:space="preserve"> This is because:</w:t>
      </w:r>
    </w:p>
    <w:p w:rsidR="00B27BE5" w:rsidRPr="00883125" w:rsidRDefault="00B27BE5" w:rsidP="00B27BE5">
      <w:pPr>
        <w:pStyle w:val="AERbulletlistfirststyle"/>
      </w:pPr>
      <w:r w:rsidRPr="00883125">
        <w:t>The construction of the tax building block mirrors the treatment of imputation credits in the framework developed by Officer, including through use of the parameter denoted by the Greek letter 'gamma'.</w:t>
      </w:r>
      <w:r w:rsidRPr="00883125">
        <w:rPr>
          <w:rStyle w:val="FootnoteReference"/>
        </w:rPr>
        <w:footnoteReference w:id="295"/>
      </w:r>
    </w:p>
    <w:p w:rsidR="00B27BE5" w:rsidRPr="00883125" w:rsidRDefault="00B27BE5" w:rsidP="00B27BE5">
      <w:pPr>
        <w:pStyle w:val="AERbulletlistfirststyle"/>
      </w:pPr>
      <w:r w:rsidRPr="00883125">
        <w:t>Handley advised that Officer's definition of the nominal vanilla rate of return provides the basis for the rate of return framework in the NER/NGR.</w:t>
      </w:r>
      <w:r w:rsidRPr="00883125">
        <w:rPr>
          <w:rStyle w:val="FootnoteReference"/>
        </w:rPr>
        <w:footnoteReference w:id="296"/>
      </w:r>
    </w:p>
    <w:p w:rsidR="00B27BE5" w:rsidRPr="00883125" w:rsidRDefault="00B27BE5" w:rsidP="00B27BE5">
      <w:pPr>
        <w:pStyle w:val="AERbulletlistfirststyle"/>
      </w:pPr>
      <w:r w:rsidRPr="00883125">
        <w:t>The NER/NGR require that we determine the rate of return on a nominal vanilla basis that is consistent with our estimate of the value of imputation credits.</w:t>
      </w:r>
      <w:r w:rsidRPr="00883125">
        <w:rPr>
          <w:rStyle w:val="FootnoteReference"/>
        </w:rPr>
        <w:footnoteReference w:id="297"/>
      </w:r>
    </w:p>
    <w:p w:rsidR="00ED480E" w:rsidRPr="00ED480E" w:rsidRDefault="00857C5F" w:rsidP="005764F6">
      <w:r>
        <w:t>We do</w:t>
      </w:r>
      <w:r w:rsidR="00ED480E" w:rsidRPr="00ED480E">
        <w:t xml:space="preserve"> not contend that the Officer Paper is a “statute or a code”.</w:t>
      </w:r>
      <w:r w:rsidR="003201A7">
        <w:t xml:space="preserve"> </w:t>
      </w:r>
      <w:r w:rsidR="00ED480E" w:rsidRPr="00ED480E">
        <w:t>However, as the Officer Paper underpins the inclusion of gamma in the corporate income tax formula in NER 6.5.3 and NGR 87A, it is fundamental to</w:t>
      </w:r>
      <w:r w:rsidR="003201A7">
        <w:t xml:space="preserve"> </w:t>
      </w:r>
      <w:r w:rsidR="00ED480E" w:rsidRPr="00ED480E">
        <w:t>a coherent understanding of the role of gamma in the regulatory scheme.</w:t>
      </w:r>
    </w:p>
    <w:p w:rsidR="00ED480E" w:rsidRPr="00ED480E" w:rsidRDefault="00ED480E" w:rsidP="005764F6">
      <w:r w:rsidRPr="00ED480E">
        <w:t>The Officer Paper specifically identified gamma in its WACC formulae to be the “proportion of tax collected from the company which gives rise to the tax credit associated with a franked dividend”: It directly supports an interpretation of gamma which is focused on the utilisation or redemption of imputation credits, and an approach to theta which seeks to identify the proportion of investors that are eligible to utilise distributed imputation credits. So much is confirmed by Handley, who states:</w:t>
      </w:r>
      <w:r w:rsidR="003201A7">
        <w:rPr>
          <w:rStyle w:val="FootnoteReference"/>
        </w:rPr>
        <w:footnoteReference w:id="298"/>
      </w:r>
    </w:p>
    <w:p w:rsidR="00ED480E" w:rsidRPr="00ED480E" w:rsidRDefault="00ED480E" w:rsidP="005764F6">
      <w:pPr>
        <w:pStyle w:val="AERquote"/>
        <w:rPr>
          <w:rFonts w:eastAsia="Arial"/>
        </w:rPr>
      </w:pPr>
      <w:r w:rsidRPr="00ED480E">
        <w:rPr>
          <w:rFonts w:eastAsia="Arial"/>
        </w:rPr>
        <w:t>It is clear from Monkhouse (1996) that the second parameter refers to the utilisation value of a distributed imputation credit. This parameter is commonly denoted and called theta. It is also clear from the post-tax basis of the regulatory framework (and the Officer and Monkhouse WACC frameworks) that the item of interest is more precisely described as the after-company-before-personal-tax utilisation value of a distributed imputation credit.</w:t>
      </w:r>
    </w:p>
    <w:p w:rsidR="00ED480E" w:rsidRDefault="00ED480E" w:rsidP="005764F6">
      <w:r w:rsidRPr="00ED480E">
        <w:t>The Officer Paper makes clear that gamma is:</w:t>
      </w:r>
    </w:p>
    <w:p w:rsidR="00705187" w:rsidRDefault="00705187" w:rsidP="005764F6">
      <w:pPr>
        <w:pStyle w:val="AERnumberedlistsecondstyle"/>
      </w:pPr>
      <w:r w:rsidRPr="00705187">
        <w:t xml:space="preserve">the proportion of tax collected from the company which gives rise to the tax credit associated with a franked dividend; </w:t>
      </w:r>
      <w:r w:rsidRPr="005764F6">
        <w:rPr>
          <w:rStyle w:val="AERtextitalic"/>
        </w:rPr>
        <w:t>which is</w:t>
      </w:r>
    </w:p>
    <w:p w:rsidR="00705187" w:rsidRDefault="00705187" w:rsidP="005764F6">
      <w:pPr>
        <w:pStyle w:val="AERnumberedlistsecondstyle"/>
      </w:pPr>
      <w:r w:rsidRPr="00705187">
        <w:t xml:space="preserve">the value of a dollar of tax credit to the shareholder; </w:t>
      </w:r>
      <w:r w:rsidRPr="005764F6">
        <w:rPr>
          <w:rStyle w:val="AERtextitalic"/>
        </w:rPr>
        <w:t>with the result that</w:t>
      </w:r>
    </w:p>
    <w:p w:rsidR="00705187" w:rsidRDefault="00705187" w:rsidP="005764F6">
      <w:pPr>
        <w:pStyle w:val="AERnumberedlistsecondstyle"/>
      </w:pPr>
      <w:r w:rsidRPr="00705187">
        <w:lastRenderedPageBreak/>
        <w:t>if the shareholder can fully utilise the imputation tax credits then the value of gamma =1.</w:t>
      </w:r>
      <w:r w:rsidR="00315ADE">
        <w:rPr>
          <w:rStyle w:val="FootnoteReference"/>
        </w:rPr>
        <w:footnoteReference w:id="299"/>
      </w:r>
    </w:p>
    <w:p w:rsidR="00ED480E" w:rsidRPr="00ED480E" w:rsidRDefault="00857C5F" w:rsidP="005764F6">
      <w:pPr>
        <w:pStyle w:val="AERbulletlistfirststyle"/>
        <w:numPr>
          <w:ilvl w:val="0"/>
          <w:numId w:val="0"/>
        </w:numPr>
      </w:pPr>
      <w:r>
        <w:t>Our</w:t>
      </w:r>
      <w:r w:rsidR="00ED480E" w:rsidRPr="00ED480E">
        <w:t xml:space="preserve"> approach to gamma, as drawing upon the Officer Paper, advances the NEO and the NGO and does not detract from those objectives.</w:t>
      </w:r>
      <w:r w:rsidR="00315ADE">
        <w:t xml:space="preserve"> </w:t>
      </w:r>
      <w:r w:rsidR="00ED480E" w:rsidRPr="00ED480E">
        <w:t>The purpose of including the gamma parameter in the corporate income tax formula is to ensure that investors are appropriately compensated having regard to the combined value of dividends, capital gains and imputation credits they receive.</w:t>
      </w:r>
    </w:p>
    <w:p w:rsidR="00FD036B" w:rsidRPr="00FD036B" w:rsidRDefault="00FD036B" w:rsidP="005764F6">
      <w:r w:rsidRPr="00FD036B">
        <w:t>The Officer Paper included the following explanation of gamma at pp 2-4 (emphasis added):</w:t>
      </w:r>
    </w:p>
    <w:p w:rsidR="00FD036B" w:rsidRPr="00FD036B" w:rsidRDefault="00FD036B" w:rsidP="005764F6">
      <w:pPr>
        <w:pStyle w:val="AERquote"/>
      </w:pPr>
      <w:r w:rsidRPr="00FD036B">
        <w:rPr>
          <w:rFonts w:eastAsia="Arial"/>
        </w:rPr>
        <w:t>Under an imputation system, credit is given to shareholders for the company tax implicitly levied on their dividend receipts, i.e. dividends paid after company tax has been levied which implies that the dividends have been taxed at the company level. Under a full imputation tax system, tax that is implicitly being levied on the dividends can be credited against any further tax liabilities of the shareholder (the recipient of the dividend).</w:t>
      </w:r>
    </w:p>
    <w:p w:rsidR="00FD036B" w:rsidRPr="00FD036B" w:rsidRDefault="00FD036B" w:rsidP="005764F6">
      <w:pPr>
        <w:pStyle w:val="AERquote"/>
        <w:rPr>
          <w:rFonts w:eastAsia="Arial"/>
        </w:rPr>
      </w:pPr>
      <w:r w:rsidRPr="00FD036B">
        <w:rPr>
          <w:rFonts w:eastAsia="Arial"/>
        </w:rPr>
        <w:t>The proportion of company tax that can be fully rebated against personal tax liabilities is best viewed as personal income tax collected at the company level. In effect, the tax collected at the company level is a mixture of personal tax and company tax, the company tax being that proportion of the tax collected which is not credited (rebated) against personal tax. If all the collection of tax from a company is rebateable (in the Australian terminology if all the franking credits can be used against personal tax liabilities), then for that company’s shareholders company tax</w:t>
      </w:r>
      <w:r w:rsidR="00315ADE">
        <w:rPr>
          <w:rFonts w:eastAsia="Arial"/>
        </w:rPr>
        <w:t xml:space="preserve"> </w:t>
      </w:r>
      <w:r w:rsidRPr="00FD036B">
        <w:rPr>
          <w:rFonts w:eastAsia="Arial"/>
        </w:rPr>
        <w:t>is effectively eliminated.  The tax the company pays is simply the</w:t>
      </w:r>
      <w:r w:rsidR="00315ADE">
        <w:rPr>
          <w:rFonts w:eastAsia="Arial"/>
        </w:rPr>
        <w:t xml:space="preserve"> </w:t>
      </w:r>
      <w:r w:rsidRPr="00FD036B">
        <w:rPr>
          <w:rFonts w:eastAsia="Arial"/>
        </w:rPr>
        <w:t>shareholders’ personal income tax being collected at the company level.</w:t>
      </w:r>
    </w:p>
    <w:p w:rsidR="00FD036B" w:rsidRPr="00FD036B" w:rsidRDefault="00FD036B" w:rsidP="005764F6">
      <w:pPr>
        <w:pStyle w:val="AERquote"/>
        <w:rPr>
          <w:rFonts w:eastAsia="Arial"/>
        </w:rPr>
      </w:pPr>
      <w:r w:rsidRPr="00FD036B">
        <w:rPr>
          <w:rFonts w:eastAsia="Arial"/>
        </w:rPr>
        <w:t xml:space="preserve">The amount of tax collected from the company by the government is found by applying the effective tax rate (T) to the operating income less interest, </w:t>
      </w:r>
      <w:r w:rsidR="00164D25" w:rsidRPr="00FD036B">
        <w:rPr>
          <w:rFonts w:eastAsia="Arial"/>
        </w:rPr>
        <w:t>i.e.</w:t>
      </w:r>
      <w:r w:rsidRPr="00FD036B">
        <w:rPr>
          <w:rFonts w:eastAsia="Arial"/>
        </w:rPr>
        <w:t xml:space="preserve"> X</w:t>
      </w:r>
      <w:r w:rsidRPr="005764F6">
        <w:rPr>
          <w:rStyle w:val="AERsubscript"/>
          <w:rFonts w:eastAsia="Arial"/>
        </w:rPr>
        <w:t>O</w:t>
      </w:r>
      <w:r w:rsidRPr="00FD036B">
        <w:rPr>
          <w:rFonts w:eastAsia="Arial"/>
        </w:rPr>
        <w:t xml:space="preserve"> – X</w:t>
      </w:r>
      <w:r w:rsidRPr="005764F6">
        <w:rPr>
          <w:rStyle w:val="AERsubscript"/>
          <w:rFonts w:eastAsia="Arial"/>
        </w:rPr>
        <w:t>D</w:t>
      </w:r>
      <w:r w:rsidRPr="00FD036B">
        <w:rPr>
          <w:rFonts w:eastAsia="Arial"/>
        </w:rPr>
        <w:t>.</w:t>
      </w:r>
    </w:p>
    <w:p w:rsidR="00FD036B" w:rsidRPr="00FD036B" w:rsidRDefault="00FD036B" w:rsidP="005764F6">
      <w:pPr>
        <w:pStyle w:val="AERquote"/>
      </w:pPr>
      <w:r w:rsidRPr="00FD036B">
        <w:rPr>
          <w:rFonts w:eastAsia="Arial"/>
        </w:rPr>
        <w:t xml:space="preserve">This amount, </w:t>
      </w:r>
      <w:r w:rsidR="00164D25" w:rsidRPr="00FD036B">
        <w:rPr>
          <w:rFonts w:eastAsia="Arial"/>
        </w:rPr>
        <w:t>i.e.</w:t>
      </w:r>
      <w:r w:rsidRPr="00FD036B">
        <w:rPr>
          <w:rFonts w:eastAsia="Arial"/>
        </w:rPr>
        <w:t xml:space="preserve"> T(X</w:t>
      </w:r>
      <w:r w:rsidRPr="005764F6">
        <w:rPr>
          <w:rStyle w:val="AERsubscript"/>
          <w:rFonts w:eastAsia="Arial"/>
        </w:rPr>
        <w:t>O</w:t>
      </w:r>
      <w:r w:rsidRPr="00FD036B">
        <w:rPr>
          <w:rFonts w:eastAsia="Arial"/>
        </w:rPr>
        <w:t xml:space="preserve"> – X</w:t>
      </w:r>
      <w:r w:rsidRPr="005764F6">
        <w:rPr>
          <w:rStyle w:val="AERsubscript"/>
          <w:rFonts w:eastAsia="Arial"/>
        </w:rPr>
        <w:t>D</w:t>
      </w:r>
      <w:r w:rsidRPr="00FD036B">
        <w:rPr>
          <w:rFonts w:eastAsia="Arial"/>
        </w:rPr>
        <w:t>) represents the amount of tax collected from the company but not all of this is company tax. A proportion (γ) of the tax collected from the company will be rebated against personal tax and, therefore, is not really company tax but rather is a collection of personal tax at the company level. Therefore, if we wish to define the effective company tax collection, we need to reduce T by the proportion γ.</w:t>
      </w:r>
    </w:p>
    <w:p w:rsidR="00FD036B" w:rsidRPr="00FD036B" w:rsidRDefault="00FD036B" w:rsidP="005764F6">
      <w:pPr>
        <w:pStyle w:val="AERquote"/>
        <w:rPr>
          <w:rFonts w:eastAsia="Arial"/>
        </w:rPr>
      </w:pPr>
      <w:r w:rsidRPr="00FD036B">
        <w:rPr>
          <w:rFonts w:eastAsia="Arial"/>
        </w:rPr>
        <w:t>In these circumstances, the effective level of company tax paid is defined by:</w:t>
      </w:r>
    </w:p>
    <w:p w:rsidR="00FD036B" w:rsidRPr="0060763E" w:rsidRDefault="00FD036B" w:rsidP="005764F6">
      <w:pPr>
        <w:pStyle w:val="AERquote"/>
        <w:rPr>
          <w:rFonts w:eastAsia="Arial"/>
        </w:rPr>
      </w:pPr>
      <w:r w:rsidRPr="00570733">
        <w:rPr>
          <w:rFonts w:eastAsia="Arial"/>
        </w:rPr>
        <w:t>XG = T(X</w:t>
      </w:r>
      <w:r w:rsidRPr="005764F6">
        <w:rPr>
          <w:rStyle w:val="AERsubscript"/>
          <w:rFonts w:eastAsia="Arial"/>
          <w:sz w:val="20"/>
          <w:vertAlign w:val="baseline"/>
        </w:rPr>
        <w:t>O</w:t>
      </w:r>
      <w:r w:rsidRPr="00570733">
        <w:rPr>
          <w:rFonts w:eastAsia="Arial"/>
        </w:rPr>
        <w:t xml:space="preserve"> – X</w:t>
      </w:r>
      <w:r w:rsidRPr="005764F6">
        <w:rPr>
          <w:rStyle w:val="AERsubscript"/>
          <w:rFonts w:eastAsia="Arial"/>
          <w:sz w:val="20"/>
          <w:vertAlign w:val="baseline"/>
        </w:rPr>
        <w:t>D</w:t>
      </w:r>
      <w:r w:rsidRPr="00570733">
        <w:rPr>
          <w:rFonts w:eastAsia="Arial"/>
        </w:rPr>
        <w:t>) - γ . T(X</w:t>
      </w:r>
      <w:r w:rsidRPr="005764F6">
        <w:rPr>
          <w:rStyle w:val="AERsubscript"/>
          <w:rFonts w:eastAsia="Arial"/>
          <w:sz w:val="20"/>
          <w:vertAlign w:val="baseline"/>
        </w:rPr>
        <w:t>O</w:t>
      </w:r>
      <w:r w:rsidRPr="00570733">
        <w:rPr>
          <w:rFonts w:eastAsia="Arial"/>
        </w:rPr>
        <w:t xml:space="preserve"> – X</w:t>
      </w:r>
      <w:r w:rsidRPr="005764F6">
        <w:rPr>
          <w:rStyle w:val="AERsubscript"/>
          <w:rFonts w:eastAsia="Arial"/>
          <w:sz w:val="20"/>
          <w:vertAlign w:val="baseline"/>
        </w:rPr>
        <w:t>D</w:t>
      </w:r>
      <w:r w:rsidRPr="00570733">
        <w:rPr>
          <w:rFonts w:eastAsia="Arial"/>
        </w:rPr>
        <w:t>)</w:t>
      </w:r>
    </w:p>
    <w:p w:rsidR="00FD036B" w:rsidRPr="00570733" w:rsidRDefault="00FD036B" w:rsidP="005764F6">
      <w:pPr>
        <w:pStyle w:val="AERquote"/>
        <w:rPr>
          <w:rFonts w:eastAsia="Arial"/>
        </w:rPr>
      </w:pPr>
      <w:r w:rsidRPr="0060763E">
        <w:rPr>
          <w:rFonts w:eastAsia="Arial"/>
        </w:rPr>
        <w:t>= T (X</w:t>
      </w:r>
      <w:r w:rsidRPr="005764F6">
        <w:rPr>
          <w:rStyle w:val="AERsubscript"/>
          <w:rFonts w:eastAsia="Arial"/>
          <w:sz w:val="20"/>
          <w:vertAlign w:val="baseline"/>
        </w:rPr>
        <w:t>O</w:t>
      </w:r>
      <w:r w:rsidRPr="00570733">
        <w:rPr>
          <w:rFonts w:eastAsia="Arial"/>
        </w:rPr>
        <w:t xml:space="preserve"> – X</w:t>
      </w:r>
      <w:r w:rsidRPr="005764F6">
        <w:rPr>
          <w:rStyle w:val="AERsubscript"/>
          <w:rFonts w:eastAsia="Arial"/>
          <w:sz w:val="20"/>
          <w:vertAlign w:val="baseline"/>
        </w:rPr>
        <w:t>D</w:t>
      </w:r>
      <w:r w:rsidRPr="00570733">
        <w:rPr>
          <w:rFonts w:eastAsia="Arial"/>
        </w:rPr>
        <w:t>) (1-γ)</w:t>
      </w:r>
      <w:r w:rsidRPr="00570733">
        <w:rPr>
          <w:rFonts w:eastAsia="Arial"/>
        </w:rPr>
        <w:tab/>
        <w:t>(2)</w:t>
      </w:r>
    </w:p>
    <w:p w:rsidR="00FD036B" w:rsidRPr="00FD036B" w:rsidRDefault="00FD036B" w:rsidP="005764F6">
      <w:pPr>
        <w:pStyle w:val="AERquote"/>
        <w:rPr>
          <w:rFonts w:eastAsia="Arial"/>
        </w:rPr>
      </w:pPr>
      <w:r w:rsidRPr="00FD036B">
        <w:rPr>
          <w:rFonts w:eastAsia="Arial"/>
        </w:rPr>
        <w:t>where</w:t>
      </w:r>
    </w:p>
    <w:p w:rsidR="00FD036B" w:rsidRPr="00FD036B" w:rsidRDefault="00FD036B" w:rsidP="005764F6">
      <w:pPr>
        <w:pStyle w:val="AERquote"/>
        <w:rPr>
          <w:rFonts w:eastAsia="Arial"/>
        </w:rPr>
      </w:pPr>
      <w:r w:rsidRPr="00FD036B">
        <w:rPr>
          <w:rFonts w:eastAsia="Arial"/>
        </w:rPr>
        <w:t xml:space="preserve">T is the tax rate effective for the definition of assessable income as defined in (2), it is the effective rate which is levied at the company level and it is a mixture of company </w:t>
      </w:r>
      <w:r w:rsidRPr="00FD036B">
        <w:rPr>
          <w:rFonts w:eastAsia="Arial"/>
        </w:rPr>
        <w:lastRenderedPageBreak/>
        <w:t>tax T(1-γ) and personal tax, T. γ, i.e. T= T( 1-γ) + Tγ. Thus γ is the proportion of tax collected from the company which gives rise to the tax credit associated with a franked dividend. This franking</w:t>
      </w:r>
      <w:r w:rsidR="0062240F">
        <w:t xml:space="preserve"> </w:t>
      </w:r>
      <w:r w:rsidRPr="00FD036B">
        <w:rPr>
          <w:rFonts w:eastAsia="Arial"/>
        </w:rPr>
        <w:t>credit can be utilized as tax credit against the personal tax liabilities of the shareholder. γ can be interpreted as the value of a dollar of tax credit to the shareholder.</w:t>
      </w:r>
    </w:p>
    <w:p w:rsidR="00FD036B" w:rsidRPr="00FD036B" w:rsidRDefault="00FD036B" w:rsidP="0062240F">
      <w:pPr>
        <w:pStyle w:val="ListParagraph"/>
        <w:numPr>
          <w:ilvl w:val="0"/>
          <w:numId w:val="24"/>
        </w:numPr>
      </w:pPr>
      <w:r w:rsidRPr="00FD036B">
        <w:t>The Officer Paper set out the following example of its interpretation of gamma:</w:t>
      </w:r>
      <w:r w:rsidR="0062240F">
        <w:rPr>
          <w:rStyle w:val="FootnoteReference"/>
        </w:rPr>
        <w:footnoteReference w:id="300"/>
      </w:r>
    </w:p>
    <w:p w:rsidR="00FD036B" w:rsidRPr="00FD036B" w:rsidRDefault="00FD036B" w:rsidP="005764F6">
      <w:pPr>
        <w:pStyle w:val="AERquote"/>
        <w:rPr>
          <w:rFonts w:eastAsia="Arial"/>
        </w:rPr>
      </w:pPr>
      <w:r w:rsidRPr="00FD036B">
        <w:rPr>
          <w:rFonts w:eastAsia="Arial"/>
        </w:rPr>
        <w:t>For example, if the shareholder can fully utilize the imputation tax credits then (“value”) γ = 1, e.g. a superfund or an Australian resident personal taxpayer. On the other hand a tax exempt or an offshore taxpayer who cannot utilize or otherwise access the value in the tax credit will set γ = 0.</w:t>
      </w:r>
    </w:p>
    <w:p w:rsidR="00ED480E" w:rsidRDefault="00FD036B" w:rsidP="005764F6">
      <w:pPr>
        <w:pStyle w:val="ListParagraph"/>
        <w:numPr>
          <w:ilvl w:val="0"/>
          <w:numId w:val="24"/>
        </w:numPr>
      </w:pPr>
      <w:r w:rsidRPr="005764F6">
        <w:rPr>
          <w:rStyle w:val="AERbody"/>
        </w:rPr>
        <w:t>While the above passages of the Officer Paper describe gamma using slightly different permutations of language, it is clear that, at its core, gamma is conceptualised by Officer as being concerned with investors’ utilisation of tax credits.</w:t>
      </w:r>
    </w:p>
    <w:p w:rsidR="00B27BE5" w:rsidRPr="00883125" w:rsidRDefault="00B27BE5" w:rsidP="00B27BE5">
      <w:pPr>
        <w:numPr>
          <w:ilvl w:val="0"/>
          <w:numId w:val="24"/>
        </w:numPr>
      </w:pPr>
      <w:r w:rsidRPr="00883125">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sidRPr="00883125">
        <w:rPr>
          <w:rStyle w:val="FootnoteReference"/>
        </w:rPr>
        <w:footnoteReference w:id="301"/>
      </w:r>
    </w:p>
    <w:p w:rsidR="00B27BE5" w:rsidRPr="00883125" w:rsidRDefault="00B27BE5" w:rsidP="00B27BE5">
      <w:pPr>
        <w:pStyle w:val="AERquote"/>
      </w:pPr>
      <w:r w:rsidRPr="00883125">
        <w:t>Similarly, Officer has described gamma in seemingly different ways. For example he refers to:</w:t>
      </w:r>
    </w:p>
    <w:p w:rsidR="00B27BE5" w:rsidRPr="00883125" w:rsidRDefault="00B27BE5" w:rsidP="00B27BE5">
      <w:pPr>
        <w:pStyle w:val="AERquote"/>
        <w:rPr>
          <w:rStyle w:val="AERtextitalic"/>
        </w:rPr>
      </w:pPr>
      <w:r w:rsidRPr="00883125">
        <w:rPr>
          <w:rStyle w:val="AERtextitalic"/>
        </w:rPr>
        <w:t>“A proportion (</w:t>
      </w:r>
      <w:r w:rsidRPr="00883125">
        <w:rPr>
          <w:rStyle w:val="AERtextitalic"/>
          <w:rFonts w:hint="eastAsia"/>
        </w:rPr>
        <w:t>γ</w:t>
      </w:r>
      <w:r w:rsidRPr="00883125">
        <w:rPr>
          <w:rStyle w:val="AERtextitalic"/>
        </w:rPr>
        <w:t>) of the tax collected from the company will be rebated against personal tax.”</w:t>
      </w:r>
    </w:p>
    <w:p w:rsidR="00B27BE5" w:rsidRPr="00883125" w:rsidRDefault="00B27BE5" w:rsidP="00B27BE5">
      <w:pPr>
        <w:pStyle w:val="AERquote"/>
      </w:pPr>
      <w:r w:rsidRPr="00883125">
        <w:t>and shortly thereafter:</w:t>
      </w:r>
    </w:p>
    <w:p w:rsidR="00B27BE5" w:rsidRPr="00883125" w:rsidRDefault="00B27BE5" w:rsidP="00B27BE5">
      <w:pPr>
        <w:pStyle w:val="AERquote"/>
        <w:rPr>
          <w:rStyle w:val="AERtextitalic"/>
        </w:rPr>
      </w:pPr>
      <w:r w:rsidRPr="00883125">
        <w:rPr>
          <w:rStyle w:val="AERtextitalic"/>
          <w:rFonts w:hint="eastAsia"/>
        </w:rPr>
        <w:t>“γ</w:t>
      </w:r>
      <w:r w:rsidRPr="00883125">
        <w:rPr>
          <w:rStyle w:val="AERtextitalic"/>
        </w:rPr>
        <w:t xml:space="preserve"> can be interpreted as the value of a dollar of tax credit to the shareholder.” </w:t>
      </w:r>
    </w:p>
    <w:p w:rsidR="00B27BE5" w:rsidRPr="00883125" w:rsidRDefault="00B27BE5" w:rsidP="00B27BE5">
      <w:pPr>
        <w:pStyle w:val="AERquote"/>
      </w:pPr>
      <w:r w:rsidRPr="00883125">
        <w:t>But again, there is no ambiguity. These terms can and have been used interchangeably because the underlying source of value of an imputation credit to shareholders is the consequent reduction in personal taxes in recognition of taxes that were previously paid at the corporate level. In other words, within the Officer framework, it is clear that gamma represents the utilisation or redemption value of imputation credits and this value corresponds to the proportion of company tax which is in effect a prepayment of personal tax by the company on behalf of its shareholders. It is this identification of the personal tax component of the company tax paid which is the central idea of the paper.</w:t>
      </w:r>
    </w:p>
    <w:p w:rsidR="00B31DF2" w:rsidRPr="00883125" w:rsidRDefault="00B27BE5" w:rsidP="00B27BE5">
      <w:pPr>
        <w:numPr>
          <w:ilvl w:val="0"/>
          <w:numId w:val="24"/>
        </w:numPr>
      </w:pPr>
      <w:r w:rsidRPr="00883125">
        <w:t xml:space="preserve">In other words, gamma in the Officer framework represents the proportion of company tax that is returned to investors through the utilisation of imputation credits and this is the value </w:t>
      </w:r>
      <w:r w:rsidRPr="00883125">
        <w:lastRenderedPageBreak/>
        <w:t>of imputation credits to investors. This is the interpretation of the value of imputation credits we adopted in the Guideline and continue to adopt in this decision. This interpretation is consistent with the Officer framework and is supported by advice from Handley.</w:t>
      </w:r>
    </w:p>
    <w:p w:rsidR="00B27BE5" w:rsidRPr="005764F6" w:rsidRDefault="00B27BE5" w:rsidP="00B31DF2">
      <w:pPr>
        <w:numPr>
          <w:ilvl w:val="0"/>
          <w:numId w:val="24"/>
        </w:numPr>
        <w:rPr>
          <w:rStyle w:val="AERbody"/>
        </w:rPr>
      </w:pPr>
      <w:r w:rsidRPr="005764F6">
        <w:rPr>
          <w:rStyle w:val="AERbody"/>
        </w:rPr>
        <w:t xml:space="preserve">In </w:t>
      </w:r>
      <w:r w:rsidR="00857C5F">
        <w:rPr>
          <w:rStyle w:val="AERbody"/>
        </w:rPr>
        <w:t>late</w:t>
      </w:r>
      <w:r w:rsidRPr="005764F6">
        <w:rPr>
          <w:rStyle w:val="AERbody"/>
        </w:rPr>
        <w:t xml:space="preserve"> submissions, United Energy, </w:t>
      </w:r>
      <w:r w:rsidR="00D044E7">
        <w:rPr>
          <w:rStyle w:val="AERbody"/>
        </w:rPr>
        <w:t xml:space="preserve">ActewAGL, </w:t>
      </w:r>
      <w:r w:rsidRPr="005764F6">
        <w:rPr>
          <w:rStyle w:val="AERbody"/>
        </w:rPr>
        <w:t xml:space="preserve">CitiPower and Powercor submitted that the Tribunal considered </w:t>
      </w:r>
      <w:r w:rsidR="00857C5F">
        <w:rPr>
          <w:rStyle w:val="AERbody"/>
        </w:rPr>
        <w:t>we</w:t>
      </w:r>
      <w:r w:rsidRPr="005764F6">
        <w:rPr>
          <w:rStyle w:val="AERbody"/>
        </w:rPr>
        <w:t xml:space="preserve"> had erred in adopting a conceptual approach to gamma that redefines it as the value of imputation credits that are available for redemption.</w:t>
      </w:r>
      <w:r w:rsidRPr="00857C5F">
        <w:rPr>
          <w:rStyle w:val="FootnoteReference"/>
        </w:rPr>
        <w:footnoteReference w:id="302"/>
      </w:r>
      <w:r w:rsidRPr="005764F6">
        <w:rPr>
          <w:rStyle w:val="AERbody"/>
        </w:rPr>
        <w:t xml:space="preserve"> The Tribunal found this due to </w:t>
      </w:r>
      <w:r w:rsidR="00857C5F">
        <w:rPr>
          <w:rStyle w:val="AERbody"/>
        </w:rPr>
        <w:t>us</w:t>
      </w:r>
      <w:r w:rsidRPr="005764F6">
        <w:rPr>
          <w:rStyle w:val="AERbody"/>
        </w:rPr>
        <w:t xml:space="preserve"> placing most reliance on the equity ownership approach and effectively defining the utilisation value as the proportion of distributed imputation credits that are available for redemption.</w:t>
      </w:r>
      <w:r w:rsidRPr="00857C5F">
        <w:rPr>
          <w:rStyle w:val="FootnoteReference"/>
        </w:rPr>
        <w:footnoteReference w:id="303"/>
      </w:r>
      <w:r w:rsidRPr="005764F6">
        <w:rPr>
          <w:rStyle w:val="AERbody"/>
        </w:rPr>
        <w:t xml:space="preserve"> The Tribunal considered that such an approach:</w:t>
      </w:r>
      <w:r w:rsidRPr="00857C5F">
        <w:rPr>
          <w:rStyle w:val="FootnoteReference"/>
        </w:rPr>
        <w:footnoteReference w:id="304"/>
      </w:r>
    </w:p>
    <w:p w:rsidR="00B27BE5" w:rsidRPr="005764F6" w:rsidRDefault="00B27BE5" w:rsidP="005764F6">
      <w:pPr>
        <w:pStyle w:val="AERquote"/>
      </w:pPr>
      <w:r w:rsidRPr="005764F6">
        <w:t xml:space="preserve">Is inconsistent with the concept of gamma in the Officer Framework for the WACC which underlies the rules and the objective of ensuring a market rate of return on equity by making an adjustment to the revenue allowance for taxation to take </w:t>
      </w:r>
      <w:r w:rsidR="00B31DF2" w:rsidRPr="00B31DF2">
        <w:t>account</w:t>
      </w:r>
      <w:r w:rsidRPr="005764F6">
        <w:t xml:space="preserve"> for imputation credits. </w:t>
      </w:r>
    </w:p>
    <w:p w:rsidR="00B27BE5" w:rsidRPr="005764F6" w:rsidRDefault="00857C5F" w:rsidP="005764F6">
      <w:r>
        <w:t>We</w:t>
      </w:r>
      <w:r w:rsidR="00B27BE5" w:rsidRPr="005764F6">
        <w:t xml:space="preserve"> consider </w:t>
      </w:r>
      <w:r>
        <w:t>our</w:t>
      </w:r>
      <w:r w:rsidR="00B27BE5" w:rsidRPr="005764F6">
        <w:t xml:space="preserve"> a</w:t>
      </w:r>
      <w:r>
        <w:t>pproach is consistent with the O</w:t>
      </w:r>
      <w:r w:rsidR="00B27BE5" w:rsidRPr="005764F6">
        <w:t xml:space="preserve">fficer framework and our estimation of the required return on equity. </w:t>
      </w:r>
      <w:r>
        <w:t>We</w:t>
      </w:r>
      <w:r w:rsidR="00B27BE5" w:rsidRPr="005764F6">
        <w:t xml:space="preserve"> consider what matters from a value to investor's perspective is the face value of imputation credits expected to be utilised as this reflects both the cost of these imputation credits to the regulated businesses and the benefit that investors receive from these credits when utilised to reduce their tax payable</w:t>
      </w:r>
      <w:r w:rsidR="000F3242">
        <w:t xml:space="preserve"> (or to receive a refund from the government)</w:t>
      </w:r>
      <w:r w:rsidR="00B27BE5" w:rsidRPr="005764F6">
        <w:t>. The post company (pre-personal) tax value of an imputation credit</w:t>
      </w:r>
      <w:r w:rsidR="00962E28" w:rsidRPr="005764F6">
        <w:t xml:space="preserve"> when utilised</w:t>
      </w:r>
      <w:r w:rsidR="00B27BE5" w:rsidRPr="005764F6">
        <w:t xml:space="preserve"> is approximately</w:t>
      </w:r>
      <w:r w:rsidR="00B27BE5" w:rsidRPr="00857C5F">
        <w:rPr>
          <w:rStyle w:val="FootnoteReference"/>
        </w:rPr>
        <w:footnoteReference w:id="305"/>
      </w:r>
      <w:r w:rsidR="00B27BE5" w:rsidRPr="005764F6">
        <w:t xml:space="preserve"> its face value</w:t>
      </w:r>
      <w:r w:rsidR="00962E28" w:rsidRPr="005764F6">
        <w:t>.</w:t>
      </w:r>
      <w:r w:rsidR="00B27BE5" w:rsidRPr="005764F6">
        <w:t xml:space="preserve"> </w:t>
      </w:r>
      <w:r w:rsidR="00962E28" w:rsidRPr="005764F6">
        <w:t>T</w:t>
      </w:r>
      <w:r w:rsidR="00B27BE5" w:rsidRPr="005764F6">
        <w:t xml:space="preserve">his is further discussed in section </w:t>
      </w:r>
      <w:r w:rsidR="00B27BE5" w:rsidRPr="005764F6">
        <w:fldChar w:fldCharType="begin"/>
      </w:r>
      <w:r w:rsidR="00B27BE5" w:rsidRPr="005764F6">
        <w:instrText xml:space="preserve"> REF _Ref435171205 \r \h </w:instrText>
      </w:r>
      <w:r w:rsidR="00825430" w:rsidRPr="005764F6">
        <w:instrText xml:space="preserve"> \* MERGEFORMAT </w:instrText>
      </w:r>
      <w:r w:rsidR="00B27BE5" w:rsidRPr="005764F6">
        <w:fldChar w:fldCharType="separate"/>
      </w:r>
      <w:r w:rsidR="00881794">
        <w:t>A.15.3</w:t>
      </w:r>
      <w:r w:rsidR="00B27BE5" w:rsidRPr="005764F6">
        <w:fldChar w:fldCharType="end"/>
      </w:r>
      <w:r w:rsidR="00B27BE5" w:rsidRPr="005764F6">
        <w:t>.</w:t>
      </w:r>
    </w:p>
    <w:p w:rsidR="00B27BE5" w:rsidRPr="00883125" w:rsidRDefault="00B27BE5" w:rsidP="00B27BE5">
      <w:pPr>
        <w:numPr>
          <w:ilvl w:val="0"/>
          <w:numId w:val="24"/>
        </w:numPr>
      </w:pPr>
      <w:r w:rsidRPr="00883125">
        <w:t>The Officer framework assumes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sidRPr="00883125">
        <w:rPr>
          <w:rStyle w:val="FootnoteReference"/>
        </w:rPr>
        <w:footnoteReference w:id="306"/>
      </w:r>
      <w:r w:rsidRPr="00883125">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allowing for less than a </w:t>
      </w:r>
      <w:r w:rsidRPr="00883125">
        <w:lastRenderedPageBreak/>
        <w:t>full payout of cash flows and imputation credits each period. Handley advised that Monkhouse effectively shows that:</w:t>
      </w:r>
      <w:r w:rsidRPr="00883125">
        <w:rPr>
          <w:rStyle w:val="FootnoteReference"/>
        </w:rPr>
        <w:footnoteReference w:id="307"/>
      </w:r>
    </w:p>
    <w:p w:rsidR="00B27BE5" w:rsidRPr="00883125" w:rsidRDefault="00B27BE5" w:rsidP="00B27BE5">
      <w:pPr>
        <w:numPr>
          <w:ilvl w:val="0"/>
          <w:numId w:val="24"/>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B27BE5" w:rsidRPr="00883125" w:rsidRDefault="00B27BE5" w:rsidP="00B27BE5">
      <w:pPr>
        <w:numPr>
          <w:ilvl w:val="0"/>
          <w:numId w:val="24"/>
        </w:numPr>
      </w:pPr>
      <w:r w:rsidRPr="00883125">
        <w:t>where:</w:t>
      </w:r>
    </w:p>
    <w:p w:rsidR="00B27BE5" w:rsidRPr="00883125" w:rsidRDefault="00B27BE5" w:rsidP="00B27BE5">
      <w:pPr>
        <w:pStyle w:val="AERbulletlistfirststyle"/>
      </w:pPr>
      <m:oMath>
        <m:r>
          <w:rPr>
            <w:rFonts w:ascii="Cambria Math" w:hAnsi="Cambria Math"/>
          </w:rPr>
          <m:t>F</m:t>
        </m:r>
      </m:oMath>
      <w:r w:rsidRPr="00883125">
        <w:t xml:space="preserve"> is the proportion of imputation credits generated that are distributed in a period (the 'distribution rate').</w:t>
      </w:r>
    </w:p>
    <w:p w:rsidR="00B27BE5" w:rsidRPr="00883125" w:rsidRDefault="00B27BE5" w:rsidP="00B27BE5">
      <w:pPr>
        <w:pStyle w:val="AERbulletlistfirststyle"/>
      </w:pPr>
      <m:oMath>
        <m:r>
          <w:rPr>
            <w:rFonts w:ascii="Cambria Math" w:hAnsi="Cambria Math"/>
          </w:rPr>
          <m:t>θ</m:t>
        </m:r>
      </m:oMath>
      <w:r w:rsidRPr="00883125">
        <w:t xml:space="preserve"> (theta) is the utilisation value to investors in the market per dollar of imputation credits distributed (the 'utilisation rate').</w:t>
      </w:r>
    </w:p>
    <w:p w:rsidR="00B27BE5" w:rsidRPr="00883125" w:rsidRDefault="00B27BE5" w:rsidP="00B27BE5">
      <w:pPr>
        <w:pStyle w:val="AERbulletlistfirststyle"/>
      </w:pPr>
      <m:oMath>
        <m:r>
          <w:rPr>
            <w:rFonts w:ascii="Cambria Math" w:hAnsi="Cambria Math"/>
          </w:rPr>
          <m:t>ψ</m:t>
        </m:r>
      </m:oMath>
      <w:r w:rsidRPr="00883125" w:rsidDel="008647A1">
        <w:t xml:space="preserve"> </w:t>
      </w:r>
      <w:r w:rsidRPr="00883125">
        <w:t>(psi) is the utilisation value of a retained credit to investors in the market.</w:t>
      </w:r>
    </w:p>
    <w:p w:rsidR="00B27BE5" w:rsidRPr="00883125" w:rsidRDefault="00B27BE5" w:rsidP="00B27BE5">
      <w:pPr>
        <w:numPr>
          <w:ilvl w:val="0"/>
          <w:numId w:val="24"/>
        </w:numPr>
      </w:pPr>
      <w:r w:rsidRPr="00883125">
        <w:t>Handley also advised that in frameworks such as Monkhouse's the utilisation rate in equilibrium is equal to the weighted average, by wealth and risk aversion, of the individual utilisation rates of investors in the market:</w:t>
      </w:r>
      <w:r w:rsidRPr="00883125">
        <w:rPr>
          <w:rStyle w:val="FootnoteReference"/>
        </w:rPr>
        <w:footnoteReference w:id="308"/>
      </w:r>
    </w:p>
    <w:p w:rsidR="00B27BE5" w:rsidRPr="00883125" w:rsidRDefault="00B27BE5" w:rsidP="00B27BE5">
      <w:pPr>
        <w:pStyle w:val="AERquote"/>
      </w:pPr>
      <w:r w:rsidRPr="00883125">
        <w:t>This interpretation of theta as a complex weighted average of investor utilisation rates is consistent with that appearing in Monkhouse (1993) and Lally and van Zijl (2003)…</w:t>
      </w:r>
    </w:p>
    <w:p w:rsidR="00B27BE5" w:rsidRPr="00883125" w:rsidRDefault="00B27BE5" w:rsidP="00B27BE5">
      <w:pPr>
        <w:numPr>
          <w:ilvl w:val="0"/>
          <w:numId w:val="24"/>
        </w:numPr>
      </w:pPr>
      <w:r w:rsidRPr="00883125">
        <w:t>This is also supported by Lally's remarks on the work of Lally and van Zijl:</w:t>
      </w:r>
      <w:r w:rsidRPr="00883125">
        <w:rPr>
          <w:rStyle w:val="FootnoteReference"/>
        </w:rPr>
        <w:footnoteReference w:id="309"/>
      </w:r>
    </w:p>
    <w:p w:rsidR="00B27BE5" w:rsidRPr="00883125" w:rsidRDefault="00B27BE5" w:rsidP="00B27BE5">
      <w:pPr>
        <w:pStyle w:val="AERquote"/>
      </w:pPr>
      <w:r w:rsidRPr="00883125">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this derivation, they show that [the utilisation rate] is a complex weighted average over all investors holding risky assets, where the weights involve each investor’s investment in risky assets and their risk aversion.</w:t>
      </w:r>
    </w:p>
    <w:p w:rsidR="00B27BE5" w:rsidRPr="00883125" w:rsidRDefault="00B27BE5" w:rsidP="00B27BE5">
      <w:pPr>
        <w:numPr>
          <w:ilvl w:val="0"/>
          <w:numId w:val="24"/>
        </w:numPr>
      </w:pPr>
      <w:r w:rsidRPr="00883125">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consider the utilisation rate is the utilisation value to investors in the market per dollar of imputation credits distributed. However, we consider that our views in the Guideline and in this decision are broadly equivalent; that is, our definition of the utilisation rate in this </w:t>
      </w:r>
      <w:r w:rsidR="007E46C9">
        <w:t>final</w:t>
      </w:r>
      <w:r w:rsidR="007E46C9" w:rsidRPr="00883125">
        <w:t xml:space="preserve"> </w:t>
      </w:r>
      <w:r w:rsidRPr="00883125">
        <w:t xml:space="preserve">decision still reflects the extent to which investors in the market can use the imputation credits they receive. This is because, as discussed above and in sections </w:t>
      </w:r>
      <w:r w:rsidRPr="00883125">
        <w:fldChar w:fldCharType="begin"/>
      </w:r>
      <w:r w:rsidRPr="00883125">
        <w:instrText xml:space="preserve"> REF _Ref415144114 \r \h </w:instrText>
      </w:r>
      <w:r w:rsidRPr="00883125">
        <w:fldChar w:fldCharType="separate"/>
      </w:r>
      <w:r w:rsidR="00881794">
        <w:t>A.5</w:t>
      </w:r>
      <w:r w:rsidRPr="00883125">
        <w:fldChar w:fldCharType="end"/>
      </w:r>
      <w:r w:rsidRPr="00883125">
        <w:t xml:space="preserve">, </w:t>
      </w:r>
      <w:r w:rsidRPr="00883125">
        <w:fldChar w:fldCharType="begin"/>
      </w:r>
      <w:r w:rsidRPr="00883125">
        <w:instrText xml:space="preserve"> REF _Ref414282622 \r \h </w:instrText>
      </w:r>
      <w:r w:rsidRPr="00883125">
        <w:fldChar w:fldCharType="separate"/>
      </w:r>
      <w:r w:rsidR="00881794">
        <w:t>A.7</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881794">
        <w:t>A.8.1</w:t>
      </w:r>
      <w:r w:rsidRPr="00883125">
        <w:fldChar w:fldCharType="end"/>
      </w:r>
      <w:r w:rsidRPr="00883125">
        <w:t xml:space="preserve">, to be consistent with the Officer framework (and therefore the building block framework in the </w:t>
      </w:r>
      <w:r w:rsidRPr="00883125">
        <w:lastRenderedPageBreak/>
        <w:t>NER/NGR) the utilisation rate should reflect the before-personal-tax and before-personal-costs value of imputation credits to investors. On a before-personal-tax and before-personal-costs basis,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sidRPr="00883125">
        <w:rPr>
          <w:rStyle w:val="FootnoteReference"/>
        </w:rPr>
        <w:footnoteReference w:id="310"/>
      </w:r>
      <w:r w:rsidRPr="00883125">
        <w:t xml:space="preserve"> We discuss Handley's advice on this matter further in section </w:t>
      </w:r>
      <w:r w:rsidRPr="00883125">
        <w:fldChar w:fldCharType="begin"/>
      </w:r>
      <w:r w:rsidRPr="00883125">
        <w:instrText xml:space="preserve"> REF _Ref401748758 \r \h </w:instrText>
      </w:r>
      <w:r w:rsidRPr="00883125">
        <w:fldChar w:fldCharType="separate"/>
      </w:r>
      <w:r w:rsidR="00881794">
        <w:t>A.8.1</w:t>
      </w:r>
      <w:r w:rsidRPr="00883125">
        <w:fldChar w:fldCharType="end"/>
      </w:r>
      <w:r w:rsidRPr="00883125">
        <w:t>.</w:t>
      </w:r>
    </w:p>
    <w:p w:rsidR="00B27BE5" w:rsidRPr="00883125" w:rsidRDefault="00B27BE5" w:rsidP="00B27BE5">
      <w:pPr>
        <w:numPr>
          <w:ilvl w:val="0"/>
          <w:numId w:val="24"/>
        </w:numPr>
      </w:pPr>
      <w:r w:rsidRPr="00883125">
        <w:t xml:space="preserve">Returning to the expression for </w:t>
      </w:r>
      <m:oMath>
        <m:r>
          <w:rPr>
            <w:rFonts w:ascii="Cambria Math" w:hAnsi="Cambria Math"/>
          </w:rPr>
          <m:t>γ</m:t>
        </m:r>
      </m:oMath>
      <w:r w:rsidRPr="00883125">
        <w:t xml:space="preserve"> above, we have not explicitly included the value of retained credits, </w:t>
      </w:r>
      <m:oMath>
        <m:r>
          <w:rPr>
            <w:rFonts w:ascii="Cambria Math" w:hAnsi="Cambria Math"/>
          </w:rPr>
          <m:t>ψ</m:t>
        </m:r>
      </m:oMath>
      <w:r w:rsidRPr="00883125">
        <w:t>, when determining the value of imputation credits. This is mainly because we recognise that investors can only use imputation credits to reduce tax or receive a refund once the credits have been distributed. There is also the practical problem of how to quantify the value of retained credits. Handley acknowledged the potential for retained credits to have value, but also the difficulty in quantifying it:</w:t>
      </w:r>
      <w:r w:rsidRPr="00883125">
        <w:rPr>
          <w:rStyle w:val="FootnoteReference"/>
        </w:rPr>
        <w:footnoteReference w:id="311"/>
      </w:r>
    </w:p>
    <w:p w:rsidR="00B27BE5" w:rsidRPr="00883125" w:rsidRDefault="00B27BE5" w:rsidP="00B27BE5">
      <w:pPr>
        <w:pStyle w:val="AERquote"/>
      </w:pPr>
      <w:r w:rsidRPr="00883125">
        <w:t>Retained imputation credits can be worth no less than zero but may be worth more than zero. Estimates of gamma using the traditional approach will therefore be downward biased to the extent that retained imputation credits have value. Although it is not possible to reasonably estimate the magnitude of the bias, its direction is clear.</w:t>
      </w:r>
    </w:p>
    <w:p w:rsidR="00B27BE5" w:rsidRPr="00B27BE5" w:rsidRDefault="00857C5F" w:rsidP="00B27BE5">
      <w:r>
        <w:t>We agree with Handley and consider</w:t>
      </w:r>
      <w:r w:rsidR="00B27BE5" w:rsidRPr="00B27BE5">
        <w:t xml:space="preserve"> assuming retained imputation credits have no value is a conservative assumption. We consider retained imputation credits have a positive value but it is difficult to quantify this value. There are many ways retained imputation credits could potentially benefit investors. For example, retained imputation credits may allow firms to conduct off market buy backs of their own stocks at a discount to prevailing market values. Off market buybacks can be structured in such a way that the purchase price is derived from both fully franked dividends and capital. Investors are prepared to sell back their shares at a discount as they derive value from imputation credits distributed and the capital gains loss that outweighs the capital loss they incur from selling at a discount.</w:t>
      </w:r>
      <w:r w:rsidR="00B27BE5" w:rsidRPr="00B27BE5">
        <w:rPr>
          <w:rStyle w:val="FootnoteReference"/>
        </w:rPr>
        <w:footnoteReference w:id="312"/>
      </w:r>
      <w:r w:rsidR="00B27BE5" w:rsidRPr="00B27BE5">
        <w:t xml:space="preserve"> Shareholders that do not participate in off market buybacks benefit from capital appreciation of their shares as the firm's capital is brought back at a discount to the prevailing market prices. An example of a recently completed off market buy back completed a discount that likely was used to stream imputation credits to those who could utilise them most highly was by Caltex Australia.</w:t>
      </w:r>
      <w:r w:rsidR="00B27BE5" w:rsidRPr="00B27BE5">
        <w:rPr>
          <w:rStyle w:val="FootnoteReference"/>
        </w:rPr>
        <w:footnoteReference w:id="313"/>
      </w:r>
      <w:r w:rsidR="00B27BE5" w:rsidRPr="00B27BE5">
        <w:t xml:space="preserve"> </w:t>
      </w:r>
    </w:p>
    <w:p w:rsidR="00B27BE5" w:rsidRPr="00B27BE5" w:rsidRDefault="00B27BE5" w:rsidP="00B27BE5">
      <w:r w:rsidRPr="00B27BE5">
        <w:t xml:space="preserve">However, </w:t>
      </w:r>
      <w:r w:rsidR="00D044E7">
        <w:t>we</w:t>
      </w:r>
      <w:r w:rsidRPr="00B27BE5">
        <w:t xml:space="preserve"> consider assuming retained imputation credits have no value might be a reasonable assumption to the extent that imputation distributions rates are expected to remain constant overtime. To the extent firms maintain in perpetuity a distribution rate less that a 100 per cent, the proportion of imputation credits that are not distributed are worthless. As we assume the historical cumulative payout ratios (for listed and all equity) are </w:t>
      </w:r>
      <w:r w:rsidRPr="00B27BE5">
        <w:lastRenderedPageBreak/>
        <w:t>reasonable estimates of the future expected payout ratios, we consider our approach is appropriate</w:t>
      </w:r>
      <w:r w:rsidR="00DE5297">
        <w:t>.</w:t>
      </w:r>
    </w:p>
    <w:p w:rsidR="00B27BE5" w:rsidRPr="00883125" w:rsidRDefault="00B27BE5" w:rsidP="00B27BE5">
      <w:pPr>
        <w:pStyle w:val="Heading8"/>
      </w:pPr>
      <w:bookmarkStart w:id="114" w:name="_Ref414282622"/>
      <w:bookmarkStart w:id="115" w:name="_Toc436049448"/>
      <w:bookmarkStart w:id="116" w:name="_Ref451789926"/>
      <w:bookmarkStart w:id="117" w:name="_Ref451849752"/>
      <w:bookmarkStart w:id="118" w:name="_Toc451928281"/>
      <w:r w:rsidRPr="00883125">
        <w:t>Gray's comments on the conceptual framework</w:t>
      </w:r>
      <w:bookmarkEnd w:id="114"/>
      <w:r w:rsidRPr="00883125">
        <w:t>.</w:t>
      </w:r>
      <w:r w:rsidRPr="00883125">
        <w:rPr>
          <w:rStyle w:val="FootnoteReference"/>
        </w:rPr>
        <w:footnoteReference w:id="314"/>
      </w:r>
      <w:bookmarkEnd w:id="115"/>
      <w:bookmarkEnd w:id="116"/>
      <w:bookmarkEnd w:id="117"/>
      <w:bookmarkEnd w:id="118"/>
    </w:p>
    <w:p w:rsidR="00B27BE5" w:rsidRPr="00883125" w:rsidRDefault="00B27BE5" w:rsidP="00B27BE5">
      <w:pPr>
        <w:numPr>
          <w:ilvl w:val="0"/>
          <w:numId w:val="24"/>
        </w:numPr>
      </w:pPr>
      <w:r w:rsidRPr="00883125">
        <w:t>In the previous section, we set out our position on the appropriate conceptual framework for the estimation of the value of imputation credits. In this section, we respond to Gray's view. Gray's view on the conceptual framework was largely adopted by the service providers in their proposals.</w:t>
      </w:r>
    </w:p>
    <w:p w:rsidR="00B27BE5" w:rsidRPr="00883125" w:rsidRDefault="00B27BE5" w:rsidP="00B27BE5">
      <w:pPr>
        <w:numPr>
          <w:ilvl w:val="0"/>
          <w:numId w:val="24"/>
        </w:numPr>
      </w:pPr>
      <w:r w:rsidRPr="00883125">
        <w:t>Gray's May 2014 report (for SFG) for the service providers submitted that:</w:t>
      </w:r>
    </w:p>
    <w:p w:rsidR="00B27BE5" w:rsidRPr="00883125" w:rsidRDefault="00B27BE5" w:rsidP="00B27BE5">
      <w:pPr>
        <w:pStyle w:val="AERbulletlistfirststyle"/>
      </w:pPr>
      <w:r w:rsidRPr="00883125">
        <w:t xml:space="preserve">The advice and evidence cited in the Guideline does not support the interpretation of the utilisation rate in the Guideline. </w:t>
      </w:r>
    </w:p>
    <w:p w:rsidR="00B27BE5" w:rsidRPr="00883125" w:rsidRDefault="00B27BE5" w:rsidP="00B27BE5">
      <w:pPr>
        <w:pStyle w:val="AERbulletlistfirststyle"/>
      </w:pPr>
      <w:r w:rsidRPr="00883125">
        <w:t>Officer shows that the value of imputation credits (gamma) represents the extent to which imputation credits are capitalised into the stock price.</w:t>
      </w:r>
    </w:p>
    <w:p w:rsidR="00B27BE5" w:rsidRPr="00883125" w:rsidRDefault="00B27BE5" w:rsidP="00B27BE5">
      <w:pPr>
        <w:pStyle w:val="AERbulletlistfirststyle"/>
      </w:pPr>
      <w:r w:rsidRPr="00883125">
        <w:t>The utilisation rate in the framework provided by Monkhouse (and Lally and van Zijl) should not be used to estimate the value of imputation credits.</w:t>
      </w:r>
    </w:p>
    <w:p w:rsidR="00B27BE5" w:rsidRPr="00883125" w:rsidRDefault="00B27BE5" w:rsidP="00B27BE5">
      <w:pPr>
        <w:numPr>
          <w:ilvl w:val="0"/>
          <w:numId w:val="24"/>
        </w:numPr>
      </w:pPr>
      <w:r w:rsidRPr="00883125">
        <w:t xml:space="preserve">The submissions from Gray, including comments in his February 2015 report (for SFG) and his June 2015 </w:t>
      </w:r>
      <w:r w:rsidR="00713C22">
        <w:t xml:space="preserve">and January 2016 </w:t>
      </w:r>
      <w:r w:rsidRPr="00883125">
        <w:t xml:space="preserve">report (for Frontier), do not change our view on the conceptual framework for the estimation of the value of imputation credits. We do not consider his work supports the position that </w:t>
      </w:r>
      <w:r w:rsidR="00D044E7">
        <w:t>our</w:t>
      </w:r>
      <w:r w:rsidRPr="00883125">
        <w:t xml:space="preserve"> conceptual framework is not an appropriate basis on which to estimate the value of imputation credits.</w:t>
      </w:r>
      <w:r w:rsidRPr="00883125">
        <w:rPr>
          <w:rStyle w:val="FootnoteReference"/>
        </w:rPr>
        <w:footnoteReference w:id="315"/>
      </w:r>
      <w:r w:rsidRPr="00883125">
        <w:t xml:space="preserve"> We set out our reasoning below.</w:t>
      </w:r>
    </w:p>
    <w:p w:rsidR="00B27BE5" w:rsidRPr="00883125" w:rsidRDefault="00B27BE5" w:rsidP="00B27BE5">
      <w:pPr>
        <w:pStyle w:val="Heading9"/>
      </w:pPr>
      <w:bookmarkStart w:id="119" w:name="_Ref402179374"/>
      <w:r w:rsidRPr="00883125">
        <w:t>Gray's comments on the AER's position</w:t>
      </w:r>
    </w:p>
    <w:p w:rsidR="00B27BE5" w:rsidRPr="00883125" w:rsidRDefault="00B27BE5" w:rsidP="00114CA7">
      <w:r w:rsidRPr="00883125">
        <w:t>Gray (for SFG) submitted that '…the AER's position is that theta (and consequently gamma) no longer represents the value (as in "worth" or "market value to investors")…'.</w:t>
      </w:r>
      <w:r w:rsidRPr="00883125">
        <w:rPr>
          <w:rStyle w:val="FootnoteReference"/>
        </w:rPr>
        <w:footnoteReference w:id="316"/>
      </w:r>
      <w:r w:rsidRPr="00883125">
        <w:t xml:space="preserve"> This is incorrect. Our definition of the utilisation rate in this final decision and our prior decisions released in 2014 and 2015 (our prior decisions) is the utilisation value to investors in the market per dollar of imputation credits distributed. Thus, we do consider that the utilisation rate represents the value to investors in the market. However, the key difference between our position and Gray's is we consider that, to be consistent with the underlying conceptual framework provided by Officer, we need to estimate the before-personal-tax and before-personal-cost value. This is discussed further in section </w:t>
      </w:r>
      <w:r w:rsidRPr="00883125">
        <w:fldChar w:fldCharType="begin"/>
      </w:r>
      <w:r w:rsidRPr="00883125">
        <w:instrText xml:space="preserve"> REF _Ref414028398 \r \h </w:instrText>
      </w:r>
      <w:r w:rsidR="00D77BE0">
        <w:instrText xml:space="preserve"> \* MERGEFORMAT </w:instrText>
      </w:r>
      <w:r w:rsidRPr="00883125">
        <w:fldChar w:fldCharType="separate"/>
      </w:r>
      <w:r w:rsidR="00881794">
        <w:t>A.7.3</w:t>
      </w:r>
      <w:r w:rsidRPr="00883125">
        <w:fldChar w:fldCharType="end"/>
      </w:r>
      <w:r w:rsidRPr="00883125">
        <w:t>.</w:t>
      </w:r>
    </w:p>
    <w:p w:rsidR="00B27BE5" w:rsidRPr="00883125" w:rsidRDefault="00B27BE5" w:rsidP="00B27BE5">
      <w:r w:rsidRPr="00883125">
        <w:t>In its recent decision</w:t>
      </w:r>
      <w:r w:rsidR="00D044E7">
        <w:t>s</w:t>
      </w:r>
      <w:r w:rsidRPr="00883125">
        <w:t xml:space="preserve"> referenced in </w:t>
      </w:r>
      <w:r w:rsidR="00D044E7">
        <w:t xml:space="preserve">late </w:t>
      </w:r>
      <w:r w:rsidRPr="00883125">
        <w:t xml:space="preserve">submissions by United Energy, </w:t>
      </w:r>
      <w:r w:rsidR="00D044E7">
        <w:t xml:space="preserve">ActewAGL </w:t>
      </w:r>
      <w:r w:rsidRPr="00883125">
        <w:t xml:space="preserve">CitiPower and Powercor, the Tribunal considered that the AER's reasoning ignored the fact </w:t>
      </w:r>
      <w:r w:rsidRPr="00883125">
        <w:lastRenderedPageBreak/>
        <w:t>that other parameters in the allowed rate return calculation are market values that already incorporate the effects of the difference in investors' tax position and transaction costs.</w:t>
      </w:r>
      <w:r w:rsidRPr="00883125">
        <w:rPr>
          <w:rStyle w:val="FootnoteReference"/>
        </w:rPr>
        <w:footnoteReference w:id="317"/>
      </w:r>
    </w:p>
    <w:p w:rsidR="00B27BE5" w:rsidRPr="00883125" w:rsidRDefault="00B27BE5" w:rsidP="00B27BE5">
      <w:r w:rsidRPr="00883125">
        <w:t xml:space="preserve">In response to this, </w:t>
      </w:r>
      <w:r w:rsidR="00D044E7">
        <w:t>we</w:t>
      </w:r>
      <w:r w:rsidRPr="00883125">
        <w:t xml:space="preserve"> remain of the view that market studies </w:t>
      </w:r>
      <w:r w:rsidR="00CB38D8">
        <w:t xml:space="preserve">that </w:t>
      </w:r>
      <w:r w:rsidRPr="00883125">
        <w:t>estimate</w:t>
      </w:r>
      <w:r w:rsidR="00CB38D8">
        <w:t xml:space="preserve"> the </w:t>
      </w:r>
      <w:r w:rsidRPr="00883125">
        <w:t xml:space="preserve">value of imputation credits </w:t>
      </w:r>
      <w:r w:rsidR="00CB38D8">
        <w:t>are</w:t>
      </w:r>
      <w:r w:rsidR="00CB38D8" w:rsidRPr="00883125">
        <w:t xml:space="preserve"> </w:t>
      </w:r>
      <w:r w:rsidRPr="00883125">
        <w:t xml:space="preserve">influenced by differential personal taxation of </w:t>
      </w:r>
      <w:r>
        <w:t>ordinary</w:t>
      </w:r>
      <w:r w:rsidRPr="00883125">
        <w:t xml:space="preserve"> income </w:t>
      </w:r>
      <w:r>
        <w:t xml:space="preserve">(which includes both cash dividends and the face value of imputation credits to eligible domestic investors) </w:t>
      </w:r>
      <w:r w:rsidRPr="00883125">
        <w:t xml:space="preserve">relative to capital gains. These differential taxation rates heavily influence these "market values" and therefore these market value estimates neither reflect a pre-personal nor post-personal tax value of imputation credits. None of our allowed rate of return parameter estimates </w:t>
      </w:r>
      <w:r>
        <w:t xml:space="preserve">require </w:t>
      </w:r>
      <w:r w:rsidRPr="00883125">
        <w:t xml:space="preserve">an explicit adjustment to make them consistent with the Officer Framework underpinning the rules. That is, they are already appropriate post tax estimates. This is discussed further below in section </w:t>
      </w:r>
      <w:r w:rsidR="00270C63">
        <w:fldChar w:fldCharType="begin"/>
      </w:r>
      <w:r w:rsidR="00270C63">
        <w:instrText xml:space="preserve"> REF _Ref450298425 \r \h </w:instrText>
      </w:r>
      <w:r w:rsidR="00270C63">
        <w:fldChar w:fldCharType="separate"/>
      </w:r>
      <w:r w:rsidR="00881794">
        <w:t>A.8.2</w:t>
      </w:r>
      <w:r w:rsidR="00270C63">
        <w:fldChar w:fldCharType="end"/>
      </w:r>
      <w:r w:rsidR="00DE5297">
        <w:t>.</w:t>
      </w:r>
    </w:p>
    <w:p w:rsidR="00B27BE5" w:rsidRPr="00883125" w:rsidRDefault="00B27BE5" w:rsidP="00B27BE5">
      <w:r w:rsidRPr="00883125">
        <w:t>Gray also submitted that '[t]he AER then estimates the redemption rate, which it interprets as being consistent with the specific reference to "value" in the Rules in that it is "the number that is adopted" for imputation credits'.</w:t>
      </w:r>
      <w:r w:rsidRPr="00883125">
        <w:rPr>
          <w:rStyle w:val="FootnoteReference"/>
        </w:rPr>
        <w:footnoteReference w:id="318"/>
      </w:r>
      <w:r w:rsidRPr="00883125">
        <w:t xml:space="preserve"> This is also incorrect. In this final decision and our prior decisions we estimate the utilisation rate. Further, nowhere in this final decision or in our prior decisions do we seek to support any aspect of our position with 'specific reference to "value" in the Rules in that it is "the number that is adopted" for imputation credits'.</w:t>
      </w:r>
    </w:p>
    <w:p w:rsidR="00B27BE5" w:rsidRPr="00883125" w:rsidRDefault="00B27BE5" w:rsidP="00B27BE5">
      <w:r w:rsidRPr="00883125">
        <w:t>We also disagree with Gray's view that:</w:t>
      </w:r>
      <w:r w:rsidRPr="00883125">
        <w:rPr>
          <w:rStyle w:val="FootnoteReference"/>
        </w:rPr>
        <w:footnoteReference w:id="319"/>
      </w:r>
    </w:p>
    <w:p w:rsidR="00B27BE5" w:rsidRPr="00883125" w:rsidRDefault="00B27BE5" w:rsidP="00B27BE5">
      <w:pPr>
        <w:pStyle w:val="AERquote"/>
      </w:pPr>
      <w:r w:rsidRPr="00883125">
        <w:t>The AER is not saying that it has identified a number of approaches for estimating the value (as in "worth to investors in the market") of imputation credits. Rather, the AER considers:</w:t>
      </w:r>
    </w:p>
    <w:p w:rsidR="00B27BE5" w:rsidRPr="00883125" w:rsidRDefault="00B27BE5" w:rsidP="00B27BE5">
      <w:pPr>
        <w:pStyle w:val="AERquote"/>
      </w:pPr>
      <w:r w:rsidRPr="00883125">
        <w:t>a) Some approaches for estimating the value (as in "worth to investors in the market") of imputation credits – the market value studies; and</w:t>
      </w:r>
    </w:p>
    <w:p w:rsidR="00B27BE5" w:rsidRPr="00883125" w:rsidRDefault="00B27BE5" w:rsidP="00B27BE5">
      <w:pPr>
        <w:pStyle w:val="AERquote"/>
      </w:pPr>
      <w:r w:rsidRPr="00883125">
        <w:t>b) Some approaches for estimating the redemption rate – the equity ownership and ATO tax statistic approaches.</w:t>
      </w:r>
    </w:p>
    <w:p w:rsidR="00B27BE5" w:rsidRPr="00883125" w:rsidRDefault="00B27BE5" w:rsidP="00B27BE5">
      <w:r w:rsidRPr="00883125">
        <w:t xml:space="preserve">By contrast, the approaches on which we rely in this decision to estimate the utilisation rate are all relevant for the reasons discussed in section </w:t>
      </w:r>
      <w:r w:rsidR="00D77BE0">
        <w:fldChar w:fldCharType="begin"/>
      </w:r>
      <w:r w:rsidR="00D77BE0">
        <w:instrText xml:space="preserve"> REF _Ref451271627 \r \h </w:instrText>
      </w:r>
      <w:r w:rsidR="00D77BE0">
        <w:fldChar w:fldCharType="separate"/>
      </w:r>
      <w:r w:rsidR="00881794">
        <w:t>4.4</w:t>
      </w:r>
      <w:r w:rsidR="00D77BE0">
        <w:fldChar w:fldCharType="end"/>
      </w:r>
      <w:r w:rsidRPr="00883125">
        <w:t xml:space="preserve"> of attachment 4.</w:t>
      </w:r>
    </w:p>
    <w:p w:rsidR="00B27BE5" w:rsidRPr="00883125" w:rsidRDefault="00B27BE5" w:rsidP="00B27BE5">
      <w:pPr>
        <w:pStyle w:val="Heading9"/>
      </w:pPr>
      <w:r w:rsidRPr="00883125">
        <w:t>Gray's comments on certain evidence and advice cited in the Guideline</w:t>
      </w:r>
      <w:bookmarkEnd w:id="119"/>
    </w:p>
    <w:p w:rsidR="00B27BE5" w:rsidRPr="00883125" w:rsidRDefault="00B27BE5" w:rsidP="00B27BE5">
      <w:pPr>
        <w:numPr>
          <w:ilvl w:val="0"/>
          <w:numId w:val="24"/>
        </w:numPr>
      </w:pPr>
      <w:r w:rsidRPr="00883125">
        <w:t>In his May 2014 report, Gray (for SFG) set out why it considered that certain evidence cited in the Guideline did not support the position in the Guideline.</w:t>
      </w:r>
      <w:r w:rsidRPr="00883125">
        <w:rPr>
          <w:rStyle w:val="FootnoteReference"/>
        </w:rPr>
        <w:footnoteReference w:id="320"/>
      </w:r>
      <w:r w:rsidRPr="00883125">
        <w:t xml:space="preserve"> This evidence included:</w:t>
      </w:r>
    </w:p>
    <w:p w:rsidR="00B27BE5" w:rsidRPr="00883125" w:rsidRDefault="00B27BE5" w:rsidP="00B27BE5">
      <w:pPr>
        <w:pStyle w:val="AERbulletlistfirststyle"/>
      </w:pPr>
      <w:r w:rsidRPr="00883125">
        <w:lastRenderedPageBreak/>
        <w:t>The AEMC's 2012 rule change</w:t>
      </w:r>
    </w:p>
    <w:p w:rsidR="00B27BE5" w:rsidRPr="00883125" w:rsidRDefault="00B27BE5" w:rsidP="00B27BE5">
      <w:pPr>
        <w:pStyle w:val="AERbulletlistfirststyle"/>
      </w:pPr>
      <w:r w:rsidRPr="00883125">
        <w:t>McKenzie and Partington (2013)</w:t>
      </w:r>
    </w:p>
    <w:p w:rsidR="00B27BE5" w:rsidRPr="00883125" w:rsidRDefault="00B27BE5" w:rsidP="00B27BE5">
      <w:pPr>
        <w:pStyle w:val="AERbulletlistfirststyle"/>
      </w:pPr>
      <w:r w:rsidRPr="00883125">
        <w:t>Handley (2008), and</w:t>
      </w:r>
    </w:p>
    <w:p w:rsidR="00B27BE5" w:rsidRPr="00883125" w:rsidRDefault="00B27BE5" w:rsidP="00B27BE5">
      <w:pPr>
        <w:pStyle w:val="AERbulletlistfirststyle"/>
      </w:pPr>
      <w:r w:rsidRPr="00883125">
        <w:t>Hathaway and Officer (2004).</w:t>
      </w:r>
    </w:p>
    <w:p w:rsidR="00B27BE5" w:rsidRPr="00883125" w:rsidRDefault="00B27BE5" w:rsidP="00B27BE5">
      <w:pPr>
        <w:numPr>
          <w:ilvl w:val="0"/>
          <w:numId w:val="24"/>
        </w:numPr>
      </w:pPr>
      <w:r w:rsidRPr="00883125">
        <w:t>In our decisions released in 2014, we set out why we disagreed with Gray's view on each piece of evidence.</w:t>
      </w:r>
      <w:r w:rsidRPr="00883125">
        <w:rPr>
          <w:rStyle w:val="FootnoteReference"/>
        </w:rPr>
        <w:footnoteReference w:id="321"/>
      </w:r>
      <w:r w:rsidRPr="00883125">
        <w:t xml:space="preserve"> In his February 2015 report (for SFG), Gray set out why his view on this evidence has not changed.</w:t>
      </w:r>
      <w:r w:rsidRPr="00883125">
        <w:rPr>
          <w:rStyle w:val="FootnoteReference"/>
        </w:rPr>
        <w:footnoteReference w:id="322"/>
      </w:r>
      <w:r w:rsidRPr="00883125">
        <w:t xml:space="preserve"> Gray's February 2015 report (for SFG) and</w:t>
      </w:r>
      <w:r w:rsidR="002E565C">
        <w:t xml:space="preserve"> </w:t>
      </w:r>
      <w:r w:rsidRPr="00883125">
        <w:t xml:space="preserve">June 2015 </w:t>
      </w:r>
      <w:r w:rsidR="000336C0">
        <w:t xml:space="preserve">and January 2016 </w:t>
      </w:r>
      <w:r w:rsidRPr="00883125">
        <w:t>report (for Frontier) does not change our view as set out in our earlier decisions. It seems that the disagreement between us and Gray regarding this evidence is unlikely to be resolved.</w:t>
      </w:r>
    </w:p>
    <w:p w:rsidR="00B27BE5" w:rsidRPr="00883125" w:rsidRDefault="00B27BE5" w:rsidP="00B27BE5">
      <w:pPr>
        <w:pStyle w:val="Heading9"/>
      </w:pPr>
      <w:bookmarkStart w:id="120" w:name="_Ref414028398"/>
      <w:r w:rsidRPr="00883125">
        <w:t>Gray's comments on Officer (1994)</w:t>
      </w:r>
      <w:bookmarkEnd w:id="120"/>
      <w:r w:rsidRPr="00883125">
        <w:t xml:space="preserve"> </w:t>
      </w:r>
    </w:p>
    <w:p w:rsidR="00B27BE5" w:rsidRPr="00883125" w:rsidRDefault="00B27BE5" w:rsidP="00B27BE5">
      <w:r w:rsidRPr="00883125">
        <w:t>Gray set out his views on Officer's 1994 paper in his May 2014 and February 2015 reports for SFG, and in his June 2015</w:t>
      </w:r>
      <w:r w:rsidR="00713C22">
        <w:t xml:space="preserve"> and January 2016</w:t>
      </w:r>
      <w:r w:rsidRPr="00883125">
        <w:t xml:space="preserve"> report for Frontier. These views do not change our own view, consistent with the advice of Handley, that the value of imputation credits should be estimated on a before-personal-tax and before-personal-costs basis. We respond to Gray's comments on Officer below.</w:t>
      </w:r>
    </w:p>
    <w:p w:rsidR="00B27BE5" w:rsidRPr="00883125" w:rsidRDefault="00B27BE5" w:rsidP="00B27BE5">
      <w:pPr>
        <w:pStyle w:val="HeadingBoldBlue"/>
      </w:pPr>
      <w:r w:rsidRPr="00883125">
        <w:t>The text in Officer (1994)</w:t>
      </w:r>
    </w:p>
    <w:p w:rsidR="00B27BE5" w:rsidRPr="00883125" w:rsidRDefault="00B27BE5" w:rsidP="00B27BE5">
      <w:r w:rsidRPr="00883125">
        <w:t>Gray (for SFG) submitted that Officer's paper suggests that there are two possible interpretations of gamma:</w:t>
      </w:r>
      <w:r w:rsidRPr="00883125">
        <w:rPr>
          <w:rStyle w:val="FootnoteReference"/>
        </w:rPr>
        <w:footnoteReference w:id="323"/>
      </w:r>
    </w:p>
    <w:p w:rsidR="00B27BE5" w:rsidRPr="00883125" w:rsidRDefault="00B27BE5" w:rsidP="00B27BE5">
      <w:pPr>
        <w:pStyle w:val="AERquote"/>
      </w:pPr>
      <w:r w:rsidRPr="00883125">
        <w:t xml:space="preserve">(a) Officer means gamma to have a </w:t>
      </w:r>
      <w:r w:rsidRPr="00883125">
        <w:rPr>
          <w:rStyle w:val="AERtextitalic"/>
        </w:rPr>
        <w:t>value</w:t>
      </w:r>
      <w:r w:rsidRPr="00883125">
        <w:t xml:space="preserve"> interpretation and that words suggesting a </w:t>
      </w:r>
      <w:r w:rsidRPr="00883125">
        <w:rPr>
          <w:rStyle w:val="AERtextitalic"/>
        </w:rPr>
        <w:t>utilisation</w:t>
      </w:r>
      <w:r w:rsidRPr="00883125">
        <w:t xml:space="preserve"> interpretation were poorly drafted (i.e., the reference to utilisation should be read as simply identifying the source of value); or</w:t>
      </w:r>
    </w:p>
    <w:p w:rsidR="00B27BE5" w:rsidRPr="00883125" w:rsidRDefault="00B27BE5" w:rsidP="00B27BE5">
      <w:pPr>
        <w:pStyle w:val="AERquote"/>
      </w:pPr>
      <w:r w:rsidRPr="00883125">
        <w:t xml:space="preserve">(b) Officer means gamma to have a </w:t>
      </w:r>
      <w:r w:rsidRPr="00883125">
        <w:rPr>
          <w:rStyle w:val="AERtextitalic"/>
        </w:rPr>
        <w:t>utilisation</w:t>
      </w:r>
      <w:r w:rsidRPr="00883125">
        <w:t xml:space="preserve"> interpretation and that words suggesting a </w:t>
      </w:r>
      <w:r w:rsidRPr="00883125">
        <w:rPr>
          <w:rStyle w:val="AERtextitalic"/>
        </w:rPr>
        <w:t>value</w:t>
      </w:r>
      <w:r w:rsidRPr="00883125">
        <w:t xml:space="preserve"> interpretation were poorly drafted (i.e., the reference to value should be read as "the number used for" rather than "worth.</w:t>
      </w:r>
    </w:p>
    <w:p w:rsidR="00B27BE5" w:rsidRPr="00883125" w:rsidRDefault="00B27BE5" w:rsidP="00B27BE5">
      <w:pPr>
        <w:pStyle w:val="AERquote"/>
      </w:pPr>
      <w:r w:rsidRPr="00883125">
        <w:t>I concluded that the value interpretation was plausible and the utilisation/redemption interpretation was not, and set out my reasons for doing so. Nothing in the AER's recent draft decisions lead me to change my conclusion on this point.</w:t>
      </w:r>
    </w:p>
    <w:p w:rsidR="00B27BE5" w:rsidRPr="00883125" w:rsidRDefault="00B27BE5" w:rsidP="00B27BE5">
      <w:r w:rsidRPr="00883125">
        <w:t xml:space="preserve">We do not agree with Gray's opinion. As explained by Handley in his September 2014 report, interpretation of gamma on a before-personal-tax and before-personal-costs basis </w:t>
      </w:r>
      <w:r w:rsidRPr="00883125">
        <w:lastRenderedPageBreak/>
        <w:t>reconciles this apparent inconsistency in Officer;</w:t>
      </w:r>
      <w:r w:rsidRPr="00883125">
        <w:rPr>
          <w:rStyle w:val="FootnoteReference"/>
        </w:rPr>
        <w:footnoteReference w:id="324"/>
      </w:r>
      <w:r w:rsidRPr="00883125">
        <w:t xml:space="preserve"> that is, on this basis the 'value' and 'utilisation' interpretations are consistent. Handley reiterates this in his April 2015 report:</w:t>
      </w:r>
      <w:r w:rsidRPr="00883125">
        <w:rPr>
          <w:rStyle w:val="FootnoteReference"/>
        </w:rPr>
        <w:footnoteReference w:id="325"/>
      </w:r>
    </w:p>
    <w:p w:rsidR="00B27BE5" w:rsidRPr="00883125" w:rsidRDefault="00B27BE5" w:rsidP="00B27BE5">
      <w:pPr>
        <w:pStyle w:val="AERquote"/>
      </w:pPr>
      <w:r w:rsidRPr="00883125">
        <w:t>This is precisely the reason why Officer refers to gamma as the value of franking credits in some parts of the paper, and as the proportion of tax collected from the company which will be rebated against personal tax, in other parts of the paper. These two descriptions are equivalent when one interprets value to mean the value of imputation credits before personal tax and before personal costs.</w:t>
      </w:r>
    </w:p>
    <w:p w:rsidR="00B27BE5" w:rsidRPr="00883125" w:rsidRDefault="00B27BE5" w:rsidP="00B27BE5">
      <w:r w:rsidRPr="00883125">
        <w:t>There would appear to be further support for Handley's view in the first line of footnote 5 of Officer's paper, which seemingly equates the ideas of 'utilisation' and 'value':</w:t>
      </w:r>
      <w:r w:rsidRPr="00883125">
        <w:rPr>
          <w:rStyle w:val="FootnoteReference"/>
        </w:rPr>
        <w:footnoteReference w:id="326"/>
      </w:r>
    </w:p>
    <w:p w:rsidR="00B27BE5" w:rsidRPr="00883125" w:rsidRDefault="00B27BE5" w:rsidP="00B27BE5">
      <w:pPr>
        <w:pStyle w:val="AERquote"/>
      </w:pPr>
      <w:r w:rsidRPr="00883125">
        <w:t xml:space="preserve">For example, if the shareholder can fully utilize the imputation tax credits then ("value") </w:t>
      </w:r>
      <m:oMath>
        <m:r>
          <w:rPr>
            <w:rFonts w:ascii="Cambria Math" w:hAnsi="Cambria Math"/>
          </w:rPr>
          <m:t>γ</m:t>
        </m:r>
      </m:oMath>
      <w:r w:rsidRPr="00883125">
        <w:t xml:space="preserve"> = 1, e.g. a superfund or an Australian resident taxpayer.</w:t>
      </w:r>
    </w:p>
    <w:p w:rsidR="00B27BE5" w:rsidRPr="00883125" w:rsidRDefault="00B27BE5" w:rsidP="00B27BE5">
      <w:r w:rsidRPr="00883125">
        <w:t>Handley also noted:</w:t>
      </w:r>
      <w:r w:rsidRPr="00883125">
        <w:rPr>
          <w:rStyle w:val="FootnoteReference"/>
        </w:rPr>
        <w:footnoteReference w:id="327"/>
      </w:r>
    </w:p>
    <w:p w:rsidR="00B27BE5" w:rsidRPr="00883125" w:rsidRDefault="00B27BE5" w:rsidP="00B27BE5">
      <w:pPr>
        <w:pStyle w:val="AERquote"/>
      </w:pPr>
      <w:r w:rsidRPr="00883125">
        <w:t>It is clear that the Officer WACC valuation framework is a before-personal-tax framework. It is also a before-personal-cost framework in the limited sense that, there is no explicit adjustment (deduction) made to the cash flows or the discount rate for either personal taxes or personal costs.</w:t>
      </w:r>
    </w:p>
    <w:p w:rsidR="00B27BE5" w:rsidRPr="00883125" w:rsidRDefault="00B27BE5" w:rsidP="00B27BE5">
      <w:r w:rsidRPr="00883125">
        <w:t xml:space="preserve">On the other hand, if gamma was intended to reflect investors' personal taxes and costs, then the proportion of company tax returned to investors would never be equivalent to the value to investors per dollar of imputation credits. This is because, on an after-personal-tax and after-personal-costs basis where such taxes and costs were non-negligible, investors would likely value credits at less than their face value. Therefore, there would be no justification for defining gamma, as Officer does, in terms of the proportion of company tax returned to investors. As shown in the earlier quote, Gray attributes such a definition to 'poor drafting'. However, this is unconvincing to us. </w:t>
      </w:r>
    </w:p>
    <w:p w:rsidR="00B27BE5" w:rsidRPr="00883125" w:rsidRDefault="00B27BE5" w:rsidP="00B27BE5">
      <w:r w:rsidRPr="00883125">
        <w:t>Further, if the intended interpretation of gamma is on an after-personal-tax and after-personal-costs basis, then it would seem to make little sense to contemplate, as Officer does in footnote 5 of his paper, an investor having an individual utilisation rate of 1.</w:t>
      </w:r>
      <w:r w:rsidRPr="00883125">
        <w:rPr>
          <w:rStyle w:val="FootnoteReference"/>
        </w:rPr>
        <w:footnoteReference w:id="328"/>
      </w:r>
      <w:r w:rsidRPr="00883125">
        <w:t xml:space="preserve"> Again, this is because, on an after-personal-tax and after-personal-costs basis where such taxes and costs were non-negligible, investors would likely value credits at less than their face value. Conversely, Gray has previously argued that it is difficult to understand why Officer would contemplate in the same footnote the estimation of gamma via dividend drop off studies if the correct interpretation of gamma was as the proportion of company tax returned to </w:t>
      </w:r>
      <w:r w:rsidRPr="00883125">
        <w:lastRenderedPageBreak/>
        <w:t>investors.</w:t>
      </w:r>
      <w:r w:rsidRPr="00883125">
        <w:rPr>
          <w:rStyle w:val="FootnoteReference"/>
        </w:rPr>
        <w:footnoteReference w:id="329"/>
      </w:r>
      <w:r w:rsidRPr="00883125">
        <w:t xml:space="preserve"> However, as we have maintained throughout the Guideline and current determination process, implied market value studies remain a relevant estimation method for gamma. This is because any value attributed to credits which can be inferred from market prices is ultimately derived from the utilisation of those credits.</w:t>
      </w:r>
    </w:p>
    <w:p w:rsidR="00B27BE5" w:rsidRPr="00883125" w:rsidRDefault="00B27BE5" w:rsidP="00B27BE5">
      <w:r w:rsidRPr="00883125">
        <w:t>Finally, our view is supported by Officer's treatment of gamma in the numerical example in the appendix to his paper. Officer describes this numerical example as ‘…designed to help the reader through some of the obstacles to going from theory to practice’:</w:t>
      </w:r>
      <w:r w:rsidRPr="00883125">
        <w:rPr>
          <w:rStyle w:val="FootnoteReference"/>
        </w:rPr>
        <w:footnoteReference w:id="330"/>
      </w:r>
    </w:p>
    <w:p w:rsidR="00B27BE5" w:rsidRPr="00883125" w:rsidRDefault="00B27BE5" w:rsidP="00B27BE5">
      <w:pPr>
        <w:pStyle w:val="AERquote"/>
      </w:pPr>
      <w:r w:rsidRPr="00883125">
        <w:t xml:space="preserve">Assume that 50 percent of the tax collected at the company level represents personal tax, i.e. 50 percent of tax credits can be utilized against personal tax liabilities so that </w:t>
      </w:r>
      <m:oMath>
        <m:r>
          <w:rPr>
            <w:rFonts w:ascii="Cambria Math" w:hAnsi="Cambria Math"/>
          </w:rPr>
          <m:t>γ</m:t>
        </m:r>
      </m:oMath>
      <w:r w:rsidRPr="00883125">
        <w:t xml:space="preserve"> = 0.5.</w:t>
      </w:r>
    </w:p>
    <w:p w:rsidR="00B27BE5" w:rsidRPr="00883125" w:rsidRDefault="00B27BE5" w:rsidP="00B27BE5">
      <w:pPr>
        <w:pStyle w:val="HeadingBoldBlue"/>
      </w:pPr>
      <w:r w:rsidRPr="00883125">
        <w:t>The formulas in Officer (1994)</w:t>
      </w:r>
    </w:p>
    <w:p w:rsidR="00B27BE5" w:rsidRPr="00883125" w:rsidRDefault="00B27BE5" w:rsidP="00B27BE5">
      <w:r w:rsidRPr="00883125">
        <w:t>Gray (for SFG) submitted that the formulas in Officer (1994) support his interpretation of the value of imputation credits:</w:t>
      </w:r>
      <w:r w:rsidRPr="00883125">
        <w:rPr>
          <w:rStyle w:val="FootnoteReference"/>
        </w:rPr>
        <w:footnoteReference w:id="331"/>
      </w:r>
    </w:p>
    <w:p w:rsidR="00B27BE5" w:rsidRPr="00883125" w:rsidRDefault="00B27BE5" w:rsidP="00B27BE5">
      <w:pPr>
        <w:pStyle w:val="AERquote"/>
      </w:pPr>
      <w:r w:rsidRPr="00883125">
        <w:t>…gamma represents the extent to which imputation credits are capitalised into the market value of equity. I note that this is precisely what is estimated by dividend drop-off analysis and other market value studies. The formula shows that one takes the present face value of imputation credits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and then multiplies by gamma and the result makes up part of the market value of equity.</w:t>
      </w:r>
    </w:p>
    <w:p w:rsidR="00B27BE5" w:rsidRPr="00883125" w:rsidRDefault="00B27BE5" w:rsidP="00B27BE5">
      <w:pPr>
        <w:pStyle w:val="AERquote"/>
      </w:pPr>
      <w:r w:rsidRPr="00883125">
        <w:t>Another way to see this is to rearrange the formula to isolate gamma as follows:</w:t>
      </w:r>
    </w:p>
    <w:p w:rsidR="00B27BE5" w:rsidRPr="00883125" w:rsidRDefault="00984055" w:rsidP="00B27BE5">
      <w:pPr>
        <w:pStyle w:val="AERquote"/>
      </w:pPr>
      <m:oMathPara>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m:oMathPara>
    </w:p>
    <w:p w:rsidR="00B27BE5" w:rsidRPr="00883125" w:rsidRDefault="00B27BE5" w:rsidP="00B27BE5">
      <w:pPr>
        <w:pStyle w:val="AERquote"/>
      </w:pPr>
      <w:r w:rsidRPr="00883125">
        <w:t xml:space="preserve">where </w:t>
      </w:r>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Pr="00883125">
        <w:t xml:space="preserve"> represents the market value of equity including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Pr="00883125">
        <w:t xml:space="preserve"> represents the market value of equity excluding imputation credits and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xml:space="preserve"> represents the present face value of imputation credits. It is clear in this formula that gamma does not represent the proportion of imputation credits that might be redeemed, but the extent to which imputation credits increase the market value of equity.</w:t>
      </w:r>
    </w:p>
    <w:p w:rsidR="00B27BE5" w:rsidRPr="00883125" w:rsidRDefault="00B27BE5" w:rsidP="00B27BE5">
      <w:r w:rsidRPr="00883125">
        <w:t>Handley reviewed Gray's submission and considered:</w:t>
      </w:r>
      <w:r w:rsidRPr="00883125">
        <w:rPr>
          <w:rStyle w:val="FootnoteReference"/>
        </w:rPr>
        <w:footnoteReference w:id="332"/>
      </w:r>
    </w:p>
    <w:p w:rsidR="00B27BE5" w:rsidRPr="00883125" w:rsidRDefault="00B27BE5" w:rsidP="00B27BE5">
      <w:pPr>
        <w:pStyle w:val="AERquote"/>
      </w:pPr>
      <w:r w:rsidRPr="00883125">
        <w:t xml:space="preserve">SFG (2015 para. 124-135) also suggests that the mathematical formulae in Officer (1994) support a value interpretation of gamma but not a redemption value interpretation since: </w:t>
      </w:r>
      <w:r w:rsidRPr="00883125">
        <w:rPr>
          <w:rStyle w:val="AERtextitalic"/>
        </w:rPr>
        <w:t>“It is clear in this formula [para.127] that gamma represents … the extent to which imputation credits increase the market value of equity”</w:t>
      </w:r>
      <w:r w:rsidRPr="00883125">
        <w:t xml:space="preserve">. There is no dispute that the (market) value of credits are capitalised into stock prices – this is </w:t>
      </w:r>
      <w:r w:rsidRPr="00883125">
        <w:lastRenderedPageBreak/>
        <w:t>clear from equation (2) [in Handley's report]. However, SFG fails to see that within Officer’s framework it is the before personal tax and before personal costs value of a credit – the redemption value – which is the item being capitalised.</w:t>
      </w:r>
    </w:p>
    <w:p w:rsidR="00B27BE5" w:rsidRPr="00883125" w:rsidRDefault="00B27BE5" w:rsidP="00B27BE5">
      <w:r w:rsidRPr="00883125">
        <w:t>Thus, Handley appeared to agree with Gray that the formulas in Officer indicated that the value of imputation credits is capitalised into stock prices. However, Handley considers (for the reasons set out in the previous sub-section) that it is the before-personal-tax and before-personal-costs value which is capitalised into the stock price in Officer's framework. As also set out in the previous sub-section, we agree with Handley's interpretation of the Officer framework.</w:t>
      </w:r>
    </w:p>
    <w:p w:rsidR="00B27BE5" w:rsidRPr="00883125" w:rsidRDefault="00B27BE5" w:rsidP="00B27BE5">
      <w:pPr>
        <w:pStyle w:val="HeadingBoldBlue"/>
      </w:pPr>
      <w:r w:rsidRPr="00883125">
        <w:t>Interpretation of gamma in textbooks</w:t>
      </w:r>
    </w:p>
    <w:p w:rsidR="00B27BE5" w:rsidRPr="00883125" w:rsidRDefault="00B27BE5" w:rsidP="00B27BE5">
      <w:r w:rsidRPr="00883125">
        <w:t>In his June 2015 report (for Frontier), Gray stated:</w:t>
      </w:r>
      <w:r w:rsidRPr="00883125">
        <w:rPr>
          <w:rStyle w:val="FootnoteReference"/>
        </w:rPr>
        <w:footnoteReference w:id="333"/>
      </w:r>
    </w:p>
    <w:p w:rsidR="00B27BE5" w:rsidRPr="00883125" w:rsidRDefault="00B27BE5" w:rsidP="00B27BE5">
      <w:pPr>
        <w:pStyle w:val="AERquote"/>
      </w:pPr>
      <w:r w:rsidRPr="00883125">
        <w:t>I am unaware of any published work that interprets gamma in terms of the redemption rate.</w:t>
      </w:r>
    </w:p>
    <w:p w:rsidR="00B27BE5" w:rsidRPr="00883125" w:rsidRDefault="00B27BE5" w:rsidP="00B27BE5">
      <w:r w:rsidRPr="00883125">
        <w:t>However, there are several textbooks that describe gamma in a manner consistent with our understanding. For example, Peirson et al (2009):</w:t>
      </w:r>
      <w:r w:rsidRPr="00883125">
        <w:rPr>
          <w:rStyle w:val="FootnoteReference"/>
        </w:rPr>
        <w:footnoteReference w:id="334"/>
      </w:r>
    </w:p>
    <w:p w:rsidR="00B27BE5" w:rsidRPr="00883125" w:rsidRDefault="00B27BE5" w:rsidP="00B27BE5">
      <w:pPr>
        <w:pStyle w:val="AERquote"/>
      </w:pPr>
      <w:r w:rsidRPr="00883125">
        <w:t xml:space="preserve">Officer (1994) discussed several alternative ways of defining net cash flows and the cost of capital under imputation. One way to define the after-tax cash flows is that they are equal to the before-tax cash flows multiplied by </w:t>
      </w:r>
      <m:oMath>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t</m:t>
                </m:r>
              </m:e>
              <m:sub>
                <m:r>
                  <w:rPr>
                    <w:rFonts w:ascii="Cambria Math" w:hAnsi="Cambria Math"/>
                  </w:rPr>
                  <m:t>e</m:t>
                </m:r>
              </m:sub>
            </m:sSub>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e</m:t>
            </m:r>
          </m:sub>
        </m:sSub>
      </m:oMath>
      <w:r w:rsidRPr="00883125">
        <w:t xml:space="preserve"> is the </w:t>
      </w:r>
      <w:r w:rsidRPr="00883125">
        <w:rPr>
          <w:rStyle w:val="AERtextitalic"/>
        </w:rPr>
        <w:t>effective</w:t>
      </w:r>
      <w:r w:rsidRPr="00883125">
        <w:t xml:space="preserve"> company income tax rate. The effective company tax rate is </w:t>
      </w:r>
      <m:oMath>
        <m:sSub>
          <m:sSubPr>
            <m:ctrlPr>
              <w:rPr>
                <w:rFonts w:ascii="Cambria Math" w:hAnsi="Cambria Math"/>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d>
          <m:dPr>
            <m:ctrlPr>
              <w:rPr>
                <w:rFonts w:ascii="Cambria Math" w:hAnsi="Cambria Math"/>
              </w:rPr>
            </m:ctrlPr>
          </m:dPr>
          <m:e>
            <m:r>
              <w:rPr>
                <w:rFonts w:ascii="Cambria Math" w:hAnsi="Cambria Math"/>
              </w:rPr>
              <m:t>1-γ</m:t>
            </m:r>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c</m:t>
            </m:r>
          </m:sub>
        </m:sSub>
      </m:oMath>
      <w:r w:rsidRPr="00883125">
        <w:t xml:space="preserve"> is the statutory company tax rate and </w:t>
      </w:r>
      <m:oMath>
        <m:r>
          <w:rPr>
            <w:rFonts w:ascii="Cambria Math" w:hAnsi="Cambria Math"/>
          </w:rPr>
          <m:t>γ</m:t>
        </m:r>
      </m:oMath>
      <w:r w:rsidRPr="00883125">
        <w:t xml:space="preserve"> represents the proportion of the tax collected from a company that is paid out to shareholders and recovered through tax credits associated with franked dividends.</w:t>
      </w:r>
    </w:p>
    <w:p w:rsidR="00B27BE5" w:rsidRPr="00883125" w:rsidRDefault="00B27BE5" w:rsidP="00B27BE5">
      <w:pPr>
        <w:pStyle w:val="AERquote"/>
      </w:pPr>
      <w:r w:rsidRPr="00883125">
        <w:t>…</w:t>
      </w:r>
    </w:p>
    <w:p w:rsidR="00B27BE5" w:rsidRPr="00883125" w:rsidRDefault="00B27BE5" w:rsidP="00B27BE5">
      <w:pPr>
        <w:pStyle w:val="AERquote"/>
      </w:pPr>
      <w:r w:rsidRPr="00883125">
        <w:t xml:space="preserve">For example, if…the company income tax rate is 30 cents in the dollar, and 60 per cent of the tax collected from the company is claimed as a credit by shareholders, then the effective company tax rate is </w:t>
      </w:r>
      <m:oMath>
        <m:r>
          <w:rPr>
            <w:rFonts w:ascii="Cambria Math" w:hAnsi="Cambria Math"/>
          </w:rPr>
          <m:t>0.30</m:t>
        </m:r>
        <m:d>
          <m:dPr>
            <m:ctrlPr>
              <w:rPr>
                <w:rFonts w:ascii="Cambria Math" w:hAnsi="Cambria Math"/>
              </w:rPr>
            </m:ctrlPr>
          </m:dPr>
          <m:e>
            <m:r>
              <w:rPr>
                <w:rFonts w:ascii="Cambria Math" w:hAnsi="Cambria Math"/>
              </w:rPr>
              <m:t>1-0.6</m:t>
            </m:r>
          </m:e>
        </m:d>
        <m:r>
          <w:rPr>
            <w:rFonts w:ascii="Cambria Math" w:hAnsi="Cambria Math"/>
          </w:rPr>
          <m:t>=0.12</m:t>
        </m:r>
      </m:oMath>
      <w:r w:rsidR="00177CB7">
        <w:t>.</w:t>
      </w:r>
      <w:r w:rsidRPr="00883125">
        <w:t>.</w:t>
      </w:r>
    </w:p>
    <w:p w:rsidR="00B27BE5" w:rsidRPr="00883125" w:rsidRDefault="00B27BE5" w:rsidP="00B27BE5">
      <w:r w:rsidRPr="00883125">
        <w:t>Berk et al (2014):</w:t>
      </w:r>
      <w:r w:rsidRPr="00883125">
        <w:rPr>
          <w:rStyle w:val="FootnoteReference"/>
        </w:rPr>
        <w:footnoteReference w:id="335"/>
      </w:r>
    </w:p>
    <w:p w:rsidR="00B27BE5" w:rsidRPr="00883125" w:rsidRDefault="00B27BE5" w:rsidP="00B27BE5">
      <w:pPr>
        <w:pStyle w:val="AERquote"/>
      </w:pPr>
      <w:r w:rsidRPr="00883125">
        <w:t>In a 1994 study, Officer shows that for valuation purposes the cost of equity under an imputation system should be adjusted by a factor equal to:</w:t>
      </w:r>
    </w:p>
    <w:p w:rsidR="00B27BE5" w:rsidRPr="00883125" w:rsidRDefault="00984055" w:rsidP="00B27BE5">
      <w:pPr>
        <w:pStyle w:val="AERquote"/>
      </w:pPr>
      <m:oMathPara>
        <m:oMath>
          <m:f>
            <m:fPr>
              <m:ctrlPr>
                <w:rPr>
                  <w:rFonts w:ascii="Cambria Math" w:hAnsi="Cambria Math"/>
                </w:rPr>
              </m:ctrlPr>
            </m:fPr>
            <m:num>
              <m:r>
                <w:rPr>
                  <w:rFonts w:ascii="Cambria Math" w:hAnsi="Cambria Math"/>
                </w:rPr>
                <m:t>1-T</m:t>
              </m:r>
            </m:num>
            <m:den>
              <m:r>
                <w:rPr>
                  <w:rFonts w:ascii="Cambria Math" w:hAnsi="Cambria Math"/>
                </w:rPr>
                <m:t>1-T</m:t>
              </m:r>
              <m:d>
                <m:dPr>
                  <m:ctrlPr>
                    <w:rPr>
                      <w:rFonts w:ascii="Cambria Math" w:hAnsi="Cambria Math"/>
                    </w:rPr>
                  </m:ctrlPr>
                </m:dPr>
                <m:e>
                  <m:r>
                    <w:rPr>
                      <w:rFonts w:ascii="Cambria Math" w:hAnsi="Cambria Math"/>
                    </w:rPr>
                    <m:t>1-γ</m:t>
                  </m:r>
                </m:e>
              </m:d>
            </m:den>
          </m:f>
        </m:oMath>
      </m:oMathPara>
    </w:p>
    <w:p w:rsidR="00B27BE5" w:rsidRPr="00883125" w:rsidRDefault="00B27BE5" w:rsidP="00B27BE5">
      <w:pPr>
        <w:pStyle w:val="AERquote"/>
      </w:pPr>
      <w:r w:rsidRPr="00883125">
        <w:lastRenderedPageBreak/>
        <w:t xml:space="preserve">where </w:t>
      </w:r>
      <m:oMath>
        <m:r>
          <w:rPr>
            <w:rFonts w:ascii="Cambria Math" w:hAnsi="Cambria Math"/>
          </w:rPr>
          <m:t>T</m:t>
        </m:r>
      </m:oMath>
      <w:r w:rsidRPr="00883125">
        <w:t xml:space="preserve"> represents the effective corporate tax rate and </w:t>
      </w:r>
      <m:oMath>
        <m:d>
          <m:dPr>
            <m:ctrlPr>
              <w:rPr>
                <w:rFonts w:ascii="Cambria Math" w:hAnsi="Cambria Math"/>
              </w:rPr>
            </m:ctrlPr>
          </m:dPr>
          <m:e>
            <m:r>
              <w:rPr>
                <w:rFonts w:ascii="Cambria Math" w:hAnsi="Cambria Math"/>
              </w:rPr>
              <m:t>γ</m:t>
            </m:r>
          </m:e>
        </m:d>
      </m:oMath>
      <w:r w:rsidRPr="00883125">
        <w:t xml:space="preserve"> represents the proportion of tax collected from the firm that will be rebated against personal tax in the hands of shareholders.</w:t>
      </w:r>
    </w:p>
    <w:p w:rsidR="00B27BE5" w:rsidRPr="00883125" w:rsidRDefault="00B27BE5" w:rsidP="00B27BE5">
      <w:r w:rsidRPr="00883125">
        <w:t>Gitman et al (2011):</w:t>
      </w:r>
      <w:r w:rsidRPr="00883125">
        <w:rPr>
          <w:rStyle w:val="FootnoteReference"/>
        </w:rPr>
        <w:footnoteReference w:id="336"/>
      </w:r>
    </w:p>
    <w:p w:rsidR="00B27BE5" w:rsidRPr="00883125" w:rsidRDefault="00B27BE5" w:rsidP="00B27BE5">
      <w:pPr>
        <w:pStyle w:val="AERquote"/>
      </w:pPr>
      <w:r w:rsidRPr="00883125">
        <w:t xml:space="preserve">If we let </w:t>
      </w:r>
      <m:oMath>
        <m:r>
          <w:rPr>
            <w:rFonts w:ascii="Cambria Math" w:hAnsi="Cambria Math"/>
          </w:rPr>
          <m:t>γ</m:t>
        </m:r>
      </m:oMath>
      <w:r w:rsidRPr="00883125">
        <w:t xml:space="preserve"> be the proportion of company income tax that can be used by shareholders to offset their personal income tax liabilities…</w:t>
      </w:r>
    </w:p>
    <w:p w:rsidR="00B27BE5" w:rsidRPr="00883125" w:rsidRDefault="00B27BE5" w:rsidP="00B27BE5">
      <w:pPr>
        <w:pStyle w:val="AERquote"/>
      </w:pPr>
      <w:r w:rsidRPr="00883125">
        <w:t>…</w:t>
      </w:r>
    </w:p>
    <w:p w:rsidR="00B27BE5" w:rsidRPr="00883125" w:rsidRDefault="00B27BE5" w:rsidP="00B27BE5">
      <w:pPr>
        <w:pStyle w:val="AERquote"/>
      </w:pPr>
      <w:r w:rsidRPr="00883125">
        <w:t xml:space="preserve">With dividend imputation, the calculation of the weighted average cost of capital depends heavily on the estimate of </w:t>
      </w:r>
      <m:oMath>
        <m:r>
          <w:rPr>
            <w:rFonts w:ascii="Cambria Math" w:hAnsi="Cambria Math"/>
          </w:rPr>
          <m:t>γ</m:t>
        </m:r>
      </m:oMath>
      <w:r w:rsidRPr="00883125">
        <w:t xml:space="preserve">. For a good estimate of </w:t>
      </w:r>
      <m:oMath>
        <m:r>
          <w:rPr>
            <w:rFonts w:ascii="Cambria Math" w:hAnsi="Cambria Math"/>
          </w:rPr>
          <m:t>γ</m:t>
        </m:r>
      </m:oMath>
      <w:r w:rsidRPr="00883125">
        <w:t xml:space="preserve"> we would need to know the proportion of company income that has borne Australian income tax, and the proportion of the company's shareholders who were Australian residents who could benefit from dividend imputation.</w:t>
      </w:r>
    </w:p>
    <w:p w:rsidR="00B27BE5" w:rsidRPr="00883125" w:rsidRDefault="00B27BE5" w:rsidP="00B27BE5">
      <w:r w:rsidRPr="00883125">
        <w:t>Gray quoted approvingly from a textbook co-authored by Partington in 2000, but none of the statements quoted contradict our understanding of gamma. For instance, Gray quoted:</w:t>
      </w:r>
      <w:r w:rsidRPr="00883125">
        <w:rPr>
          <w:rStyle w:val="FootnoteReference"/>
        </w:rPr>
        <w:footnoteReference w:id="337"/>
      </w:r>
    </w:p>
    <w:p w:rsidR="00B27BE5" w:rsidRPr="00883125" w:rsidRDefault="00B27BE5" w:rsidP="00B27BE5">
      <w:pPr>
        <w:pStyle w:val="AERquote"/>
      </w:pPr>
      <m:oMath>
        <m:r>
          <w:rPr>
            <w:rFonts w:ascii="Cambria Math" w:hAnsi="Cambria Math"/>
          </w:rPr>
          <m:t>γ</m:t>
        </m:r>
      </m:oMath>
      <w:r w:rsidRPr="00883125">
        <w:t xml:space="preserve"> = the market value of franking credits as a percentage of face value.</w:t>
      </w:r>
    </w:p>
    <w:p w:rsidR="00B27BE5" w:rsidRPr="00883125" w:rsidRDefault="00B27BE5" w:rsidP="00B27BE5">
      <w:r w:rsidRPr="00883125">
        <w:t>However, there is no dispute here. As Handley explained:</w:t>
      </w:r>
      <w:r w:rsidRPr="00883125">
        <w:rPr>
          <w:rStyle w:val="FootnoteReference"/>
        </w:rPr>
        <w:footnoteReference w:id="338"/>
      </w:r>
    </w:p>
    <w:p w:rsidR="00B27BE5" w:rsidRPr="00883125" w:rsidRDefault="00B27BE5" w:rsidP="00B27BE5">
      <w:pPr>
        <w:pStyle w:val="AERquote"/>
      </w:pPr>
      <w:r w:rsidRPr="00883125">
        <w:t>Implicit in Officer's WACC framework (and the standard classical tax WACC framework) is the notion of market value and so the relevant measure of utilisation value is that value as determined by the market – in other words it is not the utilisation value of a credit to any single investor or the utilisation value to any single class of investors that we want but rather the utilisation value to the market as a whole. In contrast, much of the current debate appears to incorrectly suggest that market value and utilisation value are alternative concepts for this purpose.</w:t>
      </w:r>
    </w:p>
    <w:p w:rsidR="00B27BE5" w:rsidRPr="00883125" w:rsidRDefault="00B27BE5" w:rsidP="00B27BE5">
      <w:r w:rsidRPr="00883125">
        <w:t>Moreover, there are other references to gamma in Partington's textbook that accord more closely with the characterisation in Officer's paper:</w:t>
      </w:r>
    </w:p>
    <w:p w:rsidR="00B27BE5" w:rsidRPr="00883125" w:rsidRDefault="00B27BE5" w:rsidP="00B27BE5">
      <w:pPr>
        <w:pStyle w:val="AERquote"/>
      </w:pPr>
      <m:oMath>
        <m:r>
          <w:rPr>
            <w:rFonts w:ascii="Cambria Math" w:hAnsi="Cambria Math"/>
          </w:rPr>
          <m:t>γ</m:t>
        </m:r>
      </m:oMath>
      <w:r w:rsidRPr="00883125">
        <w:t xml:space="preserve"> = the proportion of corporate tax recovered by investors through imputation tax credits.</w:t>
      </w:r>
      <w:r w:rsidRPr="00883125">
        <w:rPr>
          <w:rStyle w:val="FootnoteReference"/>
        </w:rPr>
        <w:footnoteReference w:id="339"/>
      </w:r>
    </w:p>
    <w:p w:rsidR="00B27BE5" w:rsidRPr="00883125" w:rsidRDefault="00B27BE5" w:rsidP="00B27BE5">
      <w:pPr>
        <w:pStyle w:val="AERquote"/>
      </w:pPr>
    </w:p>
    <w:p w:rsidR="00B27BE5" w:rsidRPr="00883125" w:rsidRDefault="00B27BE5" w:rsidP="00B27BE5">
      <w:pPr>
        <w:pStyle w:val="AERquote"/>
      </w:pPr>
      <w:r w:rsidRPr="00883125">
        <w:t xml:space="preserve">We assume a 100 per cent dividend payout and full use of imputation credits </w:t>
      </w:r>
      <m:oMath>
        <m:d>
          <m:dPr>
            <m:ctrlPr>
              <w:rPr>
                <w:rFonts w:ascii="Cambria Math" w:hAnsi="Cambria Math"/>
              </w:rPr>
            </m:ctrlPr>
          </m:dPr>
          <m:e>
            <m:r>
              <w:rPr>
                <w:rFonts w:ascii="Cambria Math" w:hAnsi="Cambria Math"/>
              </w:rPr>
              <m:t>γ=1</m:t>
            </m:r>
          </m:e>
        </m:d>
      </m:oMath>
      <w:r w:rsidRPr="00883125">
        <w:t xml:space="preserve">…However, 100 per cent payout and full use of imputation credits are unrealistic assumptions. It is more realistic to assume that about 50 to 60 per cent of profits are </w:t>
      </w:r>
      <w:r w:rsidRPr="00883125">
        <w:lastRenderedPageBreak/>
        <w:t>paid out as dividends. Of the imputation credits attached to those dividends only about 50 to 60 per cent will be claimed by investors to offset their tax liabilities.</w:t>
      </w:r>
      <w:r w:rsidRPr="00883125">
        <w:rPr>
          <w:rStyle w:val="FootnoteReference"/>
        </w:rPr>
        <w:footnoteReference w:id="340"/>
      </w:r>
    </w:p>
    <w:p w:rsidR="00B27BE5" w:rsidRPr="00883125" w:rsidRDefault="00B27BE5" w:rsidP="00B27BE5">
      <w:r w:rsidRPr="00883125">
        <w:t>Gray also quoted:</w:t>
      </w:r>
      <w:r w:rsidRPr="00883125">
        <w:rPr>
          <w:rStyle w:val="FootnoteReference"/>
        </w:rPr>
        <w:footnoteReference w:id="341"/>
      </w:r>
    </w:p>
    <w:p w:rsidR="00B27BE5" w:rsidRPr="00883125" w:rsidRDefault="00B27BE5" w:rsidP="00B27BE5">
      <w:pPr>
        <w:pStyle w:val="AERquote"/>
      </w:pPr>
      <w:r w:rsidRPr="00883125">
        <w:t>The results have been mixed, but they suggest that the market value of franking credits is positive, but significantly less than the credit’s face value.</w:t>
      </w:r>
    </w:p>
    <w:p w:rsidR="00B27BE5" w:rsidRPr="00883125" w:rsidRDefault="00B27BE5" w:rsidP="00B27BE5">
      <w:pPr>
        <w:pStyle w:val="AERquote"/>
      </w:pPr>
      <w:r w:rsidRPr="00883125">
        <w:t>…</w:t>
      </w:r>
    </w:p>
    <w:p w:rsidR="00B27BE5" w:rsidRPr="00883125" w:rsidRDefault="00B27BE5" w:rsidP="00B27BE5">
      <w:pPr>
        <w:pStyle w:val="AERquote"/>
      </w:pPr>
      <w:r w:rsidRPr="00883125">
        <w:t>…the market value of the franking credit is likely to differ from its face value. We do not know exactly what the market value is, but the evidence suggests that franking credits are valued at a significant discount to their face value.</w:t>
      </w:r>
    </w:p>
    <w:p w:rsidR="00B27BE5" w:rsidRPr="00883125" w:rsidRDefault="00B27BE5" w:rsidP="00B27BE5">
      <w:r w:rsidRPr="00883125">
        <w:t>Again, there is no dispute. The estimates of the utilisation rate on which we rely are all significantly less than one, and our estimate of gamma is significantly less than one.</w:t>
      </w:r>
    </w:p>
    <w:p w:rsidR="00B27BE5" w:rsidRPr="00883125" w:rsidRDefault="00B27BE5" w:rsidP="00B27BE5">
      <w:r w:rsidRPr="00883125">
        <w:t>Finally, Gray quoted an explanation, with which he agreed, as to why imputation may have had an immaterial effect on the corporate cost of equity capital:</w:t>
      </w:r>
      <w:r w:rsidRPr="00883125">
        <w:rPr>
          <w:rStyle w:val="FootnoteReference"/>
        </w:rPr>
        <w:footnoteReference w:id="342"/>
      </w:r>
    </w:p>
    <w:p w:rsidR="00B27BE5" w:rsidRPr="00883125" w:rsidRDefault="00B27BE5" w:rsidP="00B27BE5">
      <w:pPr>
        <w:pStyle w:val="AERquote"/>
      </w:pPr>
      <w:r w:rsidRPr="00883125">
        <w:t>The impact of imputation may not have been that big. There are several reasons for this. As suggested by Bob Officer, in a small open economy like Australia, equilibrium rates of return are likely to be determined by capital flows from international investors. If so, domestic tax changes are likely to have a reduced effect, or no effect at all, on equilibrium rates of return.</w:t>
      </w:r>
    </w:p>
    <w:p w:rsidR="00B27BE5" w:rsidRPr="00883125" w:rsidRDefault="00B27BE5" w:rsidP="00B27BE5">
      <w:r w:rsidRPr="00883125">
        <w:t>The implications of this quote for understanding or determining gamma are unclear to us. For instance:</w:t>
      </w:r>
    </w:p>
    <w:p w:rsidR="00B27BE5" w:rsidRPr="00883125" w:rsidRDefault="00B27BE5" w:rsidP="00B27BE5">
      <w:pPr>
        <w:pStyle w:val="AERbulletlistfirststyle"/>
      </w:pPr>
      <w:r w:rsidRPr="00883125">
        <w:t xml:space="preserve">Gray appeared elsewhere to be of the view that imputation </w:t>
      </w:r>
      <w:r w:rsidRPr="00883125">
        <w:rPr>
          <w:rStyle w:val="AERtextitalic"/>
        </w:rPr>
        <w:t>is</w:t>
      </w:r>
      <w:r w:rsidRPr="00883125">
        <w:t xml:space="preserve"> having a material effect on the cost of capital. This is because he submitted that, in his view, the best estimate of the extent to which imputation credits are capitalised into stock prices per dollar of credit distributed is 0.35, and this is not immaterial.</w:t>
      </w:r>
      <w:r w:rsidRPr="00883125">
        <w:rPr>
          <w:rStyle w:val="FootnoteReference"/>
        </w:rPr>
        <w:footnoteReference w:id="343"/>
      </w:r>
    </w:p>
    <w:p w:rsidR="00B27BE5" w:rsidRPr="00883125" w:rsidRDefault="00B27BE5" w:rsidP="00B27BE5">
      <w:pPr>
        <w:pStyle w:val="AERbulletlistfirststyle"/>
      </w:pPr>
      <w:r w:rsidRPr="00883125">
        <w:t>The view in a recent paper co-authored by Partington did not appear to align with that in the quote:</w:t>
      </w:r>
      <w:r w:rsidRPr="00883125">
        <w:rPr>
          <w:rStyle w:val="FootnoteReference"/>
        </w:rPr>
        <w:footnoteReference w:id="344"/>
      </w:r>
    </w:p>
    <w:p w:rsidR="00B27BE5" w:rsidRPr="00883125" w:rsidRDefault="00B27BE5" w:rsidP="00B27BE5">
      <w:pPr>
        <w:pStyle w:val="AERquote"/>
      </w:pPr>
      <w:r w:rsidRPr="00883125">
        <w:t>Indeed, whether prices are set by a marginal investor, or by aggregation across investors, is an open question… It is our contention, therefore, that a policy decision should not be based on the assertion that the marginal investor setting prices in the Australian market is an overseas investor. To do so would base policy on an insecure foundation, and risks serious error.</w:t>
      </w:r>
    </w:p>
    <w:p w:rsidR="00B27BE5" w:rsidRPr="00883125" w:rsidRDefault="00B27BE5" w:rsidP="00164D25">
      <w:pPr>
        <w:pStyle w:val="HeadingBoldBlue"/>
        <w:keepNext/>
      </w:pPr>
      <w:r w:rsidRPr="00883125">
        <w:lastRenderedPageBreak/>
        <w:t>Recent academic work</w:t>
      </w:r>
    </w:p>
    <w:p w:rsidR="00B27BE5" w:rsidRPr="00883125" w:rsidRDefault="00B27BE5" w:rsidP="00164D25">
      <w:pPr>
        <w:keepNext/>
      </w:pPr>
      <w:r w:rsidRPr="00883125">
        <w:t>The recent paper co-authored by Partington has been raised in direct support of the position that the equity ownership approach is not an appropriate way to estimate the value of distributed imputation credits.</w:t>
      </w:r>
      <w:r w:rsidRPr="00883125">
        <w:rPr>
          <w:rStyle w:val="FootnoteReference"/>
        </w:rPr>
        <w:footnoteReference w:id="345"/>
      </w:r>
      <w:r w:rsidRPr="00883125">
        <w:t xml:space="preserve"> This paper largely draws on the existing literature and available evidence with the intention of contributing to the policy debate around the efficacy of dividend imputation.</w:t>
      </w:r>
      <w:r w:rsidRPr="00883125">
        <w:rPr>
          <w:rStyle w:val="FootnoteReference"/>
        </w:rPr>
        <w:footnoteReference w:id="346"/>
      </w:r>
      <w:r w:rsidRPr="00883125">
        <w:t xml:space="preserve"> While the paper does consider relevant matters, we consider that the paper raises a number of issues without making strong recommendations. Consistent with the above quote it notes:</w:t>
      </w:r>
      <w:r w:rsidRPr="00883125">
        <w:rPr>
          <w:rStyle w:val="FootnoteReference"/>
        </w:rPr>
        <w:footnoteReference w:id="347"/>
      </w:r>
    </w:p>
    <w:p w:rsidR="00B27BE5" w:rsidRPr="00883125" w:rsidRDefault="00B27BE5" w:rsidP="00B27BE5">
      <w:pPr>
        <w:pStyle w:val="AERquote"/>
      </w:pPr>
      <w:r w:rsidRPr="00883125">
        <w:t>Whether the marginal investor or aggregation approach better describes how imputation credits become priced in equilibrium is a point of debate. The marginal investor approach might be seen as more in keeping with the ‘Economics 101’ notions of price determination, and more consistent with general equilibrium analysis under which investor demand for (and supply of) imputation credits is jointly determined with the market clearing price. As a consequence, the marginal investor approach may assist in analysing the potential effect of changes in the demand curve. By contrast, aggregating observed demands assumes that investors have found their equilibrium position given market prices [footnote 6: Monkhouse (1993) explicitly states this assumption]. It thus does not directly address how the market equilibrium emerges in the first place. Nevertheless, the aggregation approach may still provide a useful description of an existing equilibrium. In any event, the key point is that there is no clear consensus on the appropriate approach, adding another layer of uncertainty to the issue of whether imputation credits are priced.</w:t>
      </w:r>
    </w:p>
    <w:p w:rsidR="00B27BE5" w:rsidRPr="00883125" w:rsidRDefault="00B27BE5" w:rsidP="00B27BE5">
      <w:r w:rsidRPr="00883125">
        <w:t>As such, while the paper raises a number of points highlighted by Gray (for Frontier), we do not consider the paper provides evidence that the equity ownership approach that uses the aggregation approach to estimate the value of theta is not reasonable. Frontier has taken a number of statements from the paper that should not be read in isolation of the remainder of the paper. For example, in response to Gray's point at paragraph 189 where he states "Ainsworth, Partington and Warren (2015) note that the evidence generally suggests that the two companies do sell for the same price",</w:t>
      </w:r>
      <w:r w:rsidRPr="00883125">
        <w:rPr>
          <w:rStyle w:val="FootnoteReference"/>
        </w:rPr>
        <w:footnoteReference w:id="348"/>
      </w:r>
      <w:r w:rsidRPr="00883125">
        <w:t xml:space="preserve"> the paper makes clear this evidence needs to be treated with caution stating:</w:t>
      </w:r>
      <w:r w:rsidRPr="00883125">
        <w:rPr>
          <w:rStyle w:val="FootnoteReference"/>
        </w:rPr>
        <w:footnoteReference w:id="349"/>
      </w:r>
    </w:p>
    <w:p w:rsidR="00B27BE5" w:rsidRPr="00883125" w:rsidRDefault="00B27BE5" w:rsidP="00B27BE5">
      <w:pPr>
        <w:pStyle w:val="AERquote"/>
      </w:pPr>
      <w:r w:rsidRPr="00883125">
        <w:t xml:space="preserve">In contrast, examination of returns and price levels reveals little evidence that imputation credits are priced. Lajbcygier and Wheatley (2012) find that the presence of imputation credits is not associated with lower realised returns. Further, they find a positive relation between realised returns and imputation credits, which is significant under some specifications. This implies an (implausible) negative value on imputation </w:t>
      </w:r>
      <w:r w:rsidRPr="00883125">
        <w:lastRenderedPageBreak/>
        <w:t>credits. While the sign on the coefficient probably flags issues with the empirical method (see Section 4.2), it is nevertheless the case that no hint emerges that imputation credits have lowered the distribution of realised returns. Saiu, Sault and Warren (2015) find that imputation might be reflected in share prices under discounted cash flow models, at perhaps about $0.30 in the dollar. However, the imputation variable adds little explanatory power. Meanwhile, the results under the earnings yield model and portfolio sorts suggest that imputation credits are not priced, and in fact may be associated with higher earnings yields as well as lower prices relative to other valuation measures.10 The fact that the earnings yield results have the wrong sign suggests that caution needs to be applied in interpreting these findings (similar to Lajbcygier and Wheatley, 2012).</w:t>
      </w:r>
    </w:p>
    <w:p w:rsidR="00B27BE5" w:rsidRPr="00883125" w:rsidRDefault="00B27BE5" w:rsidP="00B27BE5">
      <w:r w:rsidRPr="00883125">
        <w:t>On the same page the paper also states in relation to some empirical evidence more generally:</w:t>
      </w:r>
      <w:r w:rsidRPr="00883125">
        <w:rPr>
          <w:rStyle w:val="FootnoteReference"/>
        </w:rPr>
        <w:footnoteReference w:id="350"/>
      </w:r>
    </w:p>
    <w:p w:rsidR="00B27BE5" w:rsidRPr="00883125" w:rsidRDefault="00B27BE5" w:rsidP="00B27BE5">
      <w:pPr>
        <w:pStyle w:val="AERquote"/>
      </w:pPr>
      <w:r w:rsidRPr="00883125">
        <w:t>A very mixed set of results emerges from this body of research. Figure 4 (over) summarises the findings from the majority of dividend drop-off and comparative pricing studies. While a wide range of estimates emerges, these studies on balance indicate that imputation credits are partially priced. The data points in Figure 4 average 0.38, which would suggest that imputation credits are priced at about $0.38 in the dollar.</w:t>
      </w:r>
    </w:p>
    <w:p w:rsidR="00B27BE5" w:rsidRPr="00883125" w:rsidRDefault="00B27BE5" w:rsidP="00B27BE5">
      <w:pPr>
        <w:pStyle w:val="Heading9"/>
      </w:pPr>
      <w:r w:rsidRPr="00883125">
        <w:t>Gray's comments on the Monkhouse framework</w:t>
      </w:r>
    </w:p>
    <w:p w:rsidR="00B27BE5" w:rsidRPr="00883125" w:rsidRDefault="00B27BE5" w:rsidP="00B27BE5">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881794">
        <w:t>A.6</w:t>
      </w:r>
      <w:r w:rsidRPr="00883125">
        <w:fldChar w:fldCharType="end"/>
      </w:r>
      <w:r w:rsidRPr="00883125">
        <w:t>, we consider that:</w:t>
      </w:r>
    </w:p>
    <w:p w:rsidR="00B27BE5" w:rsidRPr="00883125" w:rsidRDefault="00B27BE5" w:rsidP="00B27BE5">
      <w:pPr>
        <w:pStyle w:val="AERbulletlistfirststyle"/>
      </w:pPr>
      <w:r w:rsidRPr="00883125">
        <w:t>The Officer framework provides the basis for the value of imputation credits adjustment in the NER/NGR.</w:t>
      </w:r>
    </w:p>
    <w:p w:rsidR="00B27BE5" w:rsidRPr="00883125" w:rsidRDefault="00B27BE5" w:rsidP="00B27BE5">
      <w:pPr>
        <w:pStyle w:val="AERbulletlistfirststyle"/>
      </w:pPr>
      <w:r w:rsidRPr="00883125">
        <w:t>Monkhouse extends the Officer framework to a non-perpetuity setting, and shows that—assuming retained credits have no value—gamma from the Officer framework effectively equals the product of:</w:t>
      </w:r>
    </w:p>
    <w:p w:rsidR="00B27BE5" w:rsidRPr="00883125" w:rsidRDefault="00B27BE5" w:rsidP="00B27BE5">
      <w:pPr>
        <w:pStyle w:val="AERbulletlistsecondstyle"/>
      </w:pPr>
      <w:r w:rsidRPr="00883125">
        <w:t>the distribution rate, and</w:t>
      </w:r>
    </w:p>
    <w:p w:rsidR="00B27BE5" w:rsidRPr="00883125" w:rsidRDefault="00B27BE5" w:rsidP="00B27BE5">
      <w:pPr>
        <w:pStyle w:val="AERbulletlistsecondstyle"/>
      </w:pPr>
      <m:oMath>
        <m:r>
          <w:rPr>
            <w:rFonts w:ascii="Cambria Math" w:hAnsi="Cambria Math"/>
          </w:rPr>
          <m:t>θ</m:t>
        </m:r>
      </m:oMath>
      <w:r w:rsidRPr="00883125">
        <w:t xml:space="preserve"> (theta), which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B27BE5" w:rsidRPr="00883125" w:rsidRDefault="00B27BE5" w:rsidP="00B27BE5">
      <w:r w:rsidRPr="00883125">
        <w:t>In his May 2014 and February 2015 reports, Gray (for SFG) provided a discussion of the class of CAPM employed by Monkhouse (and related literature).</w:t>
      </w:r>
      <w:r w:rsidRPr="00883125">
        <w:rPr>
          <w:rStyle w:val="FootnoteReference"/>
        </w:rPr>
        <w:footnoteReference w:id="351"/>
      </w:r>
      <w:r w:rsidRPr="00883125">
        <w:t xml:space="preserve"> Gray concluded that our recognition of foreign investors breaches the assumptions of this class of CAPM, and therefore we cannot estimate the value of imputation credits using the definition of theta in equilibrium from the Monkhouse framework. Gray's June 2015 report (for Frontier), upon </w:t>
      </w:r>
      <w:r w:rsidRPr="00883125">
        <w:lastRenderedPageBreak/>
        <w:t>which a number of service providers rely, holds the same view and notes the inconsistency between Lally and Handley's advice on this point</w:t>
      </w:r>
      <w:r w:rsidRPr="00883125">
        <w:rPr>
          <w:rStyle w:val="FootnoteReference"/>
        </w:rPr>
        <w:footnoteReference w:id="352"/>
      </w:r>
    </w:p>
    <w:p w:rsidR="00B27BE5" w:rsidRPr="00883125" w:rsidRDefault="00B27BE5" w:rsidP="00B27BE5">
      <w:r w:rsidRPr="00883125">
        <w:t>Handley responded to Gray's view in his September 2014 and April 2015 reports and his response is equally applicable to the June 2015 report by Gray (for Frontier). He disagrees with Gray's view, and considers reasonable our use of:</w:t>
      </w:r>
      <w:r w:rsidRPr="00883125">
        <w:rPr>
          <w:rStyle w:val="FootnoteReference"/>
        </w:rPr>
        <w:footnoteReference w:id="353"/>
      </w:r>
    </w:p>
    <w:p w:rsidR="00B27BE5" w:rsidRPr="00883125" w:rsidRDefault="00B27BE5" w:rsidP="00B27BE5">
      <w:pPr>
        <w:pStyle w:val="AERbulletlistfirststyle"/>
      </w:pPr>
      <w:r w:rsidRPr="00883125">
        <w:t>the definition of theta from the Monkhouse framework, and</w:t>
      </w:r>
    </w:p>
    <w:p w:rsidR="00B27BE5" w:rsidRPr="00883125" w:rsidRDefault="00B27BE5" w:rsidP="00B27BE5">
      <w:pPr>
        <w:pStyle w:val="AERbulletlistfirststyle"/>
      </w:pPr>
      <w:r w:rsidRPr="00883125">
        <w:t>the equity ownership approach to estimate theta.</w:t>
      </w:r>
    </w:p>
    <w:p w:rsidR="00B27BE5" w:rsidRPr="00883125" w:rsidRDefault="00B27BE5" w:rsidP="00B27BE5">
      <w:r w:rsidRPr="00883125">
        <w:t>In the remainder of this section we identify what we consider to be the key points of this debate, and their implications for our estimation of the value of imputation credits.</w:t>
      </w:r>
    </w:p>
    <w:p w:rsidR="00B27BE5" w:rsidRPr="00883125" w:rsidRDefault="00B27BE5" w:rsidP="00B27BE5">
      <w:r w:rsidRPr="00883125">
        <w:t>Gray's key point appears to be that:</w:t>
      </w:r>
      <w:r w:rsidRPr="00883125">
        <w:rPr>
          <w:rStyle w:val="FootnoteReference"/>
        </w:rPr>
        <w:footnoteReference w:id="354"/>
      </w:r>
    </w:p>
    <w:p w:rsidR="00B27BE5" w:rsidRPr="00883125" w:rsidRDefault="00B27BE5" w:rsidP="00B27BE5">
      <w:pPr>
        <w:pStyle w:val="AERquote"/>
      </w:pPr>
      <w:r w:rsidRPr="00883125">
        <w:t>[The relevant class of CAPM models] derive an equilibrium by solving a market clearing condition. This involves noting that:</w:t>
      </w:r>
    </w:p>
    <w:p w:rsidR="00B27BE5" w:rsidRPr="00883125" w:rsidRDefault="00B27BE5" w:rsidP="00B27BE5">
      <w:pPr>
        <w:pStyle w:val="AERquote"/>
      </w:pPr>
      <w:r w:rsidRPr="00883125">
        <w:t xml:space="preserve">(a) All of the </w:t>
      </w:r>
      <w:r w:rsidRPr="00883125">
        <w:rPr>
          <w:rStyle w:val="AERtextitalic"/>
        </w:rPr>
        <w:t>m</w:t>
      </w:r>
      <w:r w:rsidRPr="00883125">
        <w:t xml:space="preserve"> investors must invest all of their wealth across the </w:t>
      </w:r>
      <w:r w:rsidRPr="00883125">
        <w:rPr>
          <w:rStyle w:val="AERtextitalic"/>
        </w:rPr>
        <w:t>n</w:t>
      </w:r>
      <w:r w:rsidRPr="00883125">
        <w:t xml:space="preserve"> assets and nothing else; and</w:t>
      </w:r>
    </w:p>
    <w:p w:rsidR="00B27BE5" w:rsidRPr="00883125" w:rsidRDefault="00B27BE5" w:rsidP="00B27BE5">
      <w:pPr>
        <w:pStyle w:val="AERquote"/>
      </w:pPr>
      <w:r w:rsidRPr="00883125">
        <w:t xml:space="preserve">(b) All of the </w:t>
      </w:r>
      <w:r w:rsidRPr="00883125">
        <w:rPr>
          <w:rStyle w:val="AERtextitalic"/>
        </w:rPr>
        <w:t>n</w:t>
      </w:r>
      <w:r w:rsidRPr="00883125">
        <w:t xml:space="preserve"> assets must be owned entirely by the </w:t>
      </w:r>
      <w:r w:rsidRPr="00883125">
        <w:rPr>
          <w:rStyle w:val="AERtextitalic"/>
        </w:rPr>
        <w:t>m</w:t>
      </w:r>
      <w:r w:rsidRPr="00883125">
        <w:t xml:space="preserve"> investors and no one else. </w:t>
      </w:r>
    </w:p>
    <w:p w:rsidR="00B27BE5" w:rsidRPr="00883125" w:rsidRDefault="00B27BE5" w:rsidP="00B27BE5">
      <w:r w:rsidRPr="00883125">
        <w:t>This suggests that the only legitimate application of the CAPM is one which recognises all investors and assets in the world (that is, an international CAPM). However, CAPMs have been employed in contexts other than the international one. Handley suggested that the key consideration is whether assets and investors that are outside the model are relevant to the determination of the prices of assets inside the model:</w:t>
      </w:r>
      <w:r w:rsidRPr="00883125">
        <w:rPr>
          <w:rStyle w:val="FootnoteReference"/>
        </w:rPr>
        <w:footnoteReference w:id="355"/>
      </w:r>
    </w:p>
    <w:p w:rsidR="00B27BE5" w:rsidRPr="00883125" w:rsidRDefault="00B27BE5" w:rsidP="00B27BE5">
      <w:pPr>
        <w:pStyle w:val="AERquote"/>
      </w:pPr>
      <w:r w:rsidRPr="00883125">
        <w:t xml:space="preserve">[SFG’s claim that a representative investor equilibrium does not apply in the AER’s framework] – which appears to be SFG’s major criticism of this approach – is not correct since it is based on SFG’s incorrect assertion that the market clearing condition invoked in the CAPM class of equilibrium asset pricing models is based on an assumption that the </w:t>
      </w:r>
      <w:r w:rsidRPr="00883125">
        <w:rPr>
          <w:rStyle w:val="AERtextitalic"/>
        </w:rPr>
        <w:t>m</w:t>
      </w:r>
      <w:r w:rsidRPr="00883125">
        <w:t xml:space="preserve"> investors in the model invest all their wealth across the </w:t>
      </w:r>
      <w:r w:rsidRPr="00883125">
        <w:rPr>
          <w:rStyle w:val="AERtextitalic"/>
        </w:rPr>
        <w:t>n</w:t>
      </w:r>
      <w:r w:rsidRPr="00883125">
        <w:t xml:space="preserve"> assets in the model and nothing else.</w:t>
      </w:r>
    </w:p>
    <w:p w:rsidR="00B27BE5" w:rsidRPr="00883125" w:rsidRDefault="00B27BE5" w:rsidP="00B27BE5">
      <w:pPr>
        <w:pStyle w:val="AERquote"/>
      </w:pPr>
      <w:r w:rsidRPr="00883125">
        <w:t>But the CAPM makes no such assumption – it is SFG who does.</w:t>
      </w:r>
    </w:p>
    <w:p w:rsidR="00B27BE5" w:rsidRPr="00883125" w:rsidRDefault="00B27BE5" w:rsidP="00B27BE5">
      <w:pPr>
        <w:pStyle w:val="AERquote"/>
      </w:pPr>
      <w:r w:rsidRPr="00883125">
        <w:t>An implication of SFG’s assertion is that one could validly use a “domestic” version of the CAPM say to price U.S. stocks only if you assume that investors in the U.S. stock market hold no other assets except U.S. stocks. Such an assumption would be clearly implausible.</w:t>
      </w:r>
    </w:p>
    <w:p w:rsidR="00B27BE5" w:rsidRPr="00883125" w:rsidRDefault="00B27BE5" w:rsidP="00B27BE5">
      <w:pPr>
        <w:pStyle w:val="AERquote"/>
      </w:pPr>
      <w:r w:rsidRPr="00883125">
        <w:lastRenderedPageBreak/>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valid equilibrium can be found. There is nothing in the Copeland and Rosenberg statements quoted in SFG (2015) which is inconsistent with this approach.</w:t>
      </w:r>
    </w:p>
    <w:p w:rsidR="00B27BE5" w:rsidRPr="00883125" w:rsidRDefault="00B27BE5" w:rsidP="00B27BE5">
      <w:r w:rsidRPr="00883125">
        <w:t>Therefore, it would seem that the criticisms of our use of the definition of theta from the Monkhouse framework, and our responses to those criticisms, might be summarised as follows:</w:t>
      </w:r>
    </w:p>
    <w:p w:rsidR="00B27BE5" w:rsidRPr="00883125" w:rsidRDefault="00B27BE5" w:rsidP="00B27BE5">
      <w:pPr>
        <w:pStyle w:val="AERbulletlistfirststyle"/>
      </w:pPr>
      <w:r w:rsidRPr="00883125">
        <w:t>By not using all assets and investors in the world, we are breaching a fundamental condition required by CAPMs to derive an equilibrium value. However, CAPMs have been used in contexts other than the international one, and therefore we are not convinced that this criticism presents grounds to disregard these models.</w:t>
      </w:r>
    </w:p>
    <w:p w:rsidR="00B27BE5" w:rsidRPr="00883125" w:rsidRDefault="00B27BE5" w:rsidP="00B27BE5">
      <w:pPr>
        <w:pStyle w:val="AERbulletlistfirststyle"/>
        <w:rPr>
          <w:rStyle w:val="AERtexthighlight"/>
        </w:rPr>
      </w:pPr>
      <w:r w:rsidRPr="00883125">
        <w:t>The following implicit assumption in our approach is unreasonable: that the foreign asset holdings of (both Australian and foreign) investors in Australian assets are not relevant to those investors' valuation of Australian assets. Gray's view is that the assumption is unreasonable.</w:t>
      </w:r>
      <w:r w:rsidRPr="00883125">
        <w:rPr>
          <w:rStyle w:val="FootnoteReference"/>
        </w:rPr>
        <w:footnoteReference w:id="356"/>
      </w:r>
      <w:r w:rsidRPr="00883125">
        <w:t xml:space="preserve"> Handley's view is, if the assumption is considered unreasonable, 'then one should bring the outside assets and outside investors into the model, for example, by using an international CAPM'.</w:t>
      </w:r>
      <w:r w:rsidRPr="00883125">
        <w:rPr>
          <w:rStyle w:val="FootnoteReference"/>
        </w:rPr>
        <w:footnoteReference w:id="357"/>
      </w:r>
      <w:r w:rsidRPr="00883125">
        <w:t xml:space="preserve"> However, neither Gray nor Handley suggested that we employ an international CAPM. Moreover, Handley clearly set out his view that our use of the definition of theta from the Monkhouse framework is reasonable.</w:t>
      </w:r>
      <w:r w:rsidRPr="00883125">
        <w:rPr>
          <w:rStyle w:val="FootnoteReference"/>
        </w:rPr>
        <w:footnoteReference w:id="358"/>
      </w:r>
      <w:r w:rsidRPr="00883125">
        <w:t xml:space="preserve"> </w:t>
      </w:r>
    </w:p>
    <w:p w:rsidR="00B27BE5" w:rsidRPr="00883125" w:rsidRDefault="00B27BE5" w:rsidP="00B27BE5">
      <w:r w:rsidRPr="00883125">
        <w:t xml:space="preserve">In conclusion, we are not convinced that we should disregard the definition of theta from the Monkhouse framework when estimating the value of imputation credits. </w:t>
      </w:r>
    </w:p>
    <w:p w:rsidR="00B27BE5" w:rsidRPr="00883125" w:rsidRDefault="00B27BE5" w:rsidP="00B27BE5">
      <w:pPr>
        <w:pStyle w:val="Heading8"/>
      </w:pPr>
      <w:bookmarkStart w:id="121" w:name="_Ref414623120"/>
      <w:bookmarkStart w:id="122" w:name="_Toc436049449"/>
      <w:bookmarkStart w:id="123" w:name="_Toc451928282"/>
      <w:r w:rsidRPr="00883125">
        <w:t>Further issues relating to the utilisation rate</w:t>
      </w:r>
      <w:bookmarkEnd w:id="121"/>
      <w:bookmarkEnd w:id="122"/>
      <w:bookmarkEnd w:id="123"/>
    </w:p>
    <w:p w:rsidR="00B27BE5" w:rsidRPr="00883125" w:rsidRDefault="00B27BE5" w:rsidP="00B27BE5">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881794">
        <w:t>A.6</w:t>
      </w:r>
      <w:r w:rsidRPr="00883125">
        <w:fldChar w:fldCharType="end"/>
      </w:r>
      <w:r w:rsidRPr="00883125">
        <w:t xml:space="preserve">, we define the utilisation rate as the utilisation value to investors in the market per dollar of imputation credits distributed. As also discussed in section </w:t>
      </w:r>
      <w:r w:rsidRPr="00883125">
        <w:fldChar w:fldCharType="begin"/>
      </w:r>
      <w:r w:rsidRPr="00883125">
        <w:instrText xml:space="preserve"> REF _Ref400965182 \r \h </w:instrText>
      </w:r>
      <w:r w:rsidRPr="00883125">
        <w:fldChar w:fldCharType="separate"/>
      </w:r>
      <w:r w:rsidR="00881794">
        <w:t>A.6</w:t>
      </w:r>
      <w:r w:rsidRPr="00883125">
        <w:fldChar w:fldCharType="end"/>
      </w:r>
      <w:r w:rsidRPr="00883125">
        <w:t xml:space="preserve">,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 Therefore, we consider that eligible investors have a utilisation rate of 1 (on a before-personal-tax and before-personal-costs basis). Conversely, ‘ineligible’ investors cannot utilise imputation credits and have a utilisation rate of 0. It follows that the utilisation </w:t>
      </w:r>
      <w:r w:rsidRPr="00883125">
        <w:lastRenderedPageBreak/>
        <w:t>rate reflects the extent to which investors can utilise the imputation credits they receive to reduce their tax or get a refund.</w:t>
      </w:r>
    </w:p>
    <w:p w:rsidR="00D77BE0" w:rsidRDefault="00D77BE0" w:rsidP="00D77BE0">
      <w:pPr>
        <w:numPr>
          <w:ilvl w:val="0"/>
          <w:numId w:val="24"/>
        </w:numPr>
      </w:pPr>
      <w:r>
        <w:t>This is supported by Lally wh</w:t>
      </w:r>
      <w:r w:rsidR="00962E28">
        <w:t>o</w:t>
      </w:r>
      <w:r>
        <w:t xml:space="preserve"> considers that within the Officer Framework model, the utilisation rate is a weighted average over the utilisation rate for imputation credits by individual investors and these utilisation rates are 1 if investors can use the credits and zero otherwise.</w:t>
      </w:r>
      <w:r>
        <w:rPr>
          <w:rStyle w:val="FootnoteReference"/>
        </w:rPr>
        <w:footnoteReference w:id="359"/>
      </w:r>
    </w:p>
    <w:p w:rsidR="00B27BE5" w:rsidRPr="00883125" w:rsidRDefault="00B27BE5" w:rsidP="00B27BE5">
      <w:pPr>
        <w:numPr>
          <w:ilvl w:val="0"/>
          <w:numId w:val="24"/>
        </w:numPr>
      </w:pPr>
      <w:r w:rsidRPr="00883125">
        <w:t>In this section we provide further support for our position on the utilisation rate. In particular, we:</w:t>
      </w:r>
    </w:p>
    <w:p w:rsidR="00B27BE5" w:rsidRPr="00883125" w:rsidRDefault="00B27BE5" w:rsidP="00B27BE5">
      <w:pPr>
        <w:pStyle w:val="AERbulletlistfirststyle"/>
      </w:pPr>
      <w:r w:rsidRPr="00883125">
        <w:t xml:space="preserve">explain how our position is consistent with the basis of the building block framework </w:t>
      </w:r>
    </w:p>
    <w:p w:rsidR="00B27BE5" w:rsidRPr="00883125" w:rsidRDefault="00B27BE5" w:rsidP="00B27BE5">
      <w:pPr>
        <w:pStyle w:val="AERbulletlistfirststyle"/>
      </w:pPr>
      <w:r w:rsidRPr="00883125">
        <w:t>contrast our position with that of the service providers, including with reference to factors they considered should be reflected in the utilisation rate, and</w:t>
      </w:r>
    </w:p>
    <w:p w:rsidR="00B27BE5" w:rsidRPr="00883125" w:rsidRDefault="00B27BE5" w:rsidP="00B27BE5">
      <w:pPr>
        <w:pStyle w:val="AERbulletlistfirststyle"/>
      </w:pPr>
      <w:r w:rsidRPr="00883125">
        <w:t>respond to NERA's view.</w:t>
      </w:r>
    </w:p>
    <w:p w:rsidR="00B27BE5" w:rsidRPr="00883125" w:rsidRDefault="00B27BE5" w:rsidP="00B27BE5">
      <w:pPr>
        <w:pStyle w:val="Heading9"/>
      </w:pPr>
      <w:bookmarkStart w:id="124" w:name="_Ref401748758"/>
      <w:r w:rsidRPr="00883125">
        <w:t>Consistency with the building block framework</w:t>
      </w:r>
      <w:bookmarkEnd w:id="124"/>
    </w:p>
    <w:p w:rsidR="00B27BE5" w:rsidRPr="00883125" w:rsidRDefault="00B27BE5" w:rsidP="00B27BE5">
      <w:pPr>
        <w:numPr>
          <w:ilvl w:val="0"/>
          <w:numId w:val="24"/>
        </w:numPr>
      </w:pPr>
      <w:r w:rsidRPr="00883125">
        <w:t>To be consistent with the building block framework, the utilisation rate should reflect the before-personal-tax and before-personal-costs value of imputation credits to investors. In a before-personal-tax and before-personal-costs framework, an investor that is eligible to fully utilise imputation credits should value each dollar of imputation credits received at one dollar (that is, have a utilisation rate of 1).</w:t>
      </w:r>
    </w:p>
    <w:p w:rsidR="00B27BE5" w:rsidRPr="00883125" w:rsidRDefault="00B27BE5" w:rsidP="00B27BE5">
      <w:pPr>
        <w:numPr>
          <w:ilvl w:val="0"/>
          <w:numId w:val="24"/>
        </w:numPr>
      </w:pPr>
      <w:r w:rsidRPr="00883125">
        <w:t>This consideration is supported by Handley's advice on the basis of the regulatory (building block) framework:</w:t>
      </w:r>
      <w:r w:rsidRPr="00883125">
        <w:rPr>
          <w:rStyle w:val="FootnoteReference"/>
        </w:rPr>
        <w:footnoteReference w:id="360"/>
      </w:r>
      <w:r w:rsidRPr="00883125">
        <w:t xml:space="preserve"> </w:t>
      </w:r>
    </w:p>
    <w:p w:rsidR="00B27BE5" w:rsidRPr="00883125" w:rsidRDefault="00B27BE5" w:rsidP="00B27BE5">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B27BE5" w:rsidRPr="00883125" w:rsidRDefault="00B27BE5" w:rsidP="00164D25">
      <w:pPr>
        <w:keepNext/>
        <w:numPr>
          <w:ilvl w:val="0"/>
          <w:numId w:val="24"/>
        </w:numPr>
      </w:pPr>
      <w:r w:rsidRPr="00883125">
        <w:lastRenderedPageBreak/>
        <w:t>Handley also referred specifically to the basis on which the utilisation rate should be estimated:</w:t>
      </w:r>
      <w:r w:rsidRPr="00883125">
        <w:rPr>
          <w:rStyle w:val="FootnoteReference"/>
        </w:rPr>
        <w:footnoteReference w:id="361"/>
      </w:r>
    </w:p>
    <w:p w:rsidR="00B27BE5" w:rsidRPr="00883125" w:rsidRDefault="00B27BE5" w:rsidP="00164D25">
      <w:pPr>
        <w:pStyle w:val="AERquote"/>
        <w:keepNext/>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B27BE5" w:rsidRPr="00883125" w:rsidRDefault="00B27BE5" w:rsidP="00B27BE5">
      <w:r w:rsidRPr="00883125">
        <w:t>The service providers consider our interpretation of the utilisation rate conceptually incorrect and inconsistent with the requirements of the NER/NGR.</w:t>
      </w:r>
      <w:r w:rsidRPr="00883125">
        <w:rPr>
          <w:rStyle w:val="FootnoteReference"/>
        </w:rPr>
        <w:footnoteReference w:id="362"/>
      </w:r>
      <w:r w:rsidRPr="00883125">
        <w:t xml:space="preserve"> They submit</w:t>
      </w:r>
      <w:r w:rsidR="006B7879">
        <w:t>ted that we are</w:t>
      </w:r>
      <w:r w:rsidRPr="00883125">
        <w:t xml:space="preserve"> required to estimate the value of imputation credits, not the expected utilisation value of distributed credits, or a measure of investor's eligibility to utilise those credits.</w:t>
      </w:r>
      <w:r w:rsidRPr="00883125">
        <w:rPr>
          <w:rStyle w:val="FootnoteReference"/>
        </w:rPr>
        <w:footnoteReference w:id="363"/>
      </w:r>
      <w:r w:rsidRPr="00883125">
        <w:t xml:space="preserve"> Specifically, a number of service providers submitted:</w:t>
      </w:r>
      <w:r w:rsidRPr="00883125">
        <w:rPr>
          <w:rStyle w:val="FootnoteReference"/>
        </w:rPr>
        <w:footnoteReference w:id="364"/>
      </w:r>
    </w:p>
    <w:p w:rsidR="00B27BE5" w:rsidRPr="00883125" w:rsidRDefault="00B27BE5" w:rsidP="00B27BE5">
      <w:pPr>
        <w:pStyle w:val="AERquote"/>
      </w:pPr>
      <w:r w:rsidRPr="00883125">
        <w:t>It is certainly true that theta must reflect the value of imputation credits to investors. However it is unusual for theta to be defined in a way that excludes the effect of certain factors that may impact on value (and which will be reflected in market value measures), such as personal costs.</w:t>
      </w:r>
    </w:p>
    <w:p w:rsidR="00B27BE5" w:rsidRPr="00883125" w:rsidRDefault="00B27BE5" w:rsidP="00B27BE5">
      <w:r w:rsidRPr="00883125">
        <w:t>We disagree. We consider that our approach is consistent with the NER/NGR. We have previously noted in the Guideline and in our prior decisions, and maintain in this final decision, that the Officer framework provides the basis for the rate of return framework in the NER/NGR.</w:t>
      </w:r>
      <w:r w:rsidRPr="00883125">
        <w:rPr>
          <w:rStyle w:val="FootnoteReference"/>
        </w:rPr>
        <w:footnoteReference w:id="365"/>
      </w:r>
      <w:r w:rsidRPr="00883125">
        <w:t xml:space="preserve"> This point has not been contested by the service providers or their </w:t>
      </w:r>
      <w:r w:rsidRPr="00883125">
        <w:lastRenderedPageBreak/>
        <w:t xml:space="preserve">consultants. If the Officer framework provides the basis for the rate of return framework in the NER/NGR, then it is reasonable—if not necessary—to estimate gamma in a manner consistent with Officer. Therefore, we have considered whether Officer's framework is intended to reflect factors such as personal taxes and personal costs when determining the rate of return. </w:t>
      </w:r>
      <w:r w:rsidR="006B7879">
        <w:t xml:space="preserve">We consider that it is not, and </w:t>
      </w:r>
      <w:r w:rsidR="0050254E">
        <w:t xml:space="preserve">that </w:t>
      </w:r>
      <w:r w:rsidRPr="00883125">
        <w:t>Handley's</w:t>
      </w:r>
      <w:r w:rsidR="00D77BE0">
        <w:t xml:space="preserve"> and Lally's</w:t>
      </w:r>
      <w:r w:rsidRPr="00883125">
        <w:t xml:space="preserve"> advice </w:t>
      </w:r>
      <w:r w:rsidR="0050254E">
        <w:t>supports our approach</w:t>
      </w:r>
      <w:r w:rsidRPr="00883125">
        <w:t xml:space="preserve">. Gray (for both SFG and Frontier) disagrees, but as discussed in section </w:t>
      </w:r>
      <w:r w:rsidRPr="00883125">
        <w:fldChar w:fldCharType="begin"/>
      </w:r>
      <w:r w:rsidRPr="00883125">
        <w:instrText xml:space="preserve"> REF _Ref414028398 \r \h </w:instrText>
      </w:r>
      <w:r w:rsidRPr="00883125">
        <w:fldChar w:fldCharType="separate"/>
      </w:r>
      <w:r w:rsidR="00881794">
        <w:t>A.7.3</w:t>
      </w:r>
      <w:r w:rsidRPr="00883125">
        <w:fldChar w:fldCharType="end"/>
      </w:r>
      <w:r w:rsidRPr="00883125">
        <w:t>, Gray's interpretation is unconvincing to us.</w:t>
      </w:r>
    </w:p>
    <w:p w:rsidR="00B27BE5" w:rsidRPr="00883125" w:rsidRDefault="00B27BE5" w:rsidP="00B27BE5">
      <w:r w:rsidRPr="00883125">
        <w:t>Put another way, our approach to estimating the value of imputation credits recognises that this parameter does not exist in isolation. That is, the NER/NGR employ the building block framework to determine a revenue allowance that contributes to the achievement of the NEO/NGO. The building block framework employs the Officer framework to determine a rate of return that contributes to meeting the NEO/NGO, and gamma forms part of the Officer framework. We consider that proper regard to the NER/NGR's use of the Officer framework best promotes the objectives and requirements of the NER/NGR.</w:t>
      </w:r>
    </w:p>
    <w:p w:rsidR="00B27BE5" w:rsidRPr="00883125" w:rsidRDefault="00B27BE5" w:rsidP="00B27BE5">
      <w:pPr>
        <w:rPr>
          <w:rStyle w:val="AERbody"/>
        </w:rPr>
      </w:pPr>
      <w:r w:rsidRPr="00883125">
        <w:rPr>
          <w:rStyle w:val="AERbody"/>
        </w:rPr>
        <w:t>Handley supports our approach and has explicitly stated that the AER's definition of theta does correspond to a "market value" on a before personal taxes and before personal costs basis:</w:t>
      </w:r>
      <w:r w:rsidRPr="00883125">
        <w:rPr>
          <w:rStyle w:val="FootnoteReference"/>
        </w:rPr>
        <w:footnoteReference w:id="366"/>
      </w:r>
    </w:p>
    <w:p w:rsidR="00B27BE5" w:rsidRPr="005764F6" w:rsidRDefault="00B27BE5">
      <w:pPr>
        <w:pStyle w:val="AERquote"/>
        <w:rPr>
          <w:rFonts w:eastAsiaTheme="minorHAnsi"/>
        </w:rPr>
      </w:pPr>
      <w:r w:rsidRPr="005764F6">
        <w:t>When used in everyday language, the meaning of the term “value” is generally well understood. However, in a cost of capital context, the term value is potentially ambiguous. Value can be used to refer to a value before taxes or a value after taxes. It can refer to a value before costs or a value after costs. The term “rate of return” (or discount rate) is similarly potentially ambiguous. A return can be measured or defined before taxes or after taxes. A return can also be measured or defined before costs or after costs.</w:t>
      </w:r>
    </w:p>
    <w:p w:rsidR="00B27BE5" w:rsidRPr="005764F6" w:rsidRDefault="00B27BE5">
      <w:pPr>
        <w:pStyle w:val="AERquote"/>
      </w:pPr>
      <w:r w:rsidRPr="005764F6">
        <w:t>This is why it is very important to be absolutely precise about how the key inputs of a WACC analysis – cash flow and discount rate – are defined and to ensure that they are defined on the same basis.</w:t>
      </w:r>
    </w:p>
    <w:p w:rsidR="00B27BE5" w:rsidRPr="005764F6" w:rsidRDefault="00B27BE5">
      <w:pPr>
        <w:pStyle w:val="AERquote"/>
      </w:pPr>
      <w:r w:rsidRPr="005764F6">
        <w:t>The AER definition of theta does indeed correspond to a market value (as in “worth to investors”) interpretation of theta if value is taken here to mean the value of imputation credits before personal taxes and before personal costs. This interpretation is neither novel nor new. It comes directly from the seminal 1994 paper by Officer.</w:t>
      </w:r>
    </w:p>
    <w:p w:rsidR="00B27BE5" w:rsidRPr="00883125" w:rsidRDefault="00B27BE5" w:rsidP="00B27BE5">
      <w:pPr>
        <w:rPr>
          <w:rStyle w:val="AERbody"/>
        </w:rPr>
      </w:pPr>
      <w:r w:rsidRPr="00883125">
        <w:rPr>
          <w:rStyle w:val="AERbody"/>
        </w:rPr>
        <w:t xml:space="preserve">Finally, given the discussion above that indicates why we consider our definition of theta is an estimate of the value of imputation credits to investors in the market before personal taxes and personal transactions costs, we consider there is little in the service providers position that imputation credits should either be interpreted as the value of distributed credits, or the proportion of distributed credits likely to be redeemed by investors. Handley </w:t>
      </w:r>
      <w:r w:rsidRPr="00883125">
        <w:rPr>
          <w:rStyle w:val="AERbody"/>
        </w:rPr>
        <w:lastRenderedPageBreak/>
        <w:t>also states with respect to the alleged difference between the value of imputation credits and the redemption value:</w:t>
      </w:r>
      <w:r w:rsidRPr="00883125">
        <w:rPr>
          <w:rStyle w:val="FootnoteReference"/>
        </w:rPr>
        <w:footnoteReference w:id="367"/>
      </w:r>
    </w:p>
    <w:p w:rsidR="00B27BE5" w:rsidRPr="005764F6" w:rsidRDefault="00B27BE5">
      <w:pPr>
        <w:pStyle w:val="AERquote"/>
        <w:rPr>
          <w:rFonts w:eastAsiaTheme="minorHAnsi"/>
        </w:rPr>
      </w:pPr>
      <w:r w:rsidRPr="005764F6">
        <w:t xml:space="preserve">There is no either-or decision to be made here. The value of distributed credits and the proportion of credits redeemed are the same thing when one uses the proper definition of “value” in relation to theta (and gamma). Specifically, theta is the value of a dollar of distributed credits before personal taxes and before personal costs. In this case, the value of the credits and the proportion of the credits redeemed are one and the same thing. This is why Officer (1994) uses both descriptions interchangeably when referring to gamma in his seminal paper. </w:t>
      </w:r>
    </w:p>
    <w:p w:rsidR="00B27BE5" w:rsidRPr="00883125" w:rsidRDefault="00B27BE5" w:rsidP="00B27BE5">
      <w:pPr>
        <w:rPr>
          <w:rStyle w:val="AERbody"/>
        </w:rPr>
      </w:pPr>
      <w:r w:rsidRPr="00883125">
        <w:rPr>
          <w:rStyle w:val="AERbody"/>
        </w:rPr>
        <w:t>Handley also states:</w:t>
      </w:r>
      <w:r w:rsidRPr="00883125">
        <w:rPr>
          <w:rStyle w:val="FootnoteReference"/>
        </w:rPr>
        <w:footnoteReference w:id="368"/>
      </w:r>
    </w:p>
    <w:p w:rsidR="00B27BE5" w:rsidRPr="005764F6" w:rsidRDefault="00B27BE5">
      <w:pPr>
        <w:pStyle w:val="AERquote"/>
      </w:pPr>
      <w:r w:rsidRPr="005764F6">
        <w:t>SFG (2015 para. 124-135) also suggests that the mathematical formulae in Officer (1994) support a value interpretation of gamma but not a redemption value interpretation since: “It is clear in this formula [para.127] that gamma represents … the extent to which imputation credits increase the market value of equity”. There is no dispute that the (market) value of credits are capitalised into stock prices – this is clear from equation (2) above. However, SFG fails to see that within Officer’s framework it is the before personal tax and before personal costs value of a credit – the redemption value – which is the item being capitalised.</w:t>
      </w:r>
    </w:p>
    <w:p w:rsidR="00B27BE5" w:rsidRPr="00883125" w:rsidRDefault="00B27BE5" w:rsidP="00B27BE5">
      <w:pPr>
        <w:pStyle w:val="Heading9"/>
      </w:pPr>
      <w:bookmarkStart w:id="125" w:name="_Ref450298425"/>
      <w:bookmarkStart w:id="126" w:name="_Ref450300692"/>
      <w:bookmarkStart w:id="127" w:name="_Ref450840388"/>
      <w:r w:rsidRPr="00883125">
        <w:t>Consistency with other allowed rate of return parameters</w:t>
      </w:r>
      <w:bookmarkEnd w:id="125"/>
      <w:bookmarkEnd w:id="126"/>
      <w:bookmarkEnd w:id="127"/>
    </w:p>
    <w:p w:rsidR="00B27BE5" w:rsidRPr="00883125" w:rsidRDefault="00B27BE5" w:rsidP="00B27BE5">
      <w:r w:rsidRPr="00883125">
        <w:t xml:space="preserve">We consider we are estimating the value of imputation credits consistently with the other allowed rate of return parameters on a post company tax basis before personal taxes and personal costs. </w:t>
      </w:r>
    </w:p>
    <w:p w:rsidR="00B27BE5" w:rsidRPr="005764F6" w:rsidRDefault="00B27BE5" w:rsidP="00B31DF2">
      <w:r w:rsidRPr="005764F6">
        <w:t>For instance, when estimating the MRP</w:t>
      </w:r>
      <w:r w:rsidR="007B2969">
        <w:t>,</w:t>
      </w:r>
      <w:r w:rsidRPr="005764F6">
        <w:t xml:space="preserve"> the dividend yield component is determined by the face value of dividends where one dollar of dividends paid by the company is valued at one dollar to the investor. We do not account for the personal costs and personal taxes associated with cash dividends when estimating the MRP using observed historical market returns. By contrast, dividend drop-off studies estimate the value one dollar of distributed cash dividends at less than one dollar (in the range of eighty one cents to ninety three cents in the case of SFG's study).</w:t>
      </w:r>
      <w:r w:rsidRPr="007B2969">
        <w:rPr>
          <w:rStyle w:val="FootnoteReference"/>
        </w:rPr>
        <w:footnoteReference w:id="369"/>
      </w:r>
      <w:r w:rsidRPr="005764F6">
        <w:t xml:space="preserve"> This highlights that dividend drop off studies are not estimating a post-tax return (which is the full face value of one dollar per one dollar of dividends distributed). Therefore, given imputation credits are also post tax income (like dividends), estimates of the value of imputation credits from these studies will require an adjustment to convert them to a post-tax return. Absent such an adjustment they are not appropriate to use as estimates of the post-tax value of distributed imputation credits for use in the Officer Framework underpinning the rules.</w:t>
      </w:r>
    </w:p>
    <w:p w:rsidR="00B27BE5" w:rsidRPr="005764F6" w:rsidRDefault="00B27BE5" w:rsidP="00B31DF2">
      <w:r w:rsidRPr="005764F6">
        <w:lastRenderedPageBreak/>
        <w:t>When estimating the MRP we do not use a ninety cent value per one dollar face value of dividends. Doing so would significantly reduce the MRP estimate and would be inappropriate. The incorrect post tax valuation of cash dividends from dividend drop off studies is most likely driven by differential personal tax of dividend income and capital gains. As noted above, the correct post tax (pre-personal tax and personal costs) value of dividends is clearly one dollar per dollar of dividends distributed and not ninety cents or less as implied by the SFG study. The undervaluation relative to the full face value is likely primarily driven by investors valuing capital gains more highly than dividend income as capital gains are generally taxed at a concessional personal tax rate.</w:t>
      </w:r>
      <w:r w:rsidRPr="00A51232">
        <w:rPr>
          <w:rStyle w:val="FootnoteReference"/>
        </w:rPr>
        <w:footnoteReference w:id="370"/>
      </w:r>
      <w:r w:rsidRPr="005764F6">
        <w:t xml:space="preserve"> We consider that the incorrect post tax valuation of cash dividends in SFG's dividend drop of study will also be reflected it the estimates of the value of imputation credits. This is because imputation credits are also taxed as ordinary income like cash dividends. Therefore, the uncorrected estimate of the value of imputation credits from a dividend drop off study is not an appropriate post tax value to use in our post (corporate) tax regulatory framework which is based on the Officer Framework.</w:t>
      </w:r>
      <w:r w:rsidRPr="00A51232">
        <w:rPr>
          <w:rStyle w:val="FootnoteReference"/>
        </w:rPr>
        <w:footnoteReference w:id="371"/>
      </w:r>
      <w:r w:rsidRPr="005764F6">
        <w:t xml:space="preserve"> It neither reflects the post-tax cost faced by the regulated businesses, </w:t>
      </w:r>
      <w:r w:rsidR="009B3753" w:rsidRPr="005764F6">
        <w:t>n</w:t>
      </w:r>
      <w:r w:rsidRPr="005764F6">
        <w:t xml:space="preserve">or the post-tax value received by investors. This is further discussed in section </w:t>
      </w:r>
      <w:r w:rsidRPr="005764F6">
        <w:fldChar w:fldCharType="begin"/>
      </w:r>
      <w:r w:rsidRPr="005764F6">
        <w:instrText xml:space="preserve"> REF _Ref435171205 \r \h </w:instrText>
      </w:r>
      <w:r w:rsidR="00825430" w:rsidRPr="005764F6">
        <w:instrText xml:space="preserve"> \* MERGEFORMAT </w:instrText>
      </w:r>
      <w:r w:rsidRPr="005764F6">
        <w:fldChar w:fldCharType="separate"/>
      </w:r>
      <w:r w:rsidR="00881794">
        <w:t>A.15.3</w:t>
      </w:r>
      <w:r w:rsidRPr="005764F6">
        <w:fldChar w:fldCharType="end"/>
      </w:r>
      <w:r w:rsidRPr="005764F6">
        <w:t xml:space="preserve">, where it is shown that the pre-personal tax value of an imputation credit is equal to the face value of the imputation credit. </w:t>
      </w:r>
    </w:p>
    <w:p w:rsidR="00B27BE5" w:rsidRPr="00883125" w:rsidRDefault="00B27BE5" w:rsidP="00B27BE5">
      <w:r w:rsidRPr="00883125">
        <w:t xml:space="preserve">Under the Officer 1994 framework </w:t>
      </w:r>
      <w:r w:rsidR="007B2969">
        <w:t>we are</w:t>
      </w:r>
      <w:r w:rsidRPr="00883125">
        <w:t xml:space="preserve"> effectively assessing the regulated business at the company level (post company tax and pre personal tax and pre personal costs) and a dollar of dividends costs the regulated business one dollar and benefits the shareholder by one dollar. The same argument holds true for imputation credits</w:t>
      </w:r>
      <w:r w:rsidR="00962E28">
        <w:t xml:space="preserve"> distributed to eligible domestic investors</w:t>
      </w:r>
      <w:r w:rsidRPr="00883125">
        <w:t xml:space="preserve">. The issues with dividend drop off studies are further discussed in section </w:t>
      </w:r>
      <w:r w:rsidRPr="00883125">
        <w:fldChar w:fldCharType="begin"/>
      </w:r>
      <w:r w:rsidRPr="00883125">
        <w:instrText xml:space="preserve"> REF _Ref435171205 \r \h </w:instrText>
      </w:r>
      <w:r w:rsidRPr="00883125">
        <w:fldChar w:fldCharType="separate"/>
      </w:r>
      <w:r w:rsidR="00881794">
        <w:t>A.15.3</w:t>
      </w:r>
      <w:r w:rsidRPr="00883125">
        <w:fldChar w:fldCharType="end"/>
      </w:r>
      <w:r w:rsidRPr="00883125">
        <w:t>.</w:t>
      </w:r>
    </w:p>
    <w:p w:rsidR="00243100" w:rsidRPr="005764F6" w:rsidRDefault="00243100" w:rsidP="00B31DF2">
      <w:r w:rsidRPr="005764F6">
        <w:t xml:space="preserve">The Tribunal decision considered </w:t>
      </w:r>
      <w:r w:rsidR="007B2969">
        <w:t>our</w:t>
      </w:r>
      <w:r w:rsidRPr="005764F6">
        <w:t xml:space="preserve"> reasoning ignores the fact that other parameters in the WACC calculation are market values that already incorporate the effects of the difference in investors' tax positon and transaction costs.</w:t>
      </w:r>
      <w:r w:rsidRPr="00B31DF2">
        <w:rPr>
          <w:rStyle w:val="FootnoteReference"/>
        </w:rPr>
        <w:footnoteReference w:id="372"/>
      </w:r>
      <w:r w:rsidRPr="005764F6">
        <w:t xml:space="preserve"> In response we note that we consider our estimates across the rate of return inputs and gamma inputs are consistent and we have not ignored how the rate of return parameters are estimated. For example, as outlined above, when estimating the value of the MRP using historical returns, the value of cash dividends are not assessed on market values which are influenced by pre-personal costs and pre-personal tax factors. For instance:</w:t>
      </w:r>
    </w:p>
    <w:p w:rsidR="00243100" w:rsidRPr="005764F6" w:rsidRDefault="00243100">
      <w:pPr>
        <w:pStyle w:val="AERbulletlistfirststyle"/>
      </w:pPr>
      <w:r w:rsidRPr="005764F6">
        <w:t xml:space="preserve">Unlike the cash dividend and the imputation estimates from market based studies, the return measured from market price of debt securities (both corporate bonds and commonwealth government security) is a genuine post company tax (pre-personal tax and personal costs) return. As noted above, the estimates of the value of cash dividends and imputation credits from market based studies are neither pre nor post-personal tax estimates. They are an estimate of the ordinary income value measured relative to </w:t>
      </w:r>
      <w:r w:rsidRPr="005764F6">
        <w:lastRenderedPageBreak/>
        <w:t xml:space="preserve">capital gains income (that are generally taxed at a lower rate and are therefore more valuable). All other input parameters used in the estimate of the cost of debt and risk free rate, the coupons and principal amount, are valued at 'face value' in order to determine the yield to maturity. That is, our modelling assumes the investors receive the face value of the cash flows on these securities, a post-tax value consistent with the Officer Framework before personal taxes and personal transaction costs are incurred.  </w:t>
      </w:r>
    </w:p>
    <w:p w:rsidR="00243100" w:rsidRPr="005764F6" w:rsidRDefault="00243100">
      <w:pPr>
        <w:pStyle w:val="AERbulletlistfirststyle"/>
      </w:pPr>
      <w:r w:rsidRPr="005764F6">
        <w:t xml:space="preserve">Historical capital gains used in estimating the market risk premium are directly observable post (company) tax returns to investors in the market before personal taxes and personal transaction costs are incurred. </w:t>
      </w:r>
    </w:p>
    <w:p w:rsidR="00243100" w:rsidRPr="005764F6" w:rsidRDefault="00243100" w:rsidP="00B31DF2">
      <w:r w:rsidRPr="005764F6">
        <w:t>In the allowed rate of return framework</w:t>
      </w:r>
      <w:r w:rsidR="007B2969">
        <w:t>,</w:t>
      </w:r>
      <w:r w:rsidRPr="005764F6">
        <w:t xml:space="preserve"> </w:t>
      </w:r>
      <w:r w:rsidR="007B2969">
        <w:t xml:space="preserve">we use </w:t>
      </w:r>
      <w:r w:rsidRPr="005764F6">
        <w:t xml:space="preserve">both market values and face values. In </w:t>
      </w:r>
      <w:r w:rsidR="007B2969">
        <w:fldChar w:fldCharType="begin"/>
      </w:r>
      <w:r w:rsidR="007B2969">
        <w:instrText xml:space="preserve"> REF  _Ref450297354 \* Lower \h  \* MERGEFORMAT </w:instrText>
      </w:r>
      <w:r w:rsidR="007B2969">
        <w:fldChar w:fldCharType="separate"/>
      </w:r>
      <w:r w:rsidR="00881794" w:rsidRPr="00883125">
        <w:t xml:space="preserve">table </w:t>
      </w:r>
      <w:r w:rsidR="00881794">
        <w:rPr>
          <w:noProof/>
        </w:rPr>
        <w:t>4</w:t>
      </w:r>
      <w:r w:rsidR="00881794" w:rsidRPr="00B27BE5">
        <w:rPr>
          <w:noProof/>
        </w:rPr>
        <w:noBreakHyphen/>
      </w:r>
      <w:r w:rsidR="00881794">
        <w:rPr>
          <w:noProof/>
        </w:rPr>
        <w:t>10</w:t>
      </w:r>
      <w:r w:rsidR="007B2969">
        <w:fldChar w:fldCharType="end"/>
      </w:r>
      <w:r w:rsidRPr="005764F6">
        <w:t xml:space="preserve"> below, we highlight all the parameters that are used in order to calculate the return on equity using the CAPM.</w:t>
      </w:r>
    </w:p>
    <w:p w:rsidR="00B27BE5" w:rsidRPr="00B27BE5" w:rsidRDefault="00B27BE5" w:rsidP="00B27BE5">
      <w:pPr>
        <w:pStyle w:val="Caption"/>
      </w:pPr>
      <w:bookmarkStart w:id="128" w:name="_Ref450297354"/>
      <w:bookmarkStart w:id="129" w:name="_Ref450322149"/>
      <w:r w:rsidRPr="00883125">
        <w:t xml:space="preserve">Table </w:t>
      </w:r>
      <w:r w:rsidR="004B4BF3">
        <w:fldChar w:fldCharType="begin"/>
      </w:r>
      <w:r w:rsidR="004B4BF3">
        <w:instrText xml:space="preserve"> STYLEREF 1 \s </w:instrText>
      </w:r>
      <w:r w:rsidR="004B4BF3">
        <w:fldChar w:fldCharType="separate"/>
      </w:r>
      <w:r w:rsidR="00881794">
        <w:rPr>
          <w:noProof/>
        </w:rPr>
        <w:t>4</w:t>
      </w:r>
      <w:r w:rsidR="004B4BF3">
        <w:rPr>
          <w:noProof/>
        </w:rPr>
        <w:fldChar w:fldCharType="end"/>
      </w:r>
      <w:r w:rsidRPr="00B27BE5">
        <w:noBreakHyphen/>
      </w:r>
      <w:r w:rsidR="004B4BF3">
        <w:fldChar w:fldCharType="begin"/>
      </w:r>
      <w:r w:rsidR="004B4BF3">
        <w:instrText xml:space="preserve"> SEQ Table \* ARABIC \s 1 </w:instrText>
      </w:r>
      <w:r w:rsidR="004B4BF3">
        <w:fldChar w:fldCharType="separate"/>
      </w:r>
      <w:r w:rsidR="00881794">
        <w:rPr>
          <w:noProof/>
        </w:rPr>
        <w:t>10</w:t>
      </w:r>
      <w:r w:rsidR="004B4BF3">
        <w:rPr>
          <w:noProof/>
        </w:rPr>
        <w:fldChar w:fldCharType="end"/>
      </w:r>
      <w:bookmarkEnd w:id="128"/>
      <w:r w:rsidRPr="00B27BE5">
        <w:tab/>
        <w:t>Parameters used to determine the return on equity</w:t>
      </w:r>
      <w:bookmarkEnd w:id="129"/>
    </w:p>
    <w:tbl>
      <w:tblPr>
        <w:tblStyle w:val="AERtable-numbers"/>
        <w:tblW w:w="0" w:type="auto"/>
        <w:tblLook w:val="04A0" w:firstRow="1" w:lastRow="0" w:firstColumn="1" w:lastColumn="0" w:noHBand="0" w:noVBand="1"/>
      </w:tblPr>
      <w:tblGrid>
        <w:gridCol w:w="3817"/>
        <w:gridCol w:w="2712"/>
        <w:gridCol w:w="2713"/>
      </w:tblGrid>
      <w:tr w:rsidR="00B27BE5" w:rsidTr="00B27BE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27BE5" w:rsidRPr="00883125" w:rsidRDefault="00B27BE5" w:rsidP="00B27BE5">
            <w:pPr>
              <w:numPr>
                <w:ilvl w:val="0"/>
                <w:numId w:val="24"/>
              </w:numPr>
            </w:pPr>
          </w:p>
        </w:tc>
        <w:tc>
          <w:tcPr>
            <w:tcW w:w="2712" w:type="dxa"/>
          </w:tcPr>
          <w:p w:rsidR="00B27BE5" w:rsidRPr="00883125" w:rsidRDefault="00B27BE5" w:rsidP="00B27BE5">
            <w:pPr>
              <w:numPr>
                <w:ilvl w:val="0"/>
                <w:numId w:val="24"/>
              </w:numPr>
              <w:cnfStyle w:val="100000000000" w:firstRow="1" w:lastRow="0" w:firstColumn="0" w:lastColumn="0" w:oddVBand="0" w:evenVBand="0" w:oddHBand="0" w:evenHBand="0" w:firstRowFirstColumn="0" w:firstRowLastColumn="0" w:lastRowFirstColumn="0" w:lastRowLastColumn="0"/>
            </w:pPr>
            <w:r w:rsidRPr="00883125">
              <w:t>Market Value</w:t>
            </w:r>
          </w:p>
        </w:tc>
        <w:tc>
          <w:tcPr>
            <w:tcW w:w="2713" w:type="dxa"/>
          </w:tcPr>
          <w:p w:rsidR="00B27BE5" w:rsidRPr="00883125" w:rsidRDefault="00243100" w:rsidP="00B27BE5">
            <w:pPr>
              <w:numPr>
                <w:ilvl w:val="0"/>
                <w:numId w:val="24"/>
              </w:numPr>
              <w:cnfStyle w:val="100000000000" w:firstRow="1" w:lastRow="0" w:firstColumn="0" w:lastColumn="0" w:oddVBand="0" w:evenVBand="0" w:oddHBand="0" w:evenHBand="0" w:firstRowFirstColumn="0" w:firstRowLastColumn="0" w:lastRowFirstColumn="0" w:lastRowLastColumn="0"/>
            </w:pPr>
            <w:r>
              <w:t>Face Value</w:t>
            </w:r>
          </w:p>
        </w:tc>
      </w:tr>
      <w:tr w:rsidR="00B27BE5" w:rsidTr="00B27BE5">
        <w:trPr>
          <w:cantSplit/>
        </w:trPr>
        <w:tc>
          <w:tcPr>
            <w:cnfStyle w:val="001000000000" w:firstRow="0" w:lastRow="0" w:firstColumn="1" w:lastColumn="0" w:oddVBand="0" w:evenVBand="0" w:oddHBand="0" w:evenHBand="0" w:firstRowFirstColumn="0" w:firstRowLastColumn="0" w:lastRowFirstColumn="0" w:lastRowLastColumn="0"/>
            <w:tcW w:w="3817" w:type="dxa"/>
          </w:tcPr>
          <w:p w:rsidR="00B27BE5" w:rsidRPr="00883125" w:rsidRDefault="00B27BE5" w:rsidP="00B27BE5">
            <w:pPr>
              <w:numPr>
                <w:ilvl w:val="0"/>
                <w:numId w:val="24"/>
              </w:numPr>
            </w:pPr>
            <w:r w:rsidRPr="00883125">
              <w:t>Risk Free Rate</w:t>
            </w:r>
          </w:p>
        </w:tc>
        <w:tc>
          <w:tcPr>
            <w:tcW w:w="2712"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CGS</w:t>
            </w:r>
          </w:p>
        </w:tc>
        <w:tc>
          <w:tcPr>
            <w:tcW w:w="2713"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Coupon, Principle</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27BE5" w:rsidRPr="00883125" w:rsidRDefault="00B27BE5" w:rsidP="00B27BE5">
            <w:pPr>
              <w:numPr>
                <w:ilvl w:val="0"/>
                <w:numId w:val="24"/>
              </w:numPr>
            </w:pPr>
            <w:r w:rsidRPr="00883125">
              <w:t>Market Risk Premium</w:t>
            </w:r>
          </w:p>
        </w:tc>
        <w:tc>
          <w:tcPr>
            <w:tcW w:w="2712" w:type="dxa"/>
          </w:tcPr>
          <w:p w:rsidR="00B27BE5" w:rsidRPr="00883125" w:rsidRDefault="00B27BE5" w:rsidP="00B27BE5">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of equity</w:t>
            </w:r>
          </w:p>
        </w:tc>
        <w:tc>
          <w:tcPr>
            <w:tcW w:w="2713" w:type="dxa"/>
          </w:tcPr>
          <w:p w:rsidR="00B27BE5" w:rsidRPr="00883125" w:rsidRDefault="00B27BE5" w:rsidP="00B27BE5">
            <w:pPr>
              <w:numPr>
                <w:ilvl w:val="0"/>
                <w:numId w:val="24"/>
              </w:numPr>
              <w:cnfStyle w:val="000000010000" w:firstRow="0" w:lastRow="0" w:firstColumn="0" w:lastColumn="0" w:oddVBand="0" w:evenVBand="0" w:oddHBand="0" w:evenHBand="1" w:firstRowFirstColumn="0" w:firstRowLastColumn="0" w:lastRowFirstColumn="0" w:lastRowLastColumn="0"/>
            </w:pPr>
            <w:r w:rsidRPr="00883125">
              <w:t>Dividends, Imputation credits</w:t>
            </w:r>
          </w:p>
        </w:tc>
      </w:tr>
      <w:tr w:rsidR="00B27BE5" w:rsidTr="00B27BE5">
        <w:trPr>
          <w:cantSplit/>
        </w:trPr>
        <w:tc>
          <w:tcPr>
            <w:cnfStyle w:val="001000000000" w:firstRow="0" w:lastRow="0" w:firstColumn="1" w:lastColumn="0" w:oddVBand="0" w:evenVBand="0" w:oddHBand="0" w:evenHBand="0" w:firstRowFirstColumn="0" w:firstRowLastColumn="0" w:lastRowFirstColumn="0" w:lastRowLastColumn="0"/>
            <w:tcW w:w="3817" w:type="dxa"/>
          </w:tcPr>
          <w:p w:rsidR="00B27BE5" w:rsidRPr="00883125" w:rsidRDefault="00B27BE5" w:rsidP="00B27BE5">
            <w:pPr>
              <w:numPr>
                <w:ilvl w:val="0"/>
                <w:numId w:val="24"/>
              </w:numPr>
            </w:pPr>
            <w:r w:rsidRPr="00883125">
              <w:t>Beta</w:t>
            </w:r>
          </w:p>
        </w:tc>
        <w:tc>
          <w:tcPr>
            <w:tcW w:w="2712"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equity</w:t>
            </w:r>
          </w:p>
        </w:tc>
        <w:tc>
          <w:tcPr>
            <w:tcW w:w="2713"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t>Dividends</w:t>
            </w:r>
          </w:p>
        </w:tc>
      </w:tr>
    </w:tbl>
    <w:p w:rsidR="00243100" w:rsidRPr="005764F6" w:rsidRDefault="00243100" w:rsidP="005053A1">
      <w:r w:rsidRPr="005764F6">
        <w:t xml:space="preserve">As is evident in </w:t>
      </w:r>
      <w:r w:rsidR="007B2969">
        <w:fldChar w:fldCharType="begin"/>
      </w:r>
      <w:r w:rsidR="007B2969">
        <w:instrText xml:space="preserve"> REF  _Ref450297354 \* Lower \h  \* MERGEFORMAT </w:instrText>
      </w:r>
      <w:r w:rsidR="007B2969">
        <w:fldChar w:fldCharType="separate"/>
      </w:r>
      <w:r w:rsidR="00881794" w:rsidRPr="00883125">
        <w:t xml:space="preserve">table </w:t>
      </w:r>
      <w:r w:rsidR="00881794">
        <w:rPr>
          <w:noProof/>
        </w:rPr>
        <w:t>4</w:t>
      </w:r>
      <w:r w:rsidR="00881794" w:rsidRPr="00B27BE5">
        <w:rPr>
          <w:noProof/>
        </w:rPr>
        <w:noBreakHyphen/>
      </w:r>
      <w:r w:rsidR="00881794">
        <w:rPr>
          <w:noProof/>
        </w:rPr>
        <w:t>10</w:t>
      </w:r>
      <w:r w:rsidR="007B2969">
        <w:fldChar w:fldCharType="end"/>
      </w:r>
      <w:r w:rsidRPr="005764F6">
        <w:t xml:space="preserve">, in order to determine the return on equity </w:t>
      </w:r>
      <w:r w:rsidR="00A51232">
        <w:t>we</w:t>
      </w:r>
      <w:r w:rsidRPr="005764F6">
        <w:t xml:space="preserve"> use a combination of market values and face values. When determining whether to use market value or face value, </w:t>
      </w:r>
      <w:r w:rsidR="00A51232">
        <w:t>we</w:t>
      </w:r>
      <w:r w:rsidRPr="005764F6">
        <w:t xml:space="preserve"> ha</w:t>
      </w:r>
      <w:r w:rsidR="00A51232">
        <w:t>ve</w:t>
      </w:r>
      <w:r w:rsidRPr="005764F6">
        <w:t xml:space="preserve"> to consider </w:t>
      </w:r>
      <w:r w:rsidR="00270C63">
        <w:t xml:space="preserve">whether it is consistent with </w:t>
      </w:r>
      <w:r w:rsidRPr="005764F6">
        <w:t xml:space="preserve">the Officer framework. All input parameters in </w:t>
      </w:r>
      <w:r w:rsidR="007B2969">
        <w:fldChar w:fldCharType="begin"/>
      </w:r>
      <w:r w:rsidR="007B2969">
        <w:instrText xml:space="preserve"> REF  _Ref450297354 \* Lower \h  \* MERGEFORMAT </w:instrText>
      </w:r>
      <w:r w:rsidR="007B2969">
        <w:fldChar w:fldCharType="separate"/>
      </w:r>
      <w:r w:rsidR="00881794" w:rsidRPr="00883125">
        <w:t xml:space="preserve">table </w:t>
      </w:r>
      <w:r w:rsidR="00881794">
        <w:rPr>
          <w:noProof/>
        </w:rPr>
        <w:t>4</w:t>
      </w:r>
      <w:r w:rsidR="00881794" w:rsidRPr="00B27BE5">
        <w:rPr>
          <w:noProof/>
        </w:rPr>
        <w:noBreakHyphen/>
      </w:r>
      <w:r w:rsidR="00881794">
        <w:rPr>
          <w:noProof/>
        </w:rPr>
        <w:t>10</w:t>
      </w:r>
      <w:r w:rsidR="007B2969">
        <w:fldChar w:fldCharType="end"/>
      </w:r>
      <w:r w:rsidRPr="005764F6">
        <w:t xml:space="preserve"> are to measure cost of equity on the post-company tax but pre-personal tax and personal costs basis and reflect the cost faced by the firm. For instance, the return measured from the market price of equity is the post company tax value investors actually receive before they pay personal taxes and this market price reflects the cost of equity if a firm tried to issue new capital. Similarly, the face value of dividends and imputation credits reflects the post company tax cost to the firm and is the value before personal taxes are incurred. Hence they are post-company tax (pre-personal tax and personal costs) values.</w:t>
      </w:r>
    </w:p>
    <w:p w:rsidR="00B27BE5" w:rsidRPr="005764F6" w:rsidRDefault="00B27BE5">
      <w:r w:rsidRPr="005764F6">
        <w:t>Similarly</w:t>
      </w:r>
      <w:r w:rsidR="00A51232">
        <w:t>,</w:t>
      </w:r>
      <w:r w:rsidRPr="005764F6">
        <w:t xml:space="preserve"> </w:t>
      </w:r>
      <w:r w:rsidR="00A51232">
        <w:t>we</w:t>
      </w:r>
      <w:r w:rsidRPr="005764F6">
        <w:t xml:space="preserve"> use a mixture of market values and face values to determine the return on debt. This is demonstrated in </w:t>
      </w:r>
      <w:r w:rsidR="007B2969">
        <w:fldChar w:fldCharType="begin"/>
      </w:r>
      <w:r w:rsidR="007B2969">
        <w:instrText xml:space="preserve"> REF  _Ref450297391 \* Lower \h  \* MERGEFORMAT </w:instrText>
      </w:r>
      <w:r w:rsidR="007B2969">
        <w:fldChar w:fldCharType="separate"/>
      </w:r>
      <w:r w:rsidR="00881794" w:rsidRPr="005764F6">
        <w:t xml:space="preserve">table </w:t>
      </w:r>
      <w:r w:rsidR="00881794">
        <w:rPr>
          <w:noProof/>
        </w:rPr>
        <w:t>4</w:t>
      </w:r>
      <w:r w:rsidR="00881794" w:rsidRPr="005764F6">
        <w:rPr>
          <w:noProof/>
        </w:rPr>
        <w:noBreakHyphen/>
      </w:r>
      <w:r w:rsidR="00881794">
        <w:rPr>
          <w:noProof/>
        </w:rPr>
        <w:t>11</w:t>
      </w:r>
      <w:r w:rsidR="007B2969">
        <w:fldChar w:fldCharType="end"/>
      </w:r>
      <w:r w:rsidRPr="005764F6">
        <w:t>.</w:t>
      </w:r>
    </w:p>
    <w:p w:rsidR="00B27BE5" w:rsidRPr="005764F6" w:rsidRDefault="00B27BE5" w:rsidP="005764F6">
      <w:pPr>
        <w:pStyle w:val="Tabletitle"/>
      </w:pPr>
      <w:bookmarkStart w:id="130" w:name="_Ref450297391"/>
      <w:r w:rsidRPr="005764F6">
        <w:t xml:space="preserve">Table </w:t>
      </w:r>
      <w:r w:rsidR="004B4BF3">
        <w:fldChar w:fldCharType="begin"/>
      </w:r>
      <w:r w:rsidR="004B4BF3">
        <w:instrText xml:space="preserve"> STYLEREF 1 \s </w:instrText>
      </w:r>
      <w:r w:rsidR="004B4BF3">
        <w:fldChar w:fldCharType="separate"/>
      </w:r>
      <w:r w:rsidR="00881794">
        <w:rPr>
          <w:noProof/>
        </w:rPr>
        <w:t>4</w:t>
      </w:r>
      <w:r w:rsidR="004B4BF3">
        <w:rPr>
          <w:noProof/>
        </w:rPr>
        <w:fldChar w:fldCharType="end"/>
      </w:r>
      <w:r w:rsidRPr="005764F6">
        <w:noBreakHyphen/>
      </w:r>
      <w:r w:rsidR="004B4BF3">
        <w:fldChar w:fldCharType="begin"/>
      </w:r>
      <w:r w:rsidR="004B4BF3">
        <w:instrText xml:space="preserve"> SEQ Table \* ARABIC \s 1 </w:instrText>
      </w:r>
      <w:r w:rsidR="004B4BF3">
        <w:fldChar w:fldCharType="separate"/>
      </w:r>
      <w:r w:rsidR="00881794">
        <w:rPr>
          <w:noProof/>
        </w:rPr>
        <w:t>11</w:t>
      </w:r>
      <w:r w:rsidR="004B4BF3">
        <w:rPr>
          <w:noProof/>
        </w:rPr>
        <w:fldChar w:fldCharType="end"/>
      </w:r>
      <w:bookmarkEnd w:id="130"/>
      <w:r w:rsidRPr="005764F6">
        <w:tab/>
        <w:t>Parameters used to determine the return on debt</w:t>
      </w:r>
    </w:p>
    <w:tbl>
      <w:tblPr>
        <w:tblStyle w:val="AERtable-numbers"/>
        <w:tblW w:w="0" w:type="auto"/>
        <w:tblLook w:val="04A0" w:firstRow="1" w:lastRow="0" w:firstColumn="1" w:lastColumn="0" w:noHBand="0" w:noVBand="1"/>
      </w:tblPr>
      <w:tblGrid>
        <w:gridCol w:w="3817"/>
        <w:gridCol w:w="2712"/>
        <w:gridCol w:w="2713"/>
      </w:tblGrid>
      <w:tr w:rsidR="00B27BE5" w:rsidRPr="00663AD0" w:rsidTr="00B27BE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27BE5" w:rsidRPr="005764F6" w:rsidRDefault="00B27BE5" w:rsidP="005764F6"/>
        </w:tc>
        <w:tc>
          <w:tcPr>
            <w:tcW w:w="2712" w:type="dxa"/>
          </w:tcPr>
          <w:p w:rsidR="00B27BE5" w:rsidRPr="005764F6" w:rsidRDefault="00B27BE5" w:rsidP="005764F6">
            <w:pPr>
              <w:cnfStyle w:val="100000000000" w:firstRow="1" w:lastRow="0" w:firstColumn="0" w:lastColumn="0" w:oddVBand="0" w:evenVBand="0" w:oddHBand="0" w:evenHBand="0" w:firstRowFirstColumn="0" w:firstRowLastColumn="0" w:lastRowFirstColumn="0" w:lastRowLastColumn="0"/>
            </w:pPr>
            <w:r w:rsidRPr="005764F6">
              <w:t>Market Value</w:t>
            </w:r>
          </w:p>
        </w:tc>
        <w:tc>
          <w:tcPr>
            <w:tcW w:w="2713" w:type="dxa"/>
          </w:tcPr>
          <w:p w:rsidR="00B27BE5" w:rsidRPr="005764F6" w:rsidRDefault="00243100" w:rsidP="005764F6">
            <w:pPr>
              <w:cnfStyle w:val="100000000000" w:firstRow="1" w:lastRow="0" w:firstColumn="0" w:lastColumn="0" w:oddVBand="0" w:evenVBand="0" w:oddHBand="0" w:evenHBand="0" w:firstRowFirstColumn="0" w:firstRowLastColumn="0" w:lastRowFirstColumn="0" w:lastRowLastColumn="0"/>
            </w:pPr>
            <w:r w:rsidRPr="005764F6">
              <w:t>Face Value</w:t>
            </w:r>
          </w:p>
        </w:tc>
      </w:tr>
      <w:tr w:rsidR="00B27BE5" w:rsidRPr="00663AD0" w:rsidTr="00B27BE5">
        <w:trPr>
          <w:cantSplit/>
        </w:trPr>
        <w:tc>
          <w:tcPr>
            <w:cnfStyle w:val="001000000000" w:firstRow="0" w:lastRow="0" w:firstColumn="1" w:lastColumn="0" w:oddVBand="0" w:evenVBand="0" w:oddHBand="0" w:evenHBand="0" w:firstRowFirstColumn="0" w:firstRowLastColumn="0" w:lastRowFirstColumn="0" w:lastRowLastColumn="0"/>
            <w:tcW w:w="3817" w:type="dxa"/>
          </w:tcPr>
          <w:p w:rsidR="00B27BE5" w:rsidRPr="005764F6" w:rsidRDefault="00B27BE5" w:rsidP="005764F6">
            <w:r w:rsidRPr="005764F6">
              <w:t>Return on debt</w:t>
            </w:r>
          </w:p>
        </w:tc>
        <w:tc>
          <w:tcPr>
            <w:tcW w:w="2712" w:type="dxa"/>
          </w:tcPr>
          <w:p w:rsidR="00B27BE5" w:rsidRPr="005764F6" w:rsidRDefault="00B27BE5" w:rsidP="005764F6">
            <w:pPr>
              <w:cnfStyle w:val="000000000000" w:firstRow="0" w:lastRow="0" w:firstColumn="0" w:lastColumn="0" w:oddVBand="0" w:evenVBand="0" w:oddHBand="0" w:evenHBand="0" w:firstRowFirstColumn="0" w:firstRowLastColumn="0" w:lastRowFirstColumn="0" w:lastRowLastColumn="0"/>
            </w:pPr>
            <w:r w:rsidRPr="005764F6">
              <w:t>Price of debt</w:t>
            </w:r>
          </w:p>
        </w:tc>
        <w:tc>
          <w:tcPr>
            <w:tcW w:w="2713" w:type="dxa"/>
          </w:tcPr>
          <w:p w:rsidR="00B27BE5" w:rsidRPr="005764F6" w:rsidRDefault="00B27BE5" w:rsidP="005764F6">
            <w:pPr>
              <w:cnfStyle w:val="000000000000" w:firstRow="0" w:lastRow="0" w:firstColumn="0" w:lastColumn="0" w:oddVBand="0" w:evenVBand="0" w:oddHBand="0" w:evenHBand="0" w:firstRowFirstColumn="0" w:firstRowLastColumn="0" w:lastRowFirstColumn="0" w:lastRowLastColumn="0"/>
            </w:pPr>
            <w:r w:rsidRPr="005764F6">
              <w:t>Coupon, Principle</w:t>
            </w:r>
          </w:p>
        </w:tc>
      </w:tr>
      <w:tr w:rsidR="00B27BE5" w:rsidRPr="00663AD0" w:rsidTr="00B27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27BE5" w:rsidRPr="005764F6" w:rsidRDefault="00B27BE5" w:rsidP="005764F6">
            <w:r w:rsidRPr="005764F6">
              <w:t>Risk Free Rate</w:t>
            </w:r>
          </w:p>
        </w:tc>
        <w:tc>
          <w:tcPr>
            <w:tcW w:w="2712" w:type="dxa"/>
          </w:tcPr>
          <w:p w:rsidR="00B27BE5" w:rsidRPr="005764F6" w:rsidRDefault="00B27BE5" w:rsidP="005764F6">
            <w:pPr>
              <w:cnfStyle w:val="000000010000" w:firstRow="0" w:lastRow="0" w:firstColumn="0" w:lastColumn="0" w:oddVBand="0" w:evenVBand="0" w:oddHBand="0" w:evenHBand="1" w:firstRowFirstColumn="0" w:firstRowLastColumn="0" w:lastRowFirstColumn="0" w:lastRowLastColumn="0"/>
            </w:pPr>
            <w:r w:rsidRPr="005764F6">
              <w:t>Price of CGS</w:t>
            </w:r>
          </w:p>
        </w:tc>
        <w:tc>
          <w:tcPr>
            <w:tcW w:w="2713" w:type="dxa"/>
          </w:tcPr>
          <w:p w:rsidR="00B27BE5" w:rsidRPr="005764F6" w:rsidRDefault="00B27BE5" w:rsidP="005764F6">
            <w:pPr>
              <w:cnfStyle w:val="000000010000" w:firstRow="0" w:lastRow="0" w:firstColumn="0" w:lastColumn="0" w:oddVBand="0" w:evenVBand="0" w:oddHBand="0" w:evenHBand="1" w:firstRowFirstColumn="0" w:firstRowLastColumn="0" w:lastRowFirstColumn="0" w:lastRowLastColumn="0"/>
            </w:pPr>
            <w:r w:rsidRPr="005764F6">
              <w:t>Coupon, Principle</w:t>
            </w:r>
          </w:p>
        </w:tc>
      </w:tr>
    </w:tbl>
    <w:p w:rsidR="00243100" w:rsidRPr="005764F6" w:rsidRDefault="00243100" w:rsidP="005053A1">
      <w:r w:rsidRPr="005764F6">
        <w:t xml:space="preserve">As is evident in </w:t>
      </w:r>
      <w:r w:rsidR="007B2969">
        <w:fldChar w:fldCharType="begin"/>
      </w:r>
      <w:r w:rsidR="007B2969">
        <w:instrText xml:space="preserve"> REF  _Ref450297391 \* Lower \h  \* MERGEFORMAT </w:instrText>
      </w:r>
      <w:r w:rsidR="007B2969">
        <w:fldChar w:fldCharType="separate"/>
      </w:r>
      <w:r w:rsidR="00881794" w:rsidRPr="005764F6">
        <w:t xml:space="preserve">table </w:t>
      </w:r>
      <w:r w:rsidR="00881794">
        <w:rPr>
          <w:noProof/>
        </w:rPr>
        <w:t>4</w:t>
      </w:r>
      <w:r w:rsidR="00881794" w:rsidRPr="005764F6">
        <w:rPr>
          <w:noProof/>
        </w:rPr>
        <w:noBreakHyphen/>
      </w:r>
      <w:r w:rsidR="00881794">
        <w:rPr>
          <w:noProof/>
        </w:rPr>
        <w:t>11</w:t>
      </w:r>
      <w:r w:rsidR="007B2969">
        <w:fldChar w:fldCharType="end"/>
      </w:r>
      <w:r w:rsidRPr="005764F6">
        <w:t xml:space="preserve">, the return on debt estimated via the yield to maturity is determined from using a combination of market values and face values. All input parameters are to measure the cost of debt on a post-company tax but pre-personal tax basis. For example, the debt holder has to pay personal tax on the face value of the coupon payments and if a bond holder sells their bond they have to pay personal on the return measured from </w:t>
      </w:r>
      <w:r w:rsidRPr="005764F6">
        <w:lastRenderedPageBreak/>
        <w:t>market price of the bond. The input parameters also reflect the cost faced by the firm. The firm has to pay the face value of the coupon and principal to the bond holders. Also the market price of a bond determines how much funds a firm can raise given a certain coupon and principal payment.</w:t>
      </w:r>
    </w:p>
    <w:p w:rsidR="009B3753" w:rsidRPr="005053A1" w:rsidRDefault="009B3753" w:rsidP="005053A1">
      <w:r w:rsidRPr="005053A1">
        <w:t xml:space="preserve">Consistent with </w:t>
      </w:r>
      <w:r w:rsidR="00A51232">
        <w:t>our view</w:t>
      </w:r>
      <w:r w:rsidRPr="005053A1">
        <w:t>, Lally does not consider there is an inconsistency with the cost of debt and equity being market rates and the utilisation rate being determined on the face value:</w:t>
      </w:r>
      <w:r w:rsidRPr="005053A1">
        <w:rPr>
          <w:rStyle w:val="FootnoteReference"/>
        </w:rPr>
        <w:footnoteReference w:id="373"/>
      </w:r>
    </w:p>
    <w:p w:rsidR="009B3753" w:rsidRPr="00663AD0" w:rsidRDefault="009B3753" w:rsidP="005764F6">
      <w:pPr>
        <w:pStyle w:val="AERquote"/>
        <w:rPr>
          <w:rStyle w:val="AERtexthighlight"/>
        </w:rPr>
      </w:pPr>
      <w:r>
        <w:t>Both the cost of equity and theta appear in equation (1), with the cost of equity being a market rate and theta not being a market value. This equation arises from the set of assumptions underlying the Officer (1994) model.</w:t>
      </w:r>
    </w:p>
    <w:p w:rsidR="00243100" w:rsidRPr="005764F6" w:rsidRDefault="00243100">
      <w:r w:rsidRPr="005764F6">
        <w:t>All allowed rate of return parameters are estimated on a post company tax basis before personal taxes are incurred. For capital gains component of return on equity estimate, investors have to pay capital gains tax on the post company tax capital gain. For the dividend income grossed up with redeemable imputation credits and interest income of bonds, investors pay personal tax at their marginal tax rate on the post company tax income. Importantly, the allowed return we estimate is estimated from observed post company tax returns before these personal taxes are incurred. As a result, all input parameters into the allowed rate of return are genuine post company tax estimates before personal taxes are incurred.</w:t>
      </w:r>
    </w:p>
    <w:p w:rsidR="00243100" w:rsidRPr="005764F6" w:rsidRDefault="00243100">
      <w:r w:rsidRPr="005764F6">
        <w:t>Further, all input parameters in the allowed rate of return are also estimated on a pre-personal cost basis. For example, all components of the return on equity (capital gain, dividends and imputation credits) are estimated pre-personal costs. If an investor wants to realise their capital gains by selling their stock, they have to pay transaction costs like brokerage fees and costs associated with filling in a tax return. These costs are not accounted for in our post-tax regulatory framework. Similarly, for dividends and bond returns, personal costs are incurred by investors when realising these returns and these costs are not accounted for in our regulatory framework. The allowed return we estimate is estimated from observed post company tax returns before these personal costs and taxes are incurred (</w:t>
      </w:r>
      <w:r w:rsidR="00A51232">
        <w:t>for example.</w:t>
      </w:r>
      <w:r w:rsidRPr="005764F6">
        <w:t xml:space="preserve"> historical estimates of the MRP are before personal costs have been incurred).</w:t>
      </w:r>
    </w:p>
    <w:p w:rsidR="00B27BE5" w:rsidRPr="00883125" w:rsidRDefault="00B27BE5" w:rsidP="00B27BE5">
      <w:pPr>
        <w:pStyle w:val="Heading9"/>
      </w:pPr>
      <w:bookmarkStart w:id="131" w:name="_Toc450119269"/>
      <w:bookmarkStart w:id="132" w:name="_Toc450119429"/>
      <w:bookmarkStart w:id="133" w:name="_Ref414099389"/>
      <w:bookmarkEnd w:id="131"/>
      <w:bookmarkEnd w:id="132"/>
      <w:r w:rsidRPr="00883125">
        <w:t>Factors affecting investors' valuation of imputation credits</w:t>
      </w:r>
      <w:bookmarkEnd w:id="133"/>
    </w:p>
    <w:p w:rsidR="00B27BE5" w:rsidRPr="00883125" w:rsidRDefault="00B27BE5" w:rsidP="00B27BE5">
      <w:r w:rsidRPr="00883125">
        <w:t>A number of service providers submitted that estimates of the utilisation value</w:t>
      </w:r>
      <w:r w:rsidRPr="00883125" w:rsidDel="00D229D2">
        <w:t xml:space="preserve"> </w:t>
      </w:r>
      <w:r w:rsidRPr="00883125">
        <w:t>from the equity ownership approach and tax statistics do not reflect a number of factors which affect investors' valuation of imputation credits.</w:t>
      </w:r>
      <w:r w:rsidRPr="00883125">
        <w:rPr>
          <w:rStyle w:val="FootnoteReference"/>
        </w:rPr>
        <w:footnoteReference w:id="374"/>
      </w:r>
      <w:r w:rsidRPr="00883125">
        <w:t xml:space="preserve">  </w:t>
      </w:r>
      <w:r w:rsidR="00A51232">
        <w:t>They</w:t>
      </w:r>
      <w:r w:rsidRPr="00883125">
        <w:t xml:space="preserve"> submitted the equity ownership approach </w:t>
      </w:r>
      <w:r w:rsidRPr="00883125">
        <w:lastRenderedPageBreak/>
        <w:t>is at best an upper bound as domestic investors cannot use imputation credits due to the 45 day rule and investors tha</w:t>
      </w:r>
      <w:r w:rsidR="00CB38D8">
        <w:t>t</w:t>
      </w:r>
      <w:r w:rsidRPr="00883125">
        <w:t xml:space="preserve"> can use imputation credit do not value them at full face value.</w:t>
      </w:r>
      <w:r w:rsidRPr="00883125">
        <w:rPr>
          <w:rStyle w:val="FootnoteReference"/>
        </w:rPr>
        <w:footnoteReference w:id="375"/>
      </w:r>
      <w:r w:rsidRPr="00883125">
        <w:t xml:space="preserve"> Service providers submit that tax statistics provide a closer value of imputation credits in comparison to equity ownership, but it still fails to recognise that investors might value imputation credits at less than face value due to transaction costs, time value of money and portfolio effects.</w:t>
      </w:r>
      <w:r w:rsidRPr="00883125">
        <w:rPr>
          <w:rStyle w:val="FootnoteReference"/>
        </w:rPr>
        <w:footnoteReference w:id="376"/>
      </w:r>
      <w:r w:rsidRPr="00883125">
        <w:t xml:space="preserve"> Gray (for Frontier) supports this by submitting that </w:t>
      </w:r>
      <w:r w:rsidR="00CB38D8">
        <w:t xml:space="preserve">the </w:t>
      </w:r>
      <w:r w:rsidRPr="00883125">
        <w:t>redemption rate should be used as an upper bound (0.45-0.46) for utilisation value and that it should not be used as a point estimate for the utilisation rate.</w:t>
      </w:r>
      <w:r w:rsidRPr="00883125">
        <w:rPr>
          <w:rStyle w:val="FootnoteReference"/>
        </w:rPr>
        <w:footnoteReference w:id="377"/>
      </w:r>
      <w:r w:rsidRPr="00883125">
        <w:t xml:space="preserve"> Gray (for Frontier) considers that the tax statistics estimate should be preferred to the equity ownership estimate.</w:t>
      </w:r>
      <w:r w:rsidRPr="00883125">
        <w:rPr>
          <w:rStyle w:val="FootnoteReference"/>
        </w:rPr>
        <w:footnoteReference w:id="378"/>
      </w:r>
    </w:p>
    <w:p w:rsidR="00B27BE5" w:rsidRPr="00883125" w:rsidRDefault="00A51232" w:rsidP="00B27BE5">
      <w:r>
        <w:t>We</w:t>
      </w:r>
      <w:r w:rsidR="00B27BE5" w:rsidRPr="00883125">
        <w:t xml:space="preserve"> addressed each of these factors in our prior decisions, and concluded that they are either immaterial or should not be accounted for when estimating the properly defined utilisation value. Nothing in the service providers' revised</w:t>
      </w:r>
      <w:r>
        <w:t xml:space="preserve"> proposals</w:t>
      </w:r>
      <w:r w:rsidR="00B27BE5" w:rsidRPr="00883125">
        <w:t xml:space="preserve">, </w:t>
      </w:r>
      <w:r>
        <w:t>n</w:t>
      </w:r>
      <w:r w:rsidR="00B27BE5" w:rsidRPr="00883125">
        <w:t xml:space="preserve">or in the </w:t>
      </w:r>
      <w:r>
        <w:t xml:space="preserve">recent </w:t>
      </w:r>
      <w:r w:rsidR="00B27BE5" w:rsidRPr="00883125">
        <w:t>Tribunal decision</w:t>
      </w:r>
      <w:r>
        <w:t>s</w:t>
      </w:r>
      <w:r w:rsidR="00E55DE8">
        <w:t xml:space="preserve"> referenced in service providers' late submissions</w:t>
      </w:r>
      <w:r>
        <w:t>,</w:t>
      </w:r>
      <w:r w:rsidR="00B27BE5" w:rsidRPr="00883125">
        <w:t xml:space="preserve"> give us cause to change this conclusion. To the extent time has permitted we have expanded on the following points in other sections of this decision:</w:t>
      </w:r>
    </w:p>
    <w:p w:rsidR="00B27BE5" w:rsidRPr="00B27BE5" w:rsidRDefault="00B27BE5" w:rsidP="00B27BE5">
      <w:pPr>
        <w:pStyle w:val="AERbulletlistfirststyle"/>
      </w:pPr>
      <w:r w:rsidRPr="00883125">
        <w:t xml:space="preserve">Why estimates from tax </w:t>
      </w:r>
      <w:r w:rsidRPr="00B27BE5">
        <w:t>statistics and the equity ownership approach are not upper bounds and can be used as valid point estimates for the utilisation rate (or theta). See section</w:t>
      </w:r>
      <w:r w:rsidR="00CB38D8">
        <w:t>s</w:t>
      </w:r>
      <w:r w:rsidRPr="00B27BE5">
        <w:t xml:space="preserve"> </w:t>
      </w:r>
      <w:r w:rsidR="00CB38D8">
        <w:fldChar w:fldCharType="begin"/>
      </w:r>
      <w:r w:rsidR="00CB38D8">
        <w:instrText xml:space="preserve"> REF _Ref415049811 \r \h </w:instrText>
      </w:r>
      <w:r w:rsidR="00CB38D8">
        <w:fldChar w:fldCharType="separate"/>
      </w:r>
      <w:r w:rsidR="00881794">
        <w:t>A.12</w:t>
      </w:r>
      <w:r w:rsidR="00CB38D8">
        <w:fldChar w:fldCharType="end"/>
      </w:r>
      <w:r w:rsidRPr="00B27BE5">
        <w:t xml:space="preserve">, </w:t>
      </w:r>
      <w:r w:rsidR="00CB38D8">
        <w:fldChar w:fldCharType="begin"/>
      </w:r>
      <w:r w:rsidR="00CB38D8">
        <w:instrText xml:space="preserve"> REF _Ref402179420 \r \h </w:instrText>
      </w:r>
      <w:r w:rsidR="00CB38D8">
        <w:fldChar w:fldCharType="separate"/>
      </w:r>
      <w:r w:rsidR="00881794">
        <w:t>A.13</w:t>
      </w:r>
      <w:r w:rsidR="00CB38D8">
        <w:fldChar w:fldCharType="end"/>
      </w:r>
    </w:p>
    <w:p w:rsidR="00B27BE5" w:rsidRPr="00883125" w:rsidRDefault="00B27BE5" w:rsidP="005764F6">
      <w:pPr>
        <w:pStyle w:val="AERbulletlistfirststyle"/>
      </w:pPr>
      <w:r w:rsidRPr="00883125">
        <w:t xml:space="preserve">Why the 45 day rule </w:t>
      </w:r>
      <w:r w:rsidR="00DC3A89">
        <w:t>and other fact</w:t>
      </w:r>
      <w:r w:rsidR="0050254E">
        <w:t>or</w:t>
      </w:r>
      <w:r w:rsidR="00DC3A89">
        <w:t xml:space="preserve">s preventing utilisation by eligible investors </w:t>
      </w:r>
      <w:r w:rsidR="0050254E">
        <w:t>are</w:t>
      </w:r>
      <w:r w:rsidRPr="00883125">
        <w:t xml:space="preserve"> not expected to be responsible for </w:t>
      </w:r>
      <w:r w:rsidRPr="00B27BE5">
        <w:t>the difference between the estimated utilisation rate from tax statistics and the equity ownership approach. Se</w:t>
      </w:r>
      <w:r w:rsidR="00CB38D8">
        <w:t>e the following sub section.</w:t>
      </w:r>
    </w:p>
    <w:p w:rsidR="00B27BE5" w:rsidRPr="00883125" w:rsidRDefault="00B27BE5" w:rsidP="00B27BE5">
      <w:pPr>
        <w:pStyle w:val="HeadingBoldBlue"/>
        <w:numPr>
          <w:ilvl w:val="0"/>
          <w:numId w:val="24"/>
        </w:numPr>
      </w:pPr>
      <w:r w:rsidRPr="00883125">
        <w:t>The 45-day holding rule</w:t>
      </w:r>
    </w:p>
    <w:p w:rsidR="00B27BE5" w:rsidRPr="00883125" w:rsidRDefault="00B27BE5" w:rsidP="00B27BE5">
      <w:pPr>
        <w:numPr>
          <w:ilvl w:val="0"/>
          <w:numId w:val="24"/>
        </w:numPr>
      </w:pPr>
      <w:r w:rsidRPr="00883125">
        <w:t>To be eligible to utilise imputation credits, an otherwise-eligible investor must have held the shares that distributed the credits ‘at risk’ for at least 45 days (90 days for certain preference shares).</w:t>
      </w:r>
      <w:r w:rsidRPr="00883125">
        <w:rPr>
          <w:rStyle w:val="FootnoteReference"/>
        </w:rPr>
        <w:footnoteReference w:id="379"/>
      </w:r>
      <w:r w:rsidRPr="00883125">
        <w:t xml:space="preserve"> However, this rule does not apply if the investor's total credit entitlement is below $5,000.</w:t>
      </w:r>
    </w:p>
    <w:p w:rsidR="00B27BE5" w:rsidRPr="00883125" w:rsidRDefault="00B27BE5" w:rsidP="00B27BE5">
      <w:pPr>
        <w:numPr>
          <w:ilvl w:val="0"/>
          <w:numId w:val="24"/>
        </w:numPr>
      </w:pPr>
      <w:r w:rsidRPr="00883125">
        <w:lastRenderedPageBreak/>
        <w:t>A number of service providers stated:</w:t>
      </w:r>
      <w:r w:rsidRPr="00883125">
        <w:rPr>
          <w:rStyle w:val="FootnoteReference"/>
        </w:rPr>
        <w:footnoteReference w:id="380"/>
      </w:r>
    </w:p>
    <w:p w:rsidR="00B27BE5" w:rsidRPr="00883125" w:rsidRDefault="00B27BE5" w:rsidP="00B27BE5">
      <w:pPr>
        <w:pStyle w:val="AERquote"/>
      </w:pPr>
      <w:r w:rsidRPr="00883125">
        <w:t>It has been estimated that the 45-day rule has about a 5-10% impact on the redemption rate.</w:t>
      </w:r>
    </w:p>
    <w:p w:rsidR="00B27BE5" w:rsidRPr="00883125" w:rsidRDefault="00B27BE5" w:rsidP="00B27BE5">
      <w:pPr>
        <w:numPr>
          <w:ilvl w:val="0"/>
          <w:numId w:val="24"/>
        </w:numPr>
      </w:pPr>
      <w:r w:rsidRPr="00883125">
        <w:t>The source of this estimate is a 2010 paper by Handley. The relevant passage from this paper is:</w:t>
      </w:r>
      <w:r w:rsidRPr="00883125">
        <w:rPr>
          <w:rStyle w:val="FootnoteReference"/>
        </w:rPr>
        <w:footnoteReference w:id="381"/>
      </w:r>
    </w:p>
    <w:p w:rsidR="00B27BE5" w:rsidRPr="00883125" w:rsidRDefault="00B27BE5" w:rsidP="00B27BE5">
      <w:pPr>
        <w:pStyle w:val="AERquote"/>
      </w:pPr>
      <w:r w:rsidRPr="00883125">
        <w:t>Post 1 July 2000, [Handley and Maheswaran in their 2008 paper]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[Handley and Maheswaran]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 5-10% impact on the utilisation rate.)</w:t>
      </w:r>
    </w:p>
    <w:p w:rsidR="00B27BE5" w:rsidRPr="00883125" w:rsidRDefault="00B27BE5" w:rsidP="00B27BE5">
      <w:pPr>
        <w:numPr>
          <w:ilvl w:val="0"/>
          <w:numId w:val="24"/>
        </w:numPr>
      </w:pPr>
      <w:r w:rsidRPr="00883125">
        <w:t>Thus, it seems the service providers' submission as to the impact of the 45-day holding rule misinterprets the source data upon which it relies, being Handley and Maheswaran's 2008 paper. It does not appear that Handley ever intended the 5 to 10 per cent figure to be considered a point estimate of the effect of the 45-day holding rule. Rather, we consider that it was presented as a ‘guide’ to the maximum theoretical effect of the rule’s operation as indicated by the analysis conducted in Handley and Maheswaran. Our interpretation of Handley’s intention is supported by the fact that in their paper Handley and Maheswaran consider the post-2000 utilisation rate to be 1. That is, we consider that if Handley and Maheswaran had available to them a reliable estimate of the effect of the 45-day holding rule, then they would have used it. As Handley stated in his 2010 paper, he 'is not aware of any data on the extent to which credits have been denied pursuant to this rule'.</w:t>
      </w:r>
      <w:r w:rsidRPr="00883125">
        <w:rPr>
          <w:rStyle w:val="FootnoteReference"/>
        </w:rPr>
        <w:footnoteReference w:id="382"/>
      </w:r>
      <w:r w:rsidRPr="00883125">
        <w:t xml:space="preserve"> Handley maintained this view in his April 2015 report.</w:t>
      </w:r>
      <w:r w:rsidRPr="00883125">
        <w:rPr>
          <w:rStyle w:val="FootnoteReference"/>
        </w:rPr>
        <w:footnoteReference w:id="383"/>
      </w:r>
    </w:p>
    <w:p w:rsidR="00B27BE5" w:rsidRPr="00883125" w:rsidRDefault="00B27BE5" w:rsidP="00B27BE5">
      <w:pPr>
        <w:numPr>
          <w:ilvl w:val="0"/>
          <w:numId w:val="24"/>
        </w:numPr>
      </w:pPr>
      <w:r w:rsidRPr="00883125">
        <w:t xml:space="preserve">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w:t>
      </w:r>
      <w:r w:rsidRPr="00883125">
        <w:lastRenderedPageBreak/>
        <w:t>reflect that credits for eligible investors that did not have a tax liability were not refundable in those years (whereas they are now refundable for cash).</w:t>
      </w:r>
    </w:p>
    <w:p w:rsidR="00B27BE5" w:rsidRPr="00883125" w:rsidRDefault="00E55DE8" w:rsidP="00B27BE5">
      <w:pPr>
        <w:numPr>
          <w:ilvl w:val="0"/>
          <w:numId w:val="24"/>
        </w:numPr>
      </w:pPr>
      <w:r>
        <w:t xml:space="preserve">In their late submissions, </w:t>
      </w:r>
      <w:r w:rsidR="00B27BE5" w:rsidRPr="00883125">
        <w:t xml:space="preserve">United Energy, </w:t>
      </w:r>
      <w:r>
        <w:t xml:space="preserve">ActewAGL, </w:t>
      </w:r>
      <w:r w:rsidR="00164D25" w:rsidRPr="00883125">
        <w:t>CitiPower</w:t>
      </w:r>
      <w:r w:rsidR="00B27BE5" w:rsidRPr="00883125">
        <w:t xml:space="preserve"> and Powercor</w:t>
      </w:r>
      <w:r>
        <w:t xml:space="preserve"> submitted</w:t>
      </w:r>
      <w:r w:rsidR="00B27BE5" w:rsidRPr="00883125">
        <w:t xml:space="preserve"> the Tribunal did not agree with ou</w:t>
      </w:r>
      <w:r w:rsidR="00B27BE5">
        <w:t>r</w:t>
      </w:r>
      <w:r w:rsidR="00B27BE5" w:rsidRPr="00883125">
        <w:t xml:space="preserve"> position.</w:t>
      </w:r>
      <w:r w:rsidR="00B27BE5" w:rsidRPr="00883125">
        <w:rPr>
          <w:rStyle w:val="FootnoteReference"/>
        </w:rPr>
        <w:footnoteReference w:id="384"/>
      </w:r>
      <w:r w:rsidR="00B27BE5" w:rsidRPr="00883125">
        <w:t xml:space="preserve"> The Tribunal considered that the issue is not whether such a class exists (domestic investors that hold for less than 45 days), but the size of that class to which the value of imputation credits is lower as a result of domestic shareholders being unable to use them.</w:t>
      </w:r>
      <w:r w:rsidR="00B27BE5" w:rsidRPr="00883125">
        <w:rPr>
          <w:rStyle w:val="FootnoteReference"/>
        </w:rPr>
        <w:footnoteReference w:id="385"/>
      </w:r>
      <w:r w:rsidR="00B27BE5" w:rsidRPr="00883125">
        <w:t xml:space="preserve"> However, as outlined below, </w:t>
      </w:r>
      <w:r>
        <w:t>we</w:t>
      </w:r>
      <w:r w:rsidR="00B27BE5" w:rsidRPr="00883125">
        <w:t xml:space="preserve"> remain of the view that the 45 day rule </w:t>
      </w:r>
      <w:r w:rsidR="00DC3A89">
        <w:t xml:space="preserve">and other facts preventing utilisation by eligible investors </w:t>
      </w:r>
      <w:r w:rsidR="00B27BE5" w:rsidRPr="00883125">
        <w:t xml:space="preserve">is likely to be having an immaterial impact on the utilisation </w:t>
      </w:r>
      <w:r w:rsidR="00CB38D8">
        <w:t>value</w:t>
      </w:r>
      <w:r w:rsidR="00CB38D8" w:rsidRPr="00883125">
        <w:t xml:space="preserve"> </w:t>
      </w:r>
      <w:r w:rsidR="00B27BE5" w:rsidRPr="00883125">
        <w:t xml:space="preserve">by domestic investors. For clarity, the </w:t>
      </w:r>
      <w:r>
        <w:t>we do</w:t>
      </w:r>
      <w:r w:rsidR="00B27BE5" w:rsidRPr="00883125">
        <w:t xml:space="preserve"> not claim there are no domestic investors that hold shares for less than 45 days over the ex-dividend date. However, </w:t>
      </w:r>
      <w:r>
        <w:t>we</w:t>
      </w:r>
      <w:r w:rsidR="00B27BE5" w:rsidRPr="00883125">
        <w:t xml:space="preserve"> consider this class of investors (that holds share for less than 45 days over the ex-dividend date) is likely to be immaterial in size and the extent to which the value of imputation credits is lower as a result of domestic investors being unable to use them due to this is likely to be immaterial. We also note there is no compelling evidence to the contrary.</w:t>
      </w:r>
    </w:p>
    <w:p w:rsidR="00B27BE5" w:rsidRPr="00883125" w:rsidRDefault="00B27BE5" w:rsidP="00B27BE5">
      <w:pPr>
        <w:numPr>
          <w:ilvl w:val="0"/>
          <w:numId w:val="24"/>
        </w:numPr>
      </w:pPr>
      <w:r w:rsidRPr="00883125">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sidRPr="00883125">
        <w:rPr>
          <w:rStyle w:val="FootnoteReference"/>
        </w:rPr>
        <w:footnoteReference w:id="386"/>
      </w:r>
      <w:r w:rsidRPr="00883125">
        <w:t xml:space="preserve"> We know that the amount of imputation credits attached to a dollar of fully franked dividends is $0.43 ($1 x 0.3/(1–0.3)).</w:t>
      </w:r>
      <w:r w:rsidRPr="00883125">
        <w:rPr>
          <w:rStyle w:val="FootnoteReference"/>
        </w:rPr>
        <w:footnoteReference w:id="387"/>
      </w:r>
      <w:r w:rsidRPr="00883125">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rsidRPr="00883125">
        <w:fldChar w:fldCharType="begin"/>
      </w:r>
      <w:r w:rsidRPr="00883125">
        <w:instrText xml:space="preserve"> REF _Ref401848641 \h </w:instrText>
      </w:r>
      <w:r w:rsidRPr="00883125">
        <w:fldChar w:fldCharType="separate"/>
      </w:r>
      <w:r w:rsidR="00881794" w:rsidRPr="00883125">
        <w:t xml:space="preserve">Table </w:t>
      </w:r>
      <w:r w:rsidR="00881794">
        <w:rPr>
          <w:noProof/>
        </w:rPr>
        <w:t>4</w:t>
      </w:r>
      <w:r w:rsidR="00881794">
        <w:noBreakHyphen/>
      </w:r>
      <w:r w:rsidR="00881794">
        <w:rPr>
          <w:noProof/>
        </w:rPr>
        <w:t>12</w:t>
      </w:r>
      <w:r w:rsidRPr="00883125">
        <w:fldChar w:fldCharType="end"/>
      </w:r>
      <w:r w:rsidRPr="00883125">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sidRPr="00883125">
        <w:rPr>
          <w:rStyle w:val="FootnoteReference"/>
        </w:rPr>
        <w:footnoteReference w:id="388"/>
      </w:r>
      <w:r w:rsidRPr="00883125">
        <w:t xml:space="preserve"> This suggests that the 45-day holding rule is not having a material effect.</w:t>
      </w:r>
    </w:p>
    <w:p w:rsidR="00B27BE5" w:rsidRPr="00883125" w:rsidRDefault="00B27BE5" w:rsidP="00B27BE5">
      <w:pPr>
        <w:pStyle w:val="Caption"/>
      </w:pPr>
      <w:bookmarkStart w:id="134" w:name="_Ref401848641"/>
      <w:r w:rsidRPr="00883125">
        <w:lastRenderedPageBreak/>
        <w:t xml:space="preserve">Table </w:t>
      </w:r>
      <w:r w:rsidR="004B4BF3">
        <w:fldChar w:fldCharType="begin"/>
      </w:r>
      <w:r w:rsidR="004B4BF3">
        <w:instrText xml:space="preserve"> STYLEREF 1 \s </w:instrText>
      </w:r>
      <w:r w:rsidR="004B4BF3">
        <w:fldChar w:fldCharType="separate"/>
      </w:r>
      <w:r w:rsidR="00881794">
        <w:rPr>
          <w:noProof/>
        </w:rPr>
        <w:t>4</w:t>
      </w:r>
      <w:r w:rsidR="004B4BF3">
        <w:rPr>
          <w:noProof/>
        </w:rPr>
        <w:fldChar w:fldCharType="end"/>
      </w:r>
      <w:r>
        <w:noBreakHyphen/>
      </w:r>
      <w:r w:rsidR="004B4BF3">
        <w:fldChar w:fldCharType="begin"/>
      </w:r>
      <w:r w:rsidR="004B4BF3">
        <w:instrText xml:space="preserve"> SEQ Table \* ARABIC \s 1 </w:instrText>
      </w:r>
      <w:r w:rsidR="004B4BF3">
        <w:fldChar w:fldCharType="separate"/>
      </w:r>
      <w:r w:rsidR="00881794">
        <w:rPr>
          <w:noProof/>
        </w:rPr>
        <w:t>12</w:t>
      </w:r>
      <w:r w:rsidR="004B4BF3">
        <w:rPr>
          <w:noProof/>
        </w:rPr>
        <w:fldChar w:fldCharType="end"/>
      </w:r>
      <w:bookmarkEnd w:id="134"/>
      <w:r w:rsidRPr="00883125">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B27BE5" w:rsidTr="00B27BE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27BE5" w:rsidRPr="00883125" w:rsidRDefault="00B27BE5" w:rsidP="00B27BE5">
            <w:pPr>
              <w:numPr>
                <w:ilvl w:val="0"/>
                <w:numId w:val="24"/>
              </w:numPr>
            </w:pPr>
          </w:p>
        </w:tc>
        <w:tc>
          <w:tcPr>
            <w:tcW w:w="2712" w:type="dxa"/>
          </w:tcPr>
          <w:p w:rsidR="00B27BE5" w:rsidRPr="00883125" w:rsidRDefault="00B27BE5" w:rsidP="00B27BE5">
            <w:pPr>
              <w:numPr>
                <w:ilvl w:val="0"/>
                <w:numId w:val="24"/>
              </w:numPr>
              <w:cnfStyle w:val="100000000000" w:firstRow="1" w:lastRow="0" w:firstColumn="0" w:lastColumn="0" w:oddVBand="0" w:evenVBand="0" w:oddHBand="0" w:evenHBand="0" w:firstRowFirstColumn="0" w:firstRowLastColumn="0" w:lastRowFirstColumn="0" w:lastRowLastColumn="0"/>
            </w:pPr>
            <w:r w:rsidRPr="00883125">
              <w:t>Individuals</w:t>
            </w:r>
          </w:p>
        </w:tc>
        <w:tc>
          <w:tcPr>
            <w:tcW w:w="2713" w:type="dxa"/>
          </w:tcPr>
          <w:p w:rsidR="00B27BE5" w:rsidRPr="00883125" w:rsidRDefault="00B27BE5" w:rsidP="00B27BE5">
            <w:pPr>
              <w:numPr>
                <w:ilvl w:val="0"/>
                <w:numId w:val="24"/>
              </w:numPr>
              <w:cnfStyle w:val="100000000000" w:firstRow="1" w:lastRow="0" w:firstColumn="0" w:lastColumn="0" w:oddVBand="0" w:evenVBand="0" w:oddHBand="0" w:evenHBand="0" w:firstRowFirstColumn="0" w:firstRowLastColumn="0" w:lastRowFirstColumn="0" w:lastRowLastColumn="0"/>
            </w:pPr>
            <w:r w:rsidRPr="00883125">
              <w:t>Superannuation funds</w:t>
            </w:r>
          </w:p>
        </w:tc>
      </w:tr>
      <w:tr w:rsidR="00B27BE5" w:rsidTr="00B27BE5">
        <w:trPr>
          <w:cantSplit/>
        </w:trPr>
        <w:tc>
          <w:tcPr>
            <w:cnfStyle w:val="001000000000" w:firstRow="0" w:lastRow="0" w:firstColumn="1" w:lastColumn="0" w:oddVBand="0" w:evenVBand="0" w:oddHBand="0" w:evenHBand="0" w:firstRowFirstColumn="0" w:firstRowLastColumn="0" w:lastRowFirstColumn="0" w:lastRowLastColumn="0"/>
            <w:tcW w:w="3817" w:type="dxa"/>
          </w:tcPr>
          <w:p w:rsidR="00B27BE5" w:rsidRPr="00883125" w:rsidRDefault="00B27BE5" w:rsidP="00B27BE5">
            <w:pPr>
              <w:numPr>
                <w:ilvl w:val="0"/>
                <w:numId w:val="24"/>
              </w:numPr>
            </w:pPr>
            <w:r w:rsidRPr="00883125">
              <w:t>Fully franked dividends received</w:t>
            </w:r>
          </w:p>
        </w:tc>
        <w:tc>
          <w:tcPr>
            <w:tcW w:w="2712"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t>188.1</w:t>
            </w:r>
          </w:p>
        </w:tc>
        <w:tc>
          <w:tcPr>
            <w:tcW w:w="2713"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t>84.8</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27BE5" w:rsidRPr="00883125" w:rsidRDefault="00B27BE5" w:rsidP="00B27BE5">
            <w:pPr>
              <w:numPr>
                <w:ilvl w:val="0"/>
                <w:numId w:val="24"/>
              </w:numPr>
              <w:rPr>
                <w:rStyle w:val="AERtextitalic"/>
              </w:rPr>
            </w:pPr>
            <w:r w:rsidRPr="00883125">
              <w:rPr>
                <w:rStyle w:val="AERtextitalic"/>
              </w:rPr>
              <w:t>Implied imputation credits received</w:t>
            </w:r>
          </w:p>
        </w:tc>
        <w:tc>
          <w:tcPr>
            <w:tcW w:w="2712" w:type="dxa"/>
          </w:tcPr>
          <w:p w:rsidR="00B27BE5" w:rsidRPr="00883125" w:rsidRDefault="00B27BE5" w:rsidP="00B27BE5">
            <w:pPr>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80.6</w:t>
            </w:r>
          </w:p>
        </w:tc>
        <w:tc>
          <w:tcPr>
            <w:tcW w:w="2713" w:type="dxa"/>
          </w:tcPr>
          <w:p w:rsidR="00B27BE5" w:rsidRPr="00883125" w:rsidRDefault="00B27BE5" w:rsidP="00B27BE5">
            <w:pPr>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36.3</w:t>
            </w:r>
          </w:p>
        </w:tc>
      </w:tr>
      <w:tr w:rsidR="00B27BE5" w:rsidTr="00B27BE5">
        <w:trPr>
          <w:cantSplit/>
        </w:trPr>
        <w:tc>
          <w:tcPr>
            <w:cnfStyle w:val="001000000000" w:firstRow="0" w:lastRow="0" w:firstColumn="1" w:lastColumn="0" w:oddVBand="0" w:evenVBand="0" w:oddHBand="0" w:evenHBand="0" w:firstRowFirstColumn="0" w:firstRowLastColumn="0" w:lastRowFirstColumn="0" w:lastRowLastColumn="0"/>
            <w:tcW w:w="3817" w:type="dxa"/>
          </w:tcPr>
          <w:p w:rsidR="00B27BE5" w:rsidRPr="00883125" w:rsidRDefault="00B27BE5" w:rsidP="00B27BE5">
            <w:pPr>
              <w:numPr>
                <w:ilvl w:val="0"/>
                <w:numId w:val="24"/>
              </w:numPr>
            </w:pPr>
            <w:r w:rsidRPr="00883125">
              <w:t>Imputation credits utilised</w:t>
            </w:r>
          </w:p>
        </w:tc>
        <w:tc>
          <w:tcPr>
            <w:tcW w:w="2712"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t>81.2</w:t>
            </w:r>
          </w:p>
        </w:tc>
        <w:tc>
          <w:tcPr>
            <w:tcW w:w="2713" w:type="dxa"/>
          </w:tcPr>
          <w:p w:rsidR="00B27BE5" w:rsidRPr="00883125" w:rsidRDefault="00B27BE5" w:rsidP="00B27BE5">
            <w:pPr>
              <w:numPr>
                <w:ilvl w:val="0"/>
                <w:numId w:val="24"/>
              </w:numPr>
              <w:cnfStyle w:val="000000000000" w:firstRow="0" w:lastRow="0" w:firstColumn="0" w:lastColumn="0" w:oddVBand="0" w:evenVBand="0" w:oddHBand="0" w:evenHBand="0" w:firstRowFirstColumn="0" w:firstRowLastColumn="0" w:lastRowFirstColumn="0" w:lastRowLastColumn="0"/>
            </w:pPr>
            <w:r w:rsidRPr="00883125">
              <w:t>36.2</w:t>
            </w:r>
          </w:p>
        </w:tc>
      </w:tr>
    </w:tbl>
    <w:p w:rsidR="00B27BE5" w:rsidRPr="00883125" w:rsidRDefault="00B27BE5" w:rsidP="00B27BE5">
      <w:pPr>
        <w:pStyle w:val="AERtablesource"/>
      </w:pPr>
      <w:r w:rsidRPr="00883125">
        <w:t xml:space="preserve">Source: </w:t>
      </w:r>
      <w:r w:rsidRPr="00883125">
        <w:tab/>
        <w:t xml:space="preserve">N. Hathaway, </w:t>
      </w:r>
      <w:r w:rsidRPr="00883125">
        <w:rPr>
          <w:rStyle w:val="AERtextitalic"/>
        </w:rPr>
        <w:t>Imputation credit redemption ATO data 1988–2011: Where have all the credits gone?</w:t>
      </w:r>
      <w:r w:rsidRPr="00883125">
        <w:t>, September 2013; AER analysis.</w:t>
      </w:r>
    </w:p>
    <w:p w:rsidR="00B27BE5" w:rsidRPr="00883125" w:rsidRDefault="00B27BE5" w:rsidP="00B27BE5">
      <w:r w:rsidRPr="00883125">
        <w:t>However, service providers submit</w:t>
      </w:r>
      <w:r w:rsidR="00E55DE8">
        <w:t>ted</w:t>
      </w:r>
      <w:r w:rsidRPr="00883125">
        <w:t xml:space="preserve"> the analysis that underpins this analysis is based on data that is unreliable.</w:t>
      </w:r>
      <w:r w:rsidRPr="00883125">
        <w:rPr>
          <w:rStyle w:val="FootnoteReference"/>
        </w:rPr>
        <w:footnoteReference w:id="389"/>
      </w:r>
      <w:r w:rsidRPr="00883125">
        <w:t xml:space="preserve"> </w:t>
      </w:r>
      <w:r w:rsidR="00E55DE8">
        <w:t>We</w:t>
      </w:r>
      <w:r w:rsidRPr="00883125">
        <w:t xml:space="preserve"> recognise the data limitations</w:t>
      </w:r>
      <w:r w:rsidR="00E55DE8">
        <w:t>,</w:t>
      </w:r>
      <w:r w:rsidRPr="00883125">
        <w:t xml:space="preserve"> but as outlined in section </w:t>
      </w:r>
      <w:r w:rsidRPr="00883125">
        <w:fldChar w:fldCharType="begin"/>
      </w:r>
      <w:r w:rsidRPr="00883125">
        <w:instrText xml:space="preserve"> REF _Ref450297745 \r \h </w:instrText>
      </w:r>
      <w:r w:rsidRPr="00883125">
        <w:fldChar w:fldCharType="separate"/>
      </w:r>
      <w:r w:rsidR="00881794">
        <w:t>A.10.4</w:t>
      </w:r>
      <w:r w:rsidRPr="00883125">
        <w:fldChar w:fldCharType="end"/>
      </w:r>
      <w:r w:rsidRPr="00883125">
        <w:t xml:space="preserve">, </w:t>
      </w:r>
      <w:r w:rsidR="00E55DE8">
        <w:t>we</w:t>
      </w:r>
      <w:r w:rsidRPr="00883125">
        <w:t xml:space="preserve"> note this is the best data available and there is no evidence before </w:t>
      </w:r>
      <w:r w:rsidR="00E55DE8">
        <w:t>us</w:t>
      </w:r>
      <w:r w:rsidR="00E55DE8" w:rsidRPr="00883125">
        <w:t xml:space="preserve"> </w:t>
      </w:r>
      <w:r w:rsidR="00695AF3">
        <w:t xml:space="preserve">that </w:t>
      </w:r>
      <w:r w:rsidRPr="00883125">
        <w:t>the 45 day rule is having a material effect</w:t>
      </w:r>
      <w:r w:rsidR="00177CB7">
        <w:t>.</w:t>
      </w:r>
    </w:p>
    <w:p w:rsidR="00B27BE5" w:rsidRPr="00883125" w:rsidRDefault="00B27BE5" w:rsidP="00B27BE5">
      <w:r w:rsidRPr="00883125">
        <w:t>Based on these considerations, the 45-day holding rule does not appear to have a material effect on the utilisation rate. The analysis above was presented in our draft decisions released in 2014, but the service providers subject of those proposals did not comment on it in their revised proposals. Instead, they submitted:</w:t>
      </w:r>
      <w:r w:rsidRPr="00883125">
        <w:rPr>
          <w:rStyle w:val="FootnoteReference"/>
        </w:rPr>
        <w:footnoteReference w:id="390"/>
      </w:r>
    </w:p>
    <w:p w:rsidR="00B27BE5" w:rsidRPr="00883125" w:rsidRDefault="00B27BE5" w:rsidP="00B27BE5">
      <w:pPr>
        <w:pStyle w:val="AERquote"/>
      </w:pPr>
      <w:r w:rsidRPr="00883125">
        <w:t>The AER seeks to dismiss the impact of tax rules affecting eligibility of domestic investors to redeem imputation credits by saying that:</w:t>
      </w:r>
    </w:p>
    <w:p w:rsidR="00B27BE5" w:rsidRPr="00883125" w:rsidRDefault="00B27BE5" w:rsidP="00B27BE5">
      <w:pPr>
        <w:pStyle w:val="AERquoteindent2"/>
      </w:pPr>
      <w:r w:rsidRPr="00883125">
        <w:t>“…we do not consider that there is clear evidence as to effect that these rules have or should be expected to have.”</w:t>
      </w:r>
    </w:p>
    <w:p w:rsidR="00B27BE5" w:rsidRPr="00883125" w:rsidRDefault="00B27BE5" w:rsidP="00B27BE5">
      <w:pPr>
        <w:pStyle w:val="AERquote"/>
      </w:pPr>
      <w:r w:rsidRPr="00883125">
        <w:t>…[we do]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B27BE5" w:rsidRPr="00883125" w:rsidRDefault="00B27BE5" w:rsidP="00B27BE5">
      <w:pPr>
        <w:pStyle w:val="AERquote"/>
      </w:pPr>
      <w:r w:rsidRPr="00883125">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 0.43, which is well below the domestic equity ownership rate for all equity.</w:t>
      </w:r>
    </w:p>
    <w:p w:rsidR="00B27BE5" w:rsidRPr="00883125" w:rsidRDefault="00B27BE5" w:rsidP="00B27BE5">
      <w:r w:rsidRPr="00883125">
        <w:lastRenderedPageBreak/>
        <w:t xml:space="preserve">We do not consider that this represents clear evidence as to the effect of the 45-day rule and other tax rules. Firstly, the service providers' approach does not contemplate error or inaccuracy in the tax statistics. In section </w:t>
      </w:r>
      <w:r w:rsidR="00695AF3">
        <w:fldChar w:fldCharType="begin"/>
      </w:r>
      <w:r w:rsidR="00695AF3">
        <w:instrText xml:space="preserve"> REF _Ref451286698 \r \h </w:instrText>
      </w:r>
      <w:r w:rsidR="00695AF3">
        <w:fldChar w:fldCharType="separate"/>
      </w:r>
      <w:r w:rsidR="00881794">
        <w:t>4.4</w:t>
      </w:r>
      <w:r w:rsidR="00695AF3">
        <w:fldChar w:fldCharType="end"/>
      </w:r>
      <w:r w:rsidRPr="00883125">
        <w:t>, we set out data concerns that exist regarding the tax statistics. Further, the</w:t>
      </w:r>
      <w:r w:rsidR="00962E28">
        <w:t>se</w:t>
      </w:r>
      <w:r w:rsidRPr="00883125">
        <w:t xml:space="preserve"> service providers</w:t>
      </w:r>
      <w:r w:rsidR="00E55DE8">
        <w:t>,</w:t>
      </w:r>
      <w:r w:rsidRPr="00883125">
        <w:t xml:space="preserve"> in their initial proposals</w:t>
      </w:r>
      <w:r w:rsidR="00E55DE8">
        <w:t>,</w:t>
      </w:r>
      <w:r w:rsidRPr="00883125">
        <w:t xml:space="preserve"> submitted that no weight be placed on estimates of the utilisation rate from tax statistics because of significant unresolved problems with the data.</w:t>
      </w:r>
      <w:r w:rsidRPr="00883125">
        <w:rPr>
          <w:rStyle w:val="FootnoteReference"/>
        </w:rPr>
        <w:footnoteReference w:id="391"/>
      </w:r>
      <w:r w:rsidRPr="00883125">
        <w:t xml:space="preserve"> While it does now appear some service providers </w:t>
      </w:r>
      <w:r w:rsidR="00962E28">
        <w:t xml:space="preserve">we regulate </w:t>
      </w:r>
      <w:r w:rsidRPr="00883125">
        <w:t>may consider tax statistics can be used to estimate an upper bound for theta,</w:t>
      </w:r>
      <w:r w:rsidRPr="00883125">
        <w:rPr>
          <w:rStyle w:val="FootnoteReference"/>
        </w:rPr>
        <w:footnoteReference w:id="392"/>
      </w:r>
      <w:r w:rsidRPr="00883125">
        <w:t xml:space="preserve"> we do not consider the above analysis provides compelling evidence that the 45 day rule is having a material impact given residual concerns with the data.</w:t>
      </w:r>
    </w:p>
    <w:p w:rsidR="00B27BE5" w:rsidRPr="00883125" w:rsidRDefault="00B27BE5" w:rsidP="00B27BE5">
      <w:pPr>
        <w:rPr>
          <w:rStyle w:val="AERbody"/>
        </w:rPr>
      </w:pPr>
      <w:r w:rsidRPr="00883125">
        <w:t>Secondly, the service providers' conclusion is contradicted by the analysis of tax statistics we presented in our prior decisions and which we repeat above</w:t>
      </w:r>
      <w:r w:rsidRPr="00883125">
        <w:rPr>
          <w:rStyle w:val="AERbody"/>
        </w:rPr>
        <w:t>. While we acknowledge the limitations of the tax data used for this analysis, the service providers themselves have not demonstrated the rule is having a material impact, and we do not consider the rule would be expected to have a material impact.</w:t>
      </w:r>
    </w:p>
    <w:p w:rsidR="00B27BE5" w:rsidRPr="00883125" w:rsidRDefault="00B27BE5" w:rsidP="00B27BE5">
      <w:pPr>
        <w:rPr>
          <w:rStyle w:val="AERbody"/>
        </w:rPr>
      </w:pPr>
      <w:r w:rsidRPr="00883125">
        <w:rPr>
          <w:rStyle w:val="AERbody"/>
        </w:rPr>
        <w:t>Frontier considers the 45-day rule has some effect because other</w:t>
      </w:r>
      <w:r w:rsidRPr="00B27BE5">
        <w:rPr>
          <w:rStyle w:val="AERbody"/>
        </w:rPr>
        <w:t>wise it would be redundant to have the rule.</w:t>
      </w:r>
      <w:r w:rsidRPr="00B27BE5">
        <w:rPr>
          <w:rStyle w:val="FootnoteReference"/>
        </w:rPr>
        <w:footnoteReference w:id="393"/>
      </w:r>
      <w:r w:rsidRPr="00B27BE5">
        <w:rPr>
          <w:rStyle w:val="AERbody"/>
        </w:rPr>
        <w:t xml:space="preserve"> </w:t>
      </w:r>
      <w:r w:rsidR="00E55DE8">
        <w:rPr>
          <w:rStyle w:val="AERbody"/>
        </w:rPr>
        <w:t>We do</w:t>
      </w:r>
      <w:r w:rsidRPr="00B27BE5">
        <w:rPr>
          <w:rStyle w:val="AERbody"/>
        </w:rPr>
        <w:t xml:space="preserve"> not agree. </w:t>
      </w:r>
      <w:r w:rsidR="00A0036F">
        <w:rPr>
          <w:rStyle w:val="AERbody"/>
        </w:rPr>
        <w:t>A</w:t>
      </w:r>
      <w:r w:rsidR="00A0036F" w:rsidRPr="00B27BE5">
        <w:rPr>
          <w:rStyle w:val="AERbody"/>
        </w:rPr>
        <w:t xml:space="preserve"> </w:t>
      </w:r>
      <w:r w:rsidR="00F0207D">
        <w:rPr>
          <w:rStyle w:val="AERbody"/>
        </w:rPr>
        <w:t>key outcome</w:t>
      </w:r>
      <w:r w:rsidR="00F0207D" w:rsidRPr="00B27BE5">
        <w:rPr>
          <w:rStyle w:val="AERbody"/>
        </w:rPr>
        <w:t xml:space="preserve"> </w:t>
      </w:r>
      <w:r w:rsidRPr="00B27BE5">
        <w:rPr>
          <w:rStyle w:val="AERbody"/>
        </w:rPr>
        <w:t xml:space="preserve">of the requirement to hold shares at risk for 45 day in order to receive an imputation credit </w:t>
      </w:r>
      <w:r w:rsidR="00A0036F">
        <w:rPr>
          <w:rStyle w:val="AERbody"/>
        </w:rPr>
        <w:t>will be</w:t>
      </w:r>
      <w:r w:rsidR="00F0207D" w:rsidRPr="00B27BE5">
        <w:rPr>
          <w:rStyle w:val="AERbody"/>
        </w:rPr>
        <w:t xml:space="preserve"> </w:t>
      </w:r>
      <w:r w:rsidRPr="00B27BE5">
        <w:rPr>
          <w:rStyle w:val="AERbody"/>
        </w:rPr>
        <w:t>to prevent the streaming of imputation credits to investors that value them the most.</w:t>
      </w:r>
      <w:r w:rsidRPr="00B27BE5">
        <w:rPr>
          <w:rStyle w:val="FootnoteReference"/>
        </w:rPr>
        <w:footnoteReference w:id="394"/>
      </w:r>
      <w:r w:rsidRPr="00B27BE5">
        <w:rPr>
          <w:rStyle w:val="AERbody"/>
        </w:rPr>
        <w:t xml:space="preserve"> This could happen where investors that values imputation credits, for example superannuation funds, buy the share before the ex-dividend date and sell the share after the ex-dividend date and hedges their risk exposure over the investment holding period. Therefore, the 45 day rule could logically be not having a material impact on the utilisation value, while sti</w:t>
      </w:r>
      <w:r w:rsidR="00695AF3">
        <w:rPr>
          <w:rStyle w:val="AERbody"/>
        </w:rPr>
        <w:t>l</w:t>
      </w:r>
      <w:r w:rsidRPr="00B27BE5">
        <w:rPr>
          <w:rStyle w:val="AERbody"/>
        </w:rPr>
        <w:t xml:space="preserve">l working as intended and preventing investors from streaming imputation credits to </w:t>
      </w:r>
      <w:r w:rsidR="00695AF3">
        <w:rPr>
          <w:rStyle w:val="AERbody"/>
        </w:rPr>
        <w:t>investors that value them</w:t>
      </w:r>
      <w:r w:rsidR="00A0036F">
        <w:rPr>
          <w:rStyle w:val="AERbody"/>
        </w:rPr>
        <w:t xml:space="preserve"> the most</w:t>
      </w:r>
      <w:r w:rsidRPr="00B27BE5">
        <w:rPr>
          <w:rStyle w:val="AERbody"/>
        </w:rPr>
        <w:t>.</w:t>
      </w:r>
    </w:p>
    <w:p w:rsidR="00B27BE5" w:rsidRDefault="00B27BE5" w:rsidP="00B27BE5">
      <w:pPr>
        <w:rPr>
          <w:rStyle w:val="AERbody"/>
        </w:rPr>
      </w:pPr>
      <w:r w:rsidRPr="00883125">
        <w:rPr>
          <w:rStyle w:val="AERbody"/>
        </w:rPr>
        <w:t xml:space="preserve">In his June 2015 report for a number of service providers Gray assert that "[o]ne cannot assume that the effect of the 45-day rule is negligible in the </w:t>
      </w:r>
      <w:r w:rsidRPr="00B27BE5">
        <w:rPr>
          <w:rStyle w:val="AERbody"/>
        </w:rPr>
        <w:t>absence of any data about it."</w:t>
      </w:r>
      <w:r w:rsidRPr="00B27BE5">
        <w:rPr>
          <w:rStyle w:val="FootnoteReference"/>
        </w:rPr>
        <w:footnoteReference w:id="395"/>
      </w:r>
      <w:r w:rsidRPr="00B27BE5">
        <w:rPr>
          <w:rStyle w:val="AERbody"/>
        </w:rPr>
        <w:t xml:space="preserve"> The new report by Gray (for Frontier) does not change our view that the 45 day rule is unlikely to be having a material impact on the utilisation rate. It does not present any data to demonstrate that the 45 day rule is having a material effect on utilisation of imputation credits.</w:t>
      </w:r>
    </w:p>
    <w:p w:rsidR="00695AF3" w:rsidRPr="00B27BE5" w:rsidRDefault="00A0036F" w:rsidP="00B27BE5">
      <w:pPr>
        <w:rPr>
          <w:rStyle w:val="AERbody"/>
        </w:rPr>
      </w:pPr>
      <w:r>
        <w:rPr>
          <w:rStyle w:val="AERbody"/>
        </w:rPr>
        <w:lastRenderedPageBreak/>
        <w:t>We consider</w:t>
      </w:r>
      <w:r w:rsidR="001F7D16">
        <w:rPr>
          <w:rStyle w:val="AERbody"/>
        </w:rPr>
        <w:t xml:space="preserve"> </w:t>
      </w:r>
      <w:r w:rsidR="00177CB7">
        <w:rPr>
          <w:rStyle w:val="AERbody"/>
        </w:rPr>
        <w:t>Lally</w:t>
      </w:r>
      <w:r>
        <w:rPr>
          <w:rStyle w:val="AERbody"/>
        </w:rPr>
        <w:t>'s recent report</w:t>
      </w:r>
      <w:r w:rsidR="00177CB7">
        <w:rPr>
          <w:rStyle w:val="AERbody"/>
        </w:rPr>
        <w:t xml:space="preserve"> </w:t>
      </w:r>
      <w:r w:rsidR="001F7D16">
        <w:rPr>
          <w:rStyle w:val="AERbody"/>
        </w:rPr>
        <w:t xml:space="preserve">supports </w:t>
      </w:r>
      <w:r w:rsidR="00CB66FF">
        <w:rPr>
          <w:rStyle w:val="AERbody"/>
        </w:rPr>
        <w:t>our</w:t>
      </w:r>
      <w:r w:rsidR="001F7D16">
        <w:rPr>
          <w:rStyle w:val="AERbody"/>
        </w:rPr>
        <w:t xml:space="preserve"> positon that the 45 day rule is not </w:t>
      </w:r>
      <w:r w:rsidR="00177CB7">
        <w:rPr>
          <w:rStyle w:val="AERbody"/>
        </w:rPr>
        <w:t>having</w:t>
      </w:r>
      <w:r w:rsidR="001F7D16">
        <w:rPr>
          <w:rStyle w:val="AERbody"/>
        </w:rPr>
        <w:t xml:space="preserve"> a material impact on the utilisation value. Lally notes tha</w:t>
      </w:r>
      <w:r w:rsidR="00177CB7">
        <w:rPr>
          <w:rStyle w:val="AERbody"/>
        </w:rPr>
        <w:t>t that the 45 day rule prev</w:t>
      </w:r>
      <w:r w:rsidR="001F7D16">
        <w:rPr>
          <w:rStyle w:val="AERbody"/>
        </w:rPr>
        <w:t>ents some 'genuine' investors from obtaining the credits, and therefore drives down the redemption rate, but this downward effect is unlikely to be significant because 'genuine' investors have the option of changing the time of their transactions and would have strong incentives to do so.</w:t>
      </w:r>
      <w:r w:rsidR="001F7D16">
        <w:rPr>
          <w:rStyle w:val="FootnoteReference"/>
        </w:rPr>
        <w:footnoteReference w:id="396"/>
      </w:r>
      <w:r w:rsidR="001F7D16">
        <w:rPr>
          <w:rStyle w:val="AERbody"/>
        </w:rPr>
        <w:t xml:space="preserve"> Further, Lally considers the 45 day rule constrains tax arbitrage and therefore minimises the gap between the correctly estimated redemption rate (tax statistics), and the proportion of Australian equities held by local investors.</w:t>
      </w:r>
      <w:r w:rsidR="001F7D16">
        <w:rPr>
          <w:rStyle w:val="FootnoteReference"/>
        </w:rPr>
        <w:footnoteReference w:id="397"/>
      </w:r>
    </w:p>
    <w:p w:rsidR="00B27BE5" w:rsidRPr="00883125" w:rsidRDefault="00B27BE5" w:rsidP="00B27BE5">
      <w:pPr>
        <w:pStyle w:val="HeadingBoldBlue"/>
        <w:numPr>
          <w:ilvl w:val="0"/>
          <w:numId w:val="24"/>
        </w:numPr>
      </w:pPr>
      <w:bookmarkStart w:id="135" w:name="_Ref400540858"/>
      <w:r w:rsidRPr="00883125">
        <w:t>Transactions costs</w:t>
      </w:r>
      <w:bookmarkEnd w:id="135"/>
    </w:p>
    <w:p w:rsidR="00B27BE5" w:rsidRPr="00883125" w:rsidRDefault="00B27BE5" w:rsidP="00B27BE5">
      <w:pPr>
        <w:numPr>
          <w:ilvl w:val="0"/>
          <w:numId w:val="24"/>
        </w:numPr>
      </w:pPr>
      <w:r w:rsidRPr="00883125">
        <w:t>Service providers submitted that the redemption of imputation credits may involve transactions costs, such as requirements to keep records and follow administrative processes.</w:t>
      </w:r>
      <w:r w:rsidRPr="00883125">
        <w:rPr>
          <w:rStyle w:val="FootnoteReference"/>
        </w:rPr>
        <w:footnoteReference w:id="398"/>
      </w:r>
      <w:r w:rsidRPr="00883125">
        <w:t xml:space="preserve"> Service providers also submitted that these transactions costs will tend to reduce their value to investors and may dissuade some investors from redeeming (utilising) imputation credits.</w:t>
      </w:r>
      <w:r w:rsidRPr="00883125">
        <w:rPr>
          <w:rStyle w:val="FootnoteReference"/>
        </w:rPr>
        <w:footnoteReference w:id="399"/>
      </w:r>
    </w:p>
    <w:p w:rsidR="00B27BE5" w:rsidRPr="00883125" w:rsidRDefault="00B27BE5" w:rsidP="00B27BE5">
      <w:pPr>
        <w:numPr>
          <w:ilvl w:val="0"/>
          <w:numId w:val="24"/>
        </w:numPr>
      </w:pPr>
      <w:r w:rsidRPr="00883125">
        <w:t>Firstly, we note that Handley advised that we specifically not take account of these costs:</w:t>
      </w:r>
      <w:r w:rsidRPr="00883125">
        <w:rPr>
          <w:rStyle w:val="FootnoteReference"/>
        </w:rPr>
        <w:footnoteReference w:id="400"/>
      </w:r>
    </w:p>
    <w:p w:rsidR="00B27BE5" w:rsidRPr="00883125" w:rsidRDefault="00B27BE5" w:rsidP="00B27BE5">
      <w:pPr>
        <w:pStyle w:val="AERquote"/>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B27BE5" w:rsidRPr="00883125" w:rsidRDefault="00B27BE5" w:rsidP="00B27BE5">
      <w:pPr>
        <w:numPr>
          <w:ilvl w:val="0"/>
          <w:numId w:val="24"/>
        </w:numPr>
      </w:pPr>
      <w:r w:rsidRPr="00883125">
        <w:t>Secondly, we are not convinced that transactions costs are likely to dissuade a material number of investors from redeeming imputation credits. Our considerations on this are as follows:</w:t>
      </w:r>
    </w:p>
    <w:p w:rsidR="00B27BE5" w:rsidRPr="00883125" w:rsidRDefault="00B27BE5" w:rsidP="00B27BE5">
      <w:pPr>
        <w:pStyle w:val="AERbulletlistfirststyle"/>
      </w:pPr>
      <w:r w:rsidRPr="00883125">
        <w:t xml:space="preserve">When filling out a tax return, one is </w:t>
      </w:r>
      <w:r w:rsidRPr="00883125">
        <w:rPr>
          <w:rStyle w:val="AERtextitalic"/>
        </w:rPr>
        <w:t>required</w:t>
      </w:r>
      <w:r w:rsidRPr="00883125">
        <w:t xml:space="preserve"> to report the franked dividends received and the imputation credits that are eligible to be utilised.</w:t>
      </w:r>
      <w:r w:rsidRPr="00883125">
        <w:rPr>
          <w:rStyle w:val="FootnoteReference"/>
        </w:rPr>
        <w:footnoteReference w:id="401"/>
      </w:r>
    </w:p>
    <w:p w:rsidR="00B27BE5" w:rsidRPr="00883125" w:rsidRDefault="00B27BE5" w:rsidP="00B27BE5">
      <w:pPr>
        <w:pStyle w:val="AERbulletlistfirststyle"/>
      </w:pPr>
      <w:r w:rsidRPr="00883125">
        <w:lastRenderedPageBreak/>
        <w:t>Investors are already incurring the transactions costs associated with shareholding, and most would also be already incurring the transactions costs associated with completing a tax return. 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883125">
        <w:rPr>
          <w:rStyle w:val="FootnoteReference"/>
        </w:rPr>
        <w:footnoteReference w:id="402"/>
      </w:r>
    </w:p>
    <w:p w:rsidR="00B27BE5" w:rsidRPr="00883125" w:rsidRDefault="00B27BE5" w:rsidP="00B27BE5">
      <w:r w:rsidRPr="00883125">
        <w:t xml:space="preserve">As outlined in </w:t>
      </w:r>
      <w:r w:rsidRPr="00883125">
        <w:fldChar w:fldCharType="begin"/>
      </w:r>
      <w:r w:rsidRPr="00883125">
        <w:instrText xml:space="preserve"> REF _Ref450298425 \r \h </w:instrText>
      </w:r>
      <w:r w:rsidRPr="00883125">
        <w:fldChar w:fldCharType="separate"/>
      </w:r>
      <w:r w:rsidR="00881794">
        <w:t>A.8.2</w:t>
      </w:r>
      <w:r w:rsidRPr="00883125">
        <w:fldChar w:fldCharType="end"/>
      </w:r>
      <w:r w:rsidRPr="00883125">
        <w:t>, we consider that we are estimating the value of imputation credits consistently with the other allowed rate of return parameters on a before personal taxes and personal costs basis. For all cost of equity components (capital gains and dividend income) and cost of debt components (capital gains and interest income) investors have to incur transaction costs in order to realise their returns. These transaction costs include brokerage fees and costs associated with filling in a tax return. Compensation for these costs is inconsistent with our post tax framework</w:t>
      </w:r>
      <w:r w:rsidR="009E30C7">
        <w:t>. O</w:t>
      </w:r>
      <w:r w:rsidRPr="00883125">
        <w:t xml:space="preserve">ur benchmarking of the required return on equity and the required return on debt </w:t>
      </w:r>
      <w:r w:rsidR="009E30C7">
        <w:t xml:space="preserve">is </w:t>
      </w:r>
      <w:r w:rsidRPr="00883125">
        <w:t>based on</w:t>
      </w:r>
      <w:r w:rsidR="009E30C7">
        <w:t xml:space="preserve"> a</w:t>
      </w:r>
      <w:r w:rsidRPr="00883125">
        <w:t xml:space="preserve"> post-tax returns before investor level transaction costs are incurred. We also consider any incremental costs associated with claiming imputation credits would be immaterial for the reasons outlined above.</w:t>
      </w:r>
    </w:p>
    <w:p w:rsidR="001861AB" w:rsidRDefault="00CB66FF" w:rsidP="00B27BE5">
      <w:r>
        <w:t>We</w:t>
      </w:r>
      <w:r w:rsidR="00B27BE5" w:rsidRPr="00883125">
        <w:t xml:space="preserve"> only compensate regulated businesses for the transaction cost incurred by regulated businesses via debt and equity raising costs. However, these costs are incurred at the company level and only require compensation so that the post company tax allowed return reflects the required post company tax return in the market. </w:t>
      </w:r>
      <w:r>
        <w:t>We do</w:t>
      </w:r>
      <w:r w:rsidR="00B27BE5" w:rsidRPr="00883125">
        <w:t xml:space="preserve"> not compensate regulated businesses for the costs incurred by investor in regulated businesses as all the allowed rate of return parameters and gamma are estimate on post company tax (pre-personal tax and pre personal cost) basis. If </w:t>
      </w:r>
      <w:r>
        <w:t>we</w:t>
      </w:r>
      <w:r w:rsidR="00B27BE5" w:rsidRPr="00883125">
        <w:t xml:space="preserve"> were to compensate regulated businesses for investors' transaction costs in addition to the post tax return we set</w:t>
      </w:r>
      <w:r w:rsidR="00CB38D8">
        <w:t>,</w:t>
      </w:r>
      <w:r w:rsidR="00B27BE5" w:rsidRPr="00883125">
        <w:t xml:space="preserve"> it would result in </w:t>
      </w:r>
      <w:r w:rsidR="00CB38D8">
        <w:t xml:space="preserve">an </w:t>
      </w:r>
      <w:r w:rsidR="00B27BE5" w:rsidRPr="00883125">
        <w:t>over compensation of the firms and their investors relative to the efficient return</w:t>
      </w:r>
      <w:r w:rsidR="00CB38D8">
        <w:t>s</w:t>
      </w:r>
      <w:r w:rsidR="00B27BE5" w:rsidRPr="00883125">
        <w:t xml:space="preserve"> in the market. This would not be expected to lead to efficient investment, or to be in the long term interests of consumers.</w:t>
      </w:r>
    </w:p>
    <w:p w:rsidR="00B27BE5" w:rsidRPr="00883125" w:rsidRDefault="001861AB" w:rsidP="00B27BE5">
      <w:pPr>
        <w:rPr>
          <w:rStyle w:val="AERbody"/>
        </w:rPr>
      </w:pPr>
      <w:r>
        <w:t>Lally considered that transaction costs associated with investors redeeming credits cannot be dealt with by reducing theta. Instead, if considered important (which Lally considers not to be the case) these transaction costs can only be addressed through an extension of the Officer model.</w:t>
      </w:r>
      <w:r w:rsidR="009C317B">
        <w:rPr>
          <w:rStyle w:val="FootnoteReference"/>
        </w:rPr>
        <w:footnoteReference w:id="403"/>
      </w:r>
      <w:r>
        <w:t xml:space="preserve"> Given </w:t>
      </w:r>
      <w:r w:rsidR="00CB66FF">
        <w:t>we</w:t>
      </w:r>
      <w:r>
        <w:t xml:space="preserve"> use a beta estimate of 0.7 for regulated utilities, Lally considers that the possible transaction costs not compensated for is not a material issue because these costs are very small.</w:t>
      </w:r>
      <w:r>
        <w:rPr>
          <w:rStyle w:val="FootnoteReference"/>
        </w:rPr>
        <w:footnoteReference w:id="404"/>
      </w:r>
      <w:r w:rsidR="00CB66FF">
        <w:t xml:space="preserve"> </w:t>
      </w:r>
      <w:r w:rsidR="00B27BE5" w:rsidRPr="00883125">
        <w:rPr>
          <w:rStyle w:val="AERbody"/>
        </w:rPr>
        <w:t>Based on these considerations, we consider that in estimating the utilisation rate</w:t>
      </w:r>
      <w:r w:rsidR="00CB66FF">
        <w:rPr>
          <w:rStyle w:val="AERbody"/>
        </w:rPr>
        <w:t>,</w:t>
      </w:r>
      <w:r w:rsidR="00B27BE5" w:rsidRPr="00883125">
        <w:rPr>
          <w:rStyle w:val="AERbody"/>
        </w:rPr>
        <w:t xml:space="preserve"> adjustments should not be made for transactions costs. And even if an adjustment </w:t>
      </w:r>
      <w:r w:rsidR="00CB66FF">
        <w:rPr>
          <w:rStyle w:val="AERbody"/>
        </w:rPr>
        <w:t>was</w:t>
      </w:r>
      <w:r w:rsidR="00CB66FF" w:rsidRPr="00883125">
        <w:rPr>
          <w:rStyle w:val="AERbody"/>
        </w:rPr>
        <w:t xml:space="preserve"> </w:t>
      </w:r>
      <w:r w:rsidR="00B27BE5" w:rsidRPr="00883125">
        <w:rPr>
          <w:rStyle w:val="AERbody"/>
        </w:rPr>
        <w:t xml:space="preserve">to be made, it would likely have an immaterial effect on the utilisation rate. </w:t>
      </w:r>
    </w:p>
    <w:p w:rsidR="00B27BE5" w:rsidRPr="005764F6" w:rsidRDefault="00B27BE5" w:rsidP="00CB38D8">
      <w:pPr>
        <w:pStyle w:val="HeadingBoldBlue"/>
        <w:rPr>
          <w:rStyle w:val="AERbody"/>
          <w:color w:val="70635A" w:themeColor="text2"/>
          <w:sz w:val="28"/>
        </w:rPr>
      </w:pPr>
      <w:r w:rsidRPr="006D4B92">
        <w:rPr>
          <w:rStyle w:val="AERbody"/>
          <w:color w:val="70635A" w:themeColor="text2"/>
          <w:sz w:val="28"/>
        </w:rPr>
        <w:lastRenderedPageBreak/>
        <w:t>Time value of money</w:t>
      </w:r>
    </w:p>
    <w:p w:rsidR="00B27BE5" w:rsidRPr="00883125" w:rsidRDefault="00B27BE5" w:rsidP="00B27BE5">
      <w:pPr>
        <w:numPr>
          <w:ilvl w:val="0"/>
          <w:numId w:val="24"/>
        </w:numPr>
      </w:pPr>
      <w:r w:rsidRPr="00883125">
        <w:t>Service providers submitted that the delay between the distribution of an imputation credit and the time at which it is redeemed may be expected to reduce an investor's valuation of the credit.</w:t>
      </w:r>
      <w:r w:rsidRPr="00883125">
        <w:rPr>
          <w:rStyle w:val="FootnoteReference"/>
        </w:rPr>
        <w:footnoteReference w:id="405"/>
      </w:r>
      <w:r w:rsidRPr="00883125">
        <w:t xml:space="preserve"> In response, we note that:</w:t>
      </w:r>
    </w:p>
    <w:p w:rsidR="00B27BE5" w:rsidRPr="00883125" w:rsidRDefault="00B27BE5" w:rsidP="00B27BE5">
      <w:pPr>
        <w:pStyle w:val="AERbulletlistfirststyle"/>
      </w:pPr>
      <w:r w:rsidRPr="00883125">
        <w:t>We are unaware of any evidence that indicates the average size of this time delay across all investors.</w:t>
      </w:r>
    </w:p>
    <w:p w:rsidR="00B27BE5" w:rsidRPr="00883125" w:rsidRDefault="00B27BE5" w:rsidP="00B27BE5">
      <w:pPr>
        <w:pStyle w:val="AERbulletlistfirststyle"/>
      </w:pPr>
      <w:r w:rsidRPr="00883125">
        <w:t>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Current interest rates on two year Commonwealth Government bonds suggest that the appropriate discount rate would be likely less than 2 per cent. Therefore, the magnitude of the adjustment would be quite small. Handley agreed with the immateriality of any required adjustment for time delay.</w:t>
      </w:r>
      <w:r w:rsidRPr="00883125">
        <w:rPr>
          <w:rStyle w:val="FootnoteReference"/>
        </w:rPr>
        <w:footnoteReference w:id="406"/>
      </w:r>
    </w:p>
    <w:p w:rsidR="00B27BE5" w:rsidRPr="00883125" w:rsidRDefault="00B27BE5" w:rsidP="00B27BE5">
      <w:pPr>
        <w:numPr>
          <w:ilvl w:val="0"/>
          <w:numId w:val="24"/>
        </w:numPr>
      </w:pPr>
      <w:r w:rsidRPr="00883125">
        <w:t>Based on these considerations, we conclude that it is reasonable to not adjust any of our estimates of the utilisation rate for the time value of money where this effect is not already accounted for.</w:t>
      </w:r>
    </w:p>
    <w:p w:rsidR="00B27BE5" w:rsidRPr="00883125" w:rsidRDefault="00B27BE5" w:rsidP="00B27BE5">
      <w:pPr>
        <w:pStyle w:val="HeadingBoldBlue"/>
        <w:numPr>
          <w:ilvl w:val="0"/>
          <w:numId w:val="24"/>
        </w:numPr>
      </w:pPr>
      <w:r w:rsidRPr="00883125">
        <w:t>Portfolio effects</w:t>
      </w:r>
    </w:p>
    <w:p w:rsidR="00B27BE5" w:rsidRPr="00883125" w:rsidRDefault="00B27BE5" w:rsidP="00B27BE5">
      <w:r w:rsidRPr="00883125">
        <w:t>Service providers submit that investors may shift their portfolio away from the optimal portfolio towards a more local portfolio in order to utilise more imputation credits.</w:t>
      </w:r>
      <w:r w:rsidRPr="00883125">
        <w:rPr>
          <w:rStyle w:val="FootnoteReference"/>
        </w:rPr>
        <w:footnoteReference w:id="407"/>
      </w:r>
      <w:r w:rsidRPr="00883125">
        <w:t xml:space="preserve"> It is submitted that to the extent than an investor reduces the value of their overall portfolio simply to increase their redemption of imputation credits, this loss in value will be reflected in a lower valuation of imputation credits. Gray's report (for SFG) to the service providers on this topic referred to the 'cost of losing diversification'.</w:t>
      </w:r>
      <w:r w:rsidRPr="00883125">
        <w:rPr>
          <w:rStyle w:val="FootnoteReference"/>
        </w:rPr>
        <w:footnoteReference w:id="408"/>
      </w:r>
      <w:r w:rsidRPr="00883125">
        <w:t xml:space="preserve"> However, as discussed in section </w:t>
      </w:r>
      <w:r w:rsidRPr="00883125">
        <w:fldChar w:fldCharType="begin"/>
      </w:r>
      <w:r w:rsidRPr="00883125">
        <w:instrText xml:space="preserve"> REF _Ref401748758 \r \h </w:instrText>
      </w:r>
      <w:r w:rsidRPr="00883125">
        <w:fldChar w:fldCharType="separate"/>
      </w:r>
      <w:r w:rsidR="00881794">
        <w:t>A.8.1</w:t>
      </w:r>
      <w:r w:rsidRPr="00883125">
        <w:fldChar w:fldCharType="end"/>
      </w:r>
      <w:r w:rsidRPr="00883125">
        <w:t xml:space="preserve">, Handley advised that our estimate of the utilisation rate should exclude 'diversification costs'. More specifically, we do not agree that portfolio effects would mean that a dollar of imputation credits in the hands of an eligible investor would be worth less than one dollar to </w:t>
      </w:r>
      <w:r w:rsidRPr="00883125">
        <w:lastRenderedPageBreak/>
        <w:t>that investor on a pre-personal-tax and pre-personal-costs basis. We made this point in our prior decisions and the service providers and their consultants have not commented on it. We consider that it is reasonable to not adjust any of our estimates of the utilisation rate for portfolio effects.</w:t>
      </w:r>
    </w:p>
    <w:p w:rsidR="00B27BE5" w:rsidRPr="00883125" w:rsidRDefault="00B27BE5" w:rsidP="00B27BE5">
      <w:pPr>
        <w:pStyle w:val="HeadingBoldBlue"/>
      </w:pPr>
      <w:r w:rsidRPr="00883125">
        <w:t>The 'illustrative impact' of these factors</w:t>
      </w:r>
    </w:p>
    <w:p w:rsidR="00B27BE5" w:rsidRPr="00883125" w:rsidRDefault="00B27BE5" w:rsidP="00B27BE5">
      <w:r w:rsidRPr="00883125">
        <w:t>Service providers submitted that, because of the factors set out above, our implied point estimates of the utilisation rate are 'well above any possible measure of the value of distributed imputation credits'.</w:t>
      </w:r>
      <w:r w:rsidRPr="00883125">
        <w:rPr>
          <w:rStyle w:val="FootnoteReference"/>
        </w:rPr>
        <w:footnoteReference w:id="409"/>
      </w:r>
      <w:r w:rsidRPr="00883125">
        <w:t xml:space="preserve"> In support of this, a number of service providers presented </w:t>
      </w:r>
      <w:r w:rsidRPr="00883125">
        <w:fldChar w:fldCharType="begin"/>
      </w:r>
      <w:r w:rsidRPr="00883125">
        <w:instrText xml:space="preserve"> REF  _Ref415078600 \* Lower \h </w:instrText>
      </w:r>
      <w:r w:rsidRPr="00883125">
        <w:fldChar w:fldCharType="separate"/>
      </w:r>
      <w:r w:rsidR="00881794" w:rsidRPr="00883125">
        <w:t xml:space="preserve">figure </w:t>
      </w:r>
      <w:r w:rsidR="00881794">
        <w:rPr>
          <w:noProof/>
        </w:rPr>
        <w:t>4</w:t>
      </w:r>
      <w:r w:rsidR="00881794" w:rsidRPr="00883125">
        <w:t>.</w:t>
      </w:r>
      <w:r w:rsidR="00881794">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881794" w:rsidRPr="00883125">
        <w:t xml:space="preserve">figure </w:t>
      </w:r>
      <w:r w:rsidR="00881794">
        <w:rPr>
          <w:noProof/>
        </w:rPr>
        <w:t>4</w:t>
      </w:r>
      <w:r w:rsidR="00881794" w:rsidRPr="00883125">
        <w:t>.</w:t>
      </w:r>
      <w:r w:rsidR="00881794">
        <w:rPr>
          <w:noProof/>
        </w:rPr>
        <w:t>2</w:t>
      </w:r>
      <w:r w:rsidRPr="00883125">
        <w:fldChar w:fldCharType="end"/>
      </w:r>
      <w:r w:rsidRPr="00883125">
        <w:t xml:space="preserve">. </w:t>
      </w:r>
    </w:p>
    <w:p w:rsidR="00B27BE5" w:rsidRPr="00883125" w:rsidRDefault="00B27BE5" w:rsidP="00B27BE5">
      <w:pPr>
        <w:pStyle w:val="Caption"/>
      </w:pPr>
      <w:bookmarkStart w:id="136" w:name="_Ref415078600"/>
      <w:r w:rsidRPr="00883125">
        <w:t xml:space="preserve">Figure </w:t>
      </w:r>
      <w:r w:rsidRPr="00B27BE5">
        <w:fldChar w:fldCharType="begin"/>
      </w:r>
      <w:r>
        <w:instrText xml:space="preserve"> STYLEREF 1 \s </w:instrText>
      </w:r>
      <w:r w:rsidRPr="00B27BE5">
        <w:fldChar w:fldCharType="separate"/>
      </w:r>
      <w:r w:rsidR="00881794">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881794">
        <w:rPr>
          <w:noProof/>
        </w:rPr>
        <w:t>1</w:t>
      </w:r>
      <w:r w:rsidRPr="00B27BE5">
        <w:fldChar w:fldCharType="end"/>
      </w:r>
      <w:bookmarkEnd w:id="136"/>
      <w:r w:rsidRPr="00883125">
        <w:tab/>
        <w:t>Illustrative impact on value of imputation credits – listed equity</w:t>
      </w:r>
    </w:p>
    <w:p w:rsidR="00B27BE5" w:rsidRPr="00883125" w:rsidRDefault="00B27BE5" w:rsidP="00B27BE5">
      <w:r w:rsidRPr="00B27BE5">
        <w:rPr>
          <w:noProof/>
          <w:lang w:eastAsia="en-AU"/>
        </w:rPr>
        <w:drawing>
          <wp:inline distT="0" distB="0" distL="0" distR="0" wp14:anchorId="5C87544D" wp14:editId="4EB9EAE2">
            <wp:extent cx="5328000" cy="3474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B27BE5" w:rsidRPr="00883125" w:rsidRDefault="00B27BE5" w:rsidP="00B27BE5">
      <w:pPr>
        <w:pStyle w:val="AERtablesource"/>
      </w:pPr>
      <w:r w:rsidRPr="00883125">
        <w:t>Source:</w:t>
      </w:r>
      <w:r w:rsidRPr="00883125">
        <w:tab/>
      </w:r>
      <w:r w:rsidR="00B9466C" w:rsidRPr="00B9466C">
        <w:t>Ausgrid, Attachment 7.07 Ausgrid's revised proposal on gamma, January 2015, p. 16</w:t>
      </w:r>
      <w:r w:rsidR="00F11B9E">
        <w:t>.</w:t>
      </w:r>
    </w:p>
    <w:p w:rsidR="00B27BE5" w:rsidRPr="00883125" w:rsidRDefault="00B27BE5" w:rsidP="00B27BE5">
      <w:pPr>
        <w:pStyle w:val="Caption"/>
      </w:pPr>
      <w:bookmarkStart w:id="137" w:name="_Ref415078618"/>
      <w:r w:rsidRPr="00883125">
        <w:lastRenderedPageBreak/>
        <w:t xml:space="preserve">Figure </w:t>
      </w:r>
      <w:r w:rsidRPr="00B27BE5">
        <w:fldChar w:fldCharType="begin"/>
      </w:r>
      <w:r>
        <w:instrText xml:space="preserve"> STYLEREF 1 \s </w:instrText>
      </w:r>
      <w:r w:rsidRPr="00B27BE5">
        <w:fldChar w:fldCharType="separate"/>
      </w:r>
      <w:r w:rsidR="00881794">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881794">
        <w:rPr>
          <w:noProof/>
        </w:rPr>
        <w:t>2</w:t>
      </w:r>
      <w:r w:rsidRPr="00B27BE5">
        <w:fldChar w:fldCharType="end"/>
      </w:r>
      <w:bookmarkEnd w:id="137"/>
      <w:r w:rsidRPr="00883125">
        <w:tab/>
        <w:t>Illustrative impact on value of imputation credits – all equity</w:t>
      </w:r>
    </w:p>
    <w:p w:rsidR="00B27BE5" w:rsidRPr="00883125" w:rsidRDefault="00B27BE5" w:rsidP="00B27BE5">
      <w:r w:rsidRPr="00B27BE5">
        <w:rPr>
          <w:noProof/>
          <w:lang w:eastAsia="en-AU"/>
        </w:rPr>
        <w:drawing>
          <wp:inline distT="0" distB="0" distL="0" distR="0" wp14:anchorId="4D74C2EE" wp14:editId="136714B5">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B27BE5" w:rsidRPr="00883125" w:rsidRDefault="00B27BE5" w:rsidP="00B27BE5">
      <w:pPr>
        <w:pStyle w:val="AERtablesource"/>
      </w:pPr>
      <w:r w:rsidRPr="00883125">
        <w:t>Source:</w:t>
      </w:r>
      <w:r w:rsidRPr="00883125">
        <w:tab/>
      </w:r>
      <w:r w:rsidR="00B9466C" w:rsidRPr="00B9466C">
        <w:t>Ausgrid, Attachment 7.07 Ausgrid's revised proposal on gamma, January 2015, p. 1</w:t>
      </w:r>
      <w:r w:rsidR="00B9466C">
        <w:t>7</w:t>
      </w:r>
      <w:r w:rsidR="00B9466C" w:rsidRPr="00B9466C">
        <w:t>.</w:t>
      </w:r>
    </w:p>
    <w:p w:rsidR="00B27BE5" w:rsidRPr="00883125" w:rsidRDefault="00B27BE5" w:rsidP="00B27BE5">
      <w:r w:rsidRPr="00883125">
        <w:t>As already discussed, there is disagreement between the service providers and us on whether the utilisation rate (and therefore the value of imputation credits) should be estimated on a basis that is 'before' or 'after' the taxes and costs incurred by investors. The service providers consider that the value of imputation credits should be estimated 'after' these factors. Given these factors can only result in the diminution of the value of credits, it follows that the service providers' preferred estimate of the value of imputation credits will be no higher than that estimated on a before-personal-tax and before-personal-costs basis.</w:t>
      </w:r>
    </w:p>
    <w:p w:rsidR="00B27BE5" w:rsidRPr="00883125" w:rsidRDefault="00B27BE5" w:rsidP="00B27BE5">
      <w:r w:rsidRPr="00883125">
        <w:t xml:space="preserve">This notwithstanding, we consider that there are a number of problems with </w:t>
      </w:r>
      <w:r w:rsidRPr="00883125">
        <w:fldChar w:fldCharType="begin"/>
      </w:r>
      <w:r w:rsidRPr="00883125">
        <w:instrText xml:space="preserve"> REF  _Ref415078600 \* Lower \h </w:instrText>
      </w:r>
      <w:r w:rsidRPr="00883125">
        <w:fldChar w:fldCharType="separate"/>
      </w:r>
      <w:r w:rsidR="00881794" w:rsidRPr="00883125">
        <w:t xml:space="preserve">figure </w:t>
      </w:r>
      <w:r w:rsidR="00881794">
        <w:rPr>
          <w:noProof/>
        </w:rPr>
        <w:t>4</w:t>
      </w:r>
      <w:r w:rsidR="00881794" w:rsidRPr="00883125">
        <w:t>.</w:t>
      </w:r>
      <w:r w:rsidR="00881794">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881794" w:rsidRPr="00883125">
        <w:t xml:space="preserve">figure </w:t>
      </w:r>
      <w:r w:rsidR="00881794">
        <w:rPr>
          <w:noProof/>
        </w:rPr>
        <w:t>4</w:t>
      </w:r>
      <w:r w:rsidR="00881794" w:rsidRPr="00883125">
        <w:t>.</w:t>
      </w:r>
      <w:r w:rsidR="00881794">
        <w:rPr>
          <w:noProof/>
        </w:rPr>
        <w:t>2</w:t>
      </w:r>
      <w:r w:rsidRPr="00883125">
        <w:fldChar w:fldCharType="end"/>
      </w:r>
      <w:r w:rsidRPr="00883125">
        <w:t>. Moreover, the figures suggest that the value of distributed credits on which the service providers rely is likely understated relative to the (after-personal-tax and after-personal-costs) value to investors in all equity.</w:t>
      </w:r>
    </w:p>
    <w:p w:rsidR="00B27BE5" w:rsidRPr="00883125" w:rsidRDefault="00B27BE5" w:rsidP="00B27BE5">
      <w:pPr>
        <w:pStyle w:val="HeadingBoldItalic"/>
      </w:pPr>
      <w:r w:rsidRPr="00883125">
        <w:t>The relevant equity ownership share</w:t>
      </w:r>
    </w:p>
    <w:p w:rsidR="00B27BE5" w:rsidRPr="00883125" w:rsidRDefault="00B27BE5" w:rsidP="00B27BE5">
      <w:r w:rsidRPr="00883125">
        <w:t xml:space="preserve">The key difference between the figures is that in </w:t>
      </w:r>
      <w:r w:rsidRPr="00883125">
        <w:fldChar w:fldCharType="begin"/>
      </w:r>
      <w:r w:rsidRPr="00883125">
        <w:instrText xml:space="preserve"> REF  _Ref415078600 \* Lower \h </w:instrText>
      </w:r>
      <w:r w:rsidRPr="00883125">
        <w:fldChar w:fldCharType="separate"/>
      </w:r>
      <w:r w:rsidR="00881794" w:rsidRPr="00883125">
        <w:t xml:space="preserve">figure </w:t>
      </w:r>
      <w:r w:rsidR="00881794">
        <w:rPr>
          <w:noProof/>
        </w:rPr>
        <w:t>4</w:t>
      </w:r>
      <w:r w:rsidR="00881794" w:rsidRPr="00883125">
        <w:t>.</w:t>
      </w:r>
      <w:r w:rsidR="00881794">
        <w:rPr>
          <w:noProof/>
        </w:rPr>
        <w:t>1</w:t>
      </w:r>
      <w:r w:rsidRPr="00883125">
        <w:fldChar w:fldCharType="end"/>
      </w:r>
      <w:r w:rsidRPr="00883125">
        <w:t xml:space="preserve"> the SFG estimate of the value of distributed credits is ultimately compared to the refined share of foreign ownership of listed equity, and in </w:t>
      </w:r>
      <w:r w:rsidRPr="00883125">
        <w:fldChar w:fldCharType="begin"/>
      </w:r>
      <w:r w:rsidRPr="00883125">
        <w:instrText xml:space="preserve"> REF  _Ref415078618 \* Lower \h </w:instrText>
      </w:r>
      <w:r w:rsidRPr="00883125">
        <w:fldChar w:fldCharType="separate"/>
      </w:r>
      <w:r w:rsidR="00881794" w:rsidRPr="00883125">
        <w:t xml:space="preserve">figure </w:t>
      </w:r>
      <w:r w:rsidR="00881794">
        <w:rPr>
          <w:noProof/>
        </w:rPr>
        <w:t>4</w:t>
      </w:r>
      <w:r w:rsidR="00881794" w:rsidRPr="00883125">
        <w:t>.</w:t>
      </w:r>
      <w:r w:rsidR="00881794">
        <w:rPr>
          <w:noProof/>
        </w:rPr>
        <w:t>2</w:t>
      </w:r>
      <w:r w:rsidRPr="00883125">
        <w:fldChar w:fldCharType="end"/>
      </w:r>
      <w:r w:rsidRPr="00883125">
        <w:t xml:space="preserve"> the comparison is made with the refined share of foreign ownership in all equity. However, Gray (for SFG) indicated that if the value of distributed credits is estimated via a 'market value approach' (such as SFG's dividend drop off study), then the </w:t>
      </w:r>
      <w:r w:rsidRPr="00883125">
        <w:lastRenderedPageBreak/>
        <w:t>estimate will represent 'an average across all listed firms'.</w:t>
      </w:r>
      <w:r w:rsidRPr="00883125">
        <w:rPr>
          <w:rStyle w:val="FootnoteReference"/>
        </w:rPr>
        <w:footnoteReference w:id="410"/>
      </w:r>
      <w:r w:rsidRPr="00883125">
        <w:t xml:space="preserve"> Accordingly, the relevant foreign ownership share is that of listed equity, and it would be internally inconsistent to compare the SFG estimate of the value of distributed credits with the foreign ownership share of all equity (as the service providers have done in </w:t>
      </w:r>
      <w:r w:rsidRPr="00883125">
        <w:fldChar w:fldCharType="begin"/>
      </w:r>
      <w:r w:rsidRPr="00883125">
        <w:instrText xml:space="preserve"> REF  _Ref415078618 \* Lower \h </w:instrText>
      </w:r>
      <w:r w:rsidRPr="00883125">
        <w:fldChar w:fldCharType="separate"/>
      </w:r>
      <w:r w:rsidR="00881794" w:rsidRPr="00883125">
        <w:t xml:space="preserve">figure </w:t>
      </w:r>
      <w:r w:rsidR="00881794">
        <w:rPr>
          <w:noProof/>
        </w:rPr>
        <w:t>4</w:t>
      </w:r>
      <w:r w:rsidR="00881794" w:rsidRPr="00883125">
        <w:t>.</w:t>
      </w:r>
      <w:r w:rsidR="00881794">
        <w:rPr>
          <w:noProof/>
        </w:rPr>
        <w:t>2</w:t>
      </w:r>
      <w:r w:rsidRPr="00883125">
        <w:fldChar w:fldCharType="end"/>
      </w:r>
      <w:r w:rsidRPr="00883125">
        <w:t>).</w:t>
      </w:r>
    </w:p>
    <w:p w:rsidR="00B27BE5" w:rsidRPr="00883125" w:rsidRDefault="00B27BE5" w:rsidP="00B27BE5">
      <w:r w:rsidRPr="00883125">
        <w:t>It also seems that the SFG estimate of the value of distributed credits reflects the average value over the sample period of the data used by SFG: July 2001 to October 2012. If so, this estimate should be compared with the average, refined foreign ownership share of listed equity over a similar period (June 2001 to December 2012). This is equal to 0.51.</w:t>
      </w:r>
    </w:p>
    <w:p w:rsidR="00B27BE5" w:rsidRPr="00883125" w:rsidRDefault="00B27BE5" w:rsidP="00B27BE5">
      <w:pPr>
        <w:pStyle w:val="HeadingBoldItalic"/>
      </w:pPr>
      <w:r w:rsidRPr="00883125">
        <w:t>Implications for the value of distributed credits across investors in all equity</w:t>
      </w:r>
    </w:p>
    <w:p w:rsidR="00B27BE5" w:rsidRPr="00883125" w:rsidRDefault="00B27BE5" w:rsidP="00B27BE5">
      <w:r w:rsidRPr="00883125">
        <w:t xml:space="preserve">Although we have above identified the inconsistency in comparing SFG's dividend drop off estimate of the value of distributed credits to the foreign ownership share of all equity, </w:t>
      </w:r>
      <w:r w:rsidRPr="00883125">
        <w:fldChar w:fldCharType="begin"/>
      </w:r>
      <w:r w:rsidRPr="00883125">
        <w:instrText xml:space="preserve"> REF  _Ref415078600 \* Lower \h </w:instrText>
      </w:r>
      <w:r w:rsidRPr="00883125">
        <w:fldChar w:fldCharType="separate"/>
      </w:r>
      <w:r w:rsidR="00881794" w:rsidRPr="00883125">
        <w:t xml:space="preserve">figure </w:t>
      </w:r>
      <w:r w:rsidR="00881794">
        <w:rPr>
          <w:noProof/>
        </w:rPr>
        <w:t>4</w:t>
      </w:r>
      <w:r w:rsidR="00881794" w:rsidRPr="00883125">
        <w:t>.</w:t>
      </w:r>
      <w:r w:rsidR="00881794">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881794" w:rsidRPr="00883125">
        <w:t xml:space="preserve">figure </w:t>
      </w:r>
      <w:r w:rsidR="00881794">
        <w:rPr>
          <w:noProof/>
        </w:rPr>
        <w:t>4</w:t>
      </w:r>
      <w:r w:rsidR="00881794" w:rsidRPr="00883125">
        <w:t>.</w:t>
      </w:r>
      <w:r w:rsidR="00881794">
        <w:rPr>
          <w:noProof/>
        </w:rPr>
        <w:t>2</w:t>
      </w:r>
      <w:r w:rsidRPr="00883125">
        <w:fldChar w:fldCharType="end"/>
      </w:r>
      <w:r w:rsidRPr="00883125">
        <w:t xml:space="preserve"> appear to be intended to indicate that the presence of foreign investors is a relevant source of the diminution of the market-wide value of distributed credits. This suggests that, all else held equal, an implied market value study conducted over all equity might produce a higher estimate of the value of distributed credits. This would be because the foreign ownership share of all equity is lower. </w:t>
      </w:r>
    </w:p>
    <w:p w:rsidR="00B27BE5" w:rsidRPr="00883125" w:rsidRDefault="00B27BE5" w:rsidP="00B27BE5">
      <w:r w:rsidRPr="00883125">
        <w:t xml:space="preserve">Using the relevant estimate of the foreign equity ownership share discussed above, the logic of </w:t>
      </w:r>
      <w:r w:rsidRPr="00883125">
        <w:fldChar w:fldCharType="begin"/>
      </w:r>
      <w:r w:rsidRPr="00883125">
        <w:instrText xml:space="preserve"> REF  _Ref415078600 \* Lower \h </w:instrText>
      </w:r>
      <w:r w:rsidRPr="00883125">
        <w:fldChar w:fldCharType="separate"/>
      </w:r>
      <w:r w:rsidR="00881794" w:rsidRPr="00883125">
        <w:t xml:space="preserve">figure </w:t>
      </w:r>
      <w:r w:rsidR="00881794">
        <w:rPr>
          <w:noProof/>
        </w:rPr>
        <w:t>4</w:t>
      </w:r>
      <w:r w:rsidR="00881794" w:rsidRPr="00883125">
        <w:t>.</w:t>
      </w:r>
      <w:r w:rsidR="00881794">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881794" w:rsidRPr="00883125">
        <w:t xml:space="preserve">figure </w:t>
      </w:r>
      <w:r w:rsidR="00881794">
        <w:rPr>
          <w:noProof/>
        </w:rPr>
        <w:t>4</w:t>
      </w:r>
      <w:r w:rsidR="00881794" w:rsidRPr="00883125">
        <w:t>.</w:t>
      </w:r>
      <w:r w:rsidR="00881794">
        <w:rPr>
          <w:noProof/>
        </w:rPr>
        <w:t>2</w:t>
      </w:r>
      <w:r w:rsidRPr="00883125">
        <w:fldChar w:fldCharType="end"/>
      </w:r>
      <w:r w:rsidRPr="00883125">
        <w:t xml:space="preserve"> indicates that SFG's estimate of the value of distributed credits (0.35) represents the diminution of the face value of distributed credits by 51 per cent due to the presence of foreign investors and by (1 - 0.35 - 0.51 =) 14 per cent due to other factors (including differential personal taxes and risk). If the combined diminution due to these other factors is the same for investors in all equity, then the logic of the figures indicates that the value of distributed credits across investors in all equity might be (1 - 0.14 - 0.39 =) 0.47.</w:t>
      </w:r>
      <w:r w:rsidRPr="00883125">
        <w:rPr>
          <w:rStyle w:val="FootnoteReference"/>
        </w:rPr>
        <w:footnoteReference w:id="411"/>
      </w:r>
    </w:p>
    <w:p w:rsidR="00B27BE5" w:rsidRPr="00883125" w:rsidRDefault="00B27BE5" w:rsidP="00B27BE5">
      <w:pPr>
        <w:pStyle w:val="HeadingBoldItalic"/>
      </w:pPr>
      <w:r w:rsidRPr="00883125">
        <w:t>Comparison to the redemption rate from tax statistics</w:t>
      </w:r>
    </w:p>
    <w:p w:rsidR="00B27BE5" w:rsidRPr="00883125" w:rsidRDefault="00B27BE5" w:rsidP="00B27BE5">
      <w:r w:rsidRPr="00883125">
        <w:t>The figures suggest that the difference between the foreign ownership share and the redemption rate from tax statistics is an estimate of the credits distributed to domestic investors who do not redeem them. The figures suggest that this might be because of the 45-day holding rule and/or transactions costs. We consider that there are a number of problems with this estimate.</w:t>
      </w:r>
    </w:p>
    <w:p w:rsidR="00B27BE5" w:rsidRPr="00883125" w:rsidRDefault="00B27BE5" w:rsidP="00B27BE5">
      <w:r w:rsidRPr="00883125">
        <w:t>Firstly, the redemption rate from tax statistics reflects all equity, and therefore it is inconsistent to compare it to the foreign ownership share of listed equity.</w:t>
      </w:r>
    </w:p>
    <w:p w:rsidR="00B27BE5" w:rsidRPr="00883125" w:rsidRDefault="00B27BE5" w:rsidP="00B27BE5">
      <w:pPr>
        <w:rPr>
          <w:rStyle w:val="AERbody"/>
        </w:rPr>
      </w:pPr>
      <w:r w:rsidRPr="00883125">
        <w:t xml:space="preserve">Secondly, this estimate does not contemplate error or inaccuracy in the tax statistics. In section </w:t>
      </w:r>
      <w:r w:rsidR="007D5FF3">
        <w:fldChar w:fldCharType="begin"/>
      </w:r>
      <w:r w:rsidR="007D5FF3">
        <w:instrText xml:space="preserve"> REF _Ref451291076 \r \h </w:instrText>
      </w:r>
      <w:r w:rsidR="007D5FF3">
        <w:fldChar w:fldCharType="separate"/>
      </w:r>
      <w:r w:rsidR="00881794">
        <w:t>4.4</w:t>
      </w:r>
      <w:r w:rsidR="007D5FF3">
        <w:fldChar w:fldCharType="end"/>
      </w:r>
      <w:r w:rsidRPr="00883125">
        <w:t xml:space="preserve">, we set out the data concerns that exist regarding the tax statistics. The service providers that we released draft decisions for in 2014 submitted in their initial proposals that no weight be placed on estimates of the utilisation rate from tax statistics because of </w:t>
      </w:r>
      <w:r w:rsidRPr="00883125">
        <w:lastRenderedPageBreak/>
        <w:t>significant unresolved problems with the data.</w:t>
      </w:r>
      <w:r w:rsidRPr="00883125">
        <w:rPr>
          <w:rStyle w:val="FootnoteReference"/>
        </w:rPr>
        <w:footnoteReference w:id="412"/>
      </w:r>
      <w:r w:rsidRPr="00883125">
        <w:t xml:space="preserve"> </w:t>
      </w:r>
      <w:r w:rsidRPr="00883125">
        <w:rPr>
          <w:rStyle w:val="AERbody"/>
        </w:rPr>
        <w:t>NERA has subsequently submitted that tax statistics can be used to estimate a value for theta consistent with a 70% distribution rate, and can also be used to estimate an upper bound value for gamma.</w:t>
      </w:r>
      <w:r w:rsidRPr="00883125">
        <w:rPr>
          <w:rStyle w:val="FootnoteReference"/>
        </w:rPr>
        <w:footnoteReference w:id="413"/>
      </w:r>
      <w:r w:rsidRPr="00883125">
        <w:rPr>
          <w:rStyle w:val="AERbody"/>
        </w:rPr>
        <w:t xml:space="preserve"> Gray (for Frontier) appears to support this.</w:t>
      </w:r>
      <w:r w:rsidRPr="00883125">
        <w:rPr>
          <w:rStyle w:val="FootnoteReference"/>
        </w:rPr>
        <w:footnoteReference w:id="414"/>
      </w:r>
      <w:r w:rsidRPr="00883125">
        <w:rPr>
          <w:rStyle w:val="AERbody"/>
        </w:rPr>
        <w:t xml:space="preserve"> However, given the issues with the tax data and Hathaway's caveated comments regarding the data where he says "[t]he conclusion is that I accept the tax payments and FAB data as given post-2003, and assume that the problem is more likely to have arisen within the franked dividend payments data"</w:t>
      </w:r>
      <w:r w:rsidRPr="00883125">
        <w:rPr>
          <w:rStyle w:val="FootnoteReference"/>
        </w:rPr>
        <w:footnoteReference w:id="415"/>
      </w:r>
      <w:r w:rsidRPr="00883125">
        <w:rPr>
          <w:rStyle w:val="AERbody"/>
        </w:rPr>
        <w:t>, we remain of the view we should treat estimates of theta based on tax data with caution. Hathaway's draft 2014 report gives us no cause to change our view.</w:t>
      </w:r>
      <w:r w:rsidRPr="00883125">
        <w:rPr>
          <w:rStyle w:val="FootnoteReference"/>
        </w:rPr>
        <w:footnoteReference w:id="416"/>
      </w:r>
      <w:r w:rsidR="009C317B">
        <w:rPr>
          <w:rStyle w:val="AERbody"/>
        </w:rPr>
        <w:t xml:space="preserve"> Lally</w:t>
      </w:r>
      <w:r w:rsidR="00CB66FF">
        <w:rPr>
          <w:rStyle w:val="AERbody"/>
        </w:rPr>
        <w:t>,</w:t>
      </w:r>
      <w:r w:rsidR="009C317B">
        <w:rPr>
          <w:rStyle w:val="AERbody"/>
        </w:rPr>
        <w:t xml:space="preserve"> in his 2016 report</w:t>
      </w:r>
      <w:r w:rsidR="00CB66FF">
        <w:rPr>
          <w:rStyle w:val="AERbody"/>
        </w:rPr>
        <w:t>,</w:t>
      </w:r>
      <w:r w:rsidR="009C317B">
        <w:rPr>
          <w:rStyle w:val="AERbody"/>
        </w:rPr>
        <w:t xml:space="preserve"> indicates he considers the most likely reason for a difference between the estimate of the utilisation rate from the equity ownership approach and tax statistics is data issues with the tax statistics.</w:t>
      </w:r>
      <w:r w:rsidR="009C317B">
        <w:rPr>
          <w:rStyle w:val="FootnoteReference"/>
        </w:rPr>
        <w:footnoteReference w:id="417"/>
      </w:r>
    </w:p>
    <w:p w:rsidR="00B27BE5" w:rsidRPr="00883125" w:rsidRDefault="00B27BE5" w:rsidP="00B27BE5">
      <w:r w:rsidRPr="00883125">
        <w:t>Thirdly, we are not convinced that the 45-day holding rule and transaction costs are contributing to a material amount of credits not being redeemed. As discussed above, this is because:</w:t>
      </w:r>
    </w:p>
    <w:p w:rsidR="00B27BE5" w:rsidRPr="00883125" w:rsidRDefault="00B27BE5" w:rsidP="00B27BE5">
      <w:pPr>
        <w:pStyle w:val="AERbulletlistfirststyle"/>
      </w:pPr>
      <w:r w:rsidRPr="00883125">
        <w:t>Our analysis of the 45-day rule suggests that it is not having a material effect. Although we acknowledge this analysis is subject to any data quality issues with the tax statistics.</w:t>
      </w:r>
    </w:p>
    <w:p w:rsidR="00B27BE5" w:rsidRPr="00883125" w:rsidRDefault="00B27BE5" w:rsidP="00B27BE5">
      <w:pPr>
        <w:pStyle w:val="AERbulletlistfirststyle"/>
      </w:pPr>
      <w:r w:rsidRPr="00883125">
        <w:t xml:space="preserve">We do not consider that transactions costs are likely to dissuade a material number of investors from redeeming imputation credits. </w:t>
      </w:r>
    </w:p>
    <w:p w:rsidR="00B27BE5" w:rsidRPr="00883125" w:rsidRDefault="00B27BE5" w:rsidP="00B27BE5">
      <w:pPr>
        <w:rPr>
          <w:rStyle w:val="AERbody"/>
        </w:rPr>
      </w:pPr>
      <w:r w:rsidRPr="00883125">
        <w:rPr>
          <w:rStyle w:val="AERbody"/>
        </w:rPr>
        <w:t>In response to the service providers</w:t>
      </w:r>
      <w:r w:rsidR="001925B1">
        <w:rPr>
          <w:rStyle w:val="AERbody"/>
        </w:rPr>
        <w:t>' submissions</w:t>
      </w:r>
      <w:r w:rsidRPr="00883125">
        <w:rPr>
          <w:rStyle w:val="AERbody"/>
        </w:rPr>
        <w:t>,</w:t>
      </w:r>
      <w:r w:rsidRPr="00883125">
        <w:rPr>
          <w:rStyle w:val="FootnoteReference"/>
        </w:rPr>
        <w:footnoteReference w:id="418"/>
      </w:r>
      <w:r w:rsidRPr="00883125">
        <w:rPr>
          <w:rStyle w:val="AERbody"/>
        </w:rPr>
        <w:t xml:space="preserve"> we do not consider there is any inconsistency between Handley's earlier work and subsequent work indicating taxation statistics can be used as a point estimate of theta. Handley has clearly explained why tax statistics can be used as a point estimate for theta, a position we agree with.</w:t>
      </w:r>
      <w:r w:rsidRPr="00883125">
        <w:rPr>
          <w:rStyle w:val="FootnoteReference"/>
        </w:rPr>
        <w:footnoteReference w:id="419"/>
      </w:r>
      <w:r w:rsidRPr="00883125">
        <w:rPr>
          <w:rStyle w:val="AERbody"/>
        </w:rPr>
        <w:t xml:space="preserve"> While we acknowledge that the ultimate source of the value for imputation credits is from redemption, this does not prevent an estimate of the redemption value from taxation statistics being a point estimate</w:t>
      </w:r>
      <w:r w:rsidR="001925B1">
        <w:rPr>
          <w:rStyle w:val="AERbody"/>
        </w:rPr>
        <w:t>.</w:t>
      </w:r>
      <w:r w:rsidRPr="00883125">
        <w:rPr>
          <w:rStyle w:val="AERbody"/>
        </w:rPr>
        <w:t xml:space="preserve"> </w:t>
      </w:r>
      <w:r w:rsidR="001925B1">
        <w:rPr>
          <w:rStyle w:val="AERbody"/>
        </w:rPr>
        <w:t>W</w:t>
      </w:r>
      <w:r w:rsidR="001925B1" w:rsidRPr="00883125">
        <w:rPr>
          <w:rStyle w:val="AERbody"/>
        </w:rPr>
        <w:t xml:space="preserve">e </w:t>
      </w:r>
      <w:r w:rsidRPr="00883125">
        <w:rPr>
          <w:rStyle w:val="AERbody"/>
        </w:rPr>
        <w:t>note, given the uncertainty with estimates based on the tax data, the true (unobservable) redemption value could be above or below the estimate.</w:t>
      </w:r>
    </w:p>
    <w:p w:rsidR="00B27BE5" w:rsidRPr="00883125" w:rsidRDefault="00B27BE5" w:rsidP="00B27BE5">
      <w:pPr>
        <w:rPr>
          <w:rStyle w:val="AERbody"/>
        </w:rPr>
      </w:pPr>
      <w:r w:rsidRPr="00883125">
        <w:rPr>
          <w:rStyle w:val="AERbody"/>
        </w:rPr>
        <w:t xml:space="preserve">In section </w:t>
      </w:r>
      <w:r w:rsidRPr="00883125">
        <w:rPr>
          <w:rStyle w:val="AERbody"/>
        </w:rPr>
        <w:fldChar w:fldCharType="begin"/>
      </w:r>
      <w:r w:rsidRPr="00883125">
        <w:rPr>
          <w:rStyle w:val="AERbody"/>
        </w:rPr>
        <w:instrText xml:space="preserve"> REF _Ref450298682 \r \h </w:instrText>
      </w:r>
      <w:r w:rsidRPr="00883125">
        <w:rPr>
          <w:rStyle w:val="AERbody"/>
        </w:rPr>
      </w:r>
      <w:r w:rsidRPr="00883125">
        <w:rPr>
          <w:rStyle w:val="AERbody"/>
        </w:rPr>
        <w:fldChar w:fldCharType="separate"/>
      </w:r>
      <w:r w:rsidR="00881794">
        <w:rPr>
          <w:rStyle w:val="AERbody"/>
        </w:rPr>
        <w:t>A.14</w:t>
      </w:r>
      <w:r w:rsidRPr="00883125">
        <w:rPr>
          <w:rStyle w:val="AERbody"/>
        </w:rPr>
        <w:fldChar w:fldCharType="end"/>
      </w:r>
      <w:r w:rsidRPr="00883125">
        <w:rPr>
          <w:rStyle w:val="AERbody"/>
        </w:rPr>
        <w:t xml:space="preserve">, the difference between the utilisation </w:t>
      </w:r>
      <w:r w:rsidRPr="00883125">
        <w:t>value</w:t>
      </w:r>
      <w:r w:rsidRPr="00883125">
        <w:rPr>
          <w:rStyle w:val="AERbody"/>
        </w:rPr>
        <w:t xml:space="preserve"> from the equity ownership approach and taxation statistics is analysed</w:t>
      </w:r>
      <w:r w:rsidR="00981C06">
        <w:rPr>
          <w:rStyle w:val="AERbody"/>
        </w:rPr>
        <w:t>.</w:t>
      </w:r>
    </w:p>
    <w:p w:rsidR="00DB67BE" w:rsidRPr="00883125" w:rsidRDefault="00DB67BE" w:rsidP="00DB67BE">
      <w:pPr>
        <w:pStyle w:val="Heading9"/>
      </w:pPr>
      <w:bookmarkStart w:id="138" w:name="_Ref415068711"/>
      <w:bookmarkStart w:id="139" w:name="_Toc436049450"/>
      <w:r w:rsidRPr="00883125">
        <w:lastRenderedPageBreak/>
        <w:t>NERA's comments on the utilisation rate</w:t>
      </w:r>
    </w:p>
    <w:p w:rsidR="00DB67BE" w:rsidRPr="00883125" w:rsidRDefault="00DB67BE" w:rsidP="00DB67BE">
      <w:r w:rsidRPr="00883125">
        <w:t>NERA submitted that theta is the value that a representative investor places on a dollar of distributed imputation credits.</w:t>
      </w:r>
      <w:r w:rsidRPr="00883125">
        <w:rPr>
          <w:rStyle w:val="FootnoteReference"/>
        </w:rPr>
        <w:footnoteReference w:id="420"/>
      </w:r>
      <w:r w:rsidRPr="00883125">
        <w:t xml:space="preserve"> NERA also presented a simple derivation of theta. The simple model employed by NERA consisted of, among other things: a set of domestic and foreign investors; a domestic asset that distributes imputation credits; and a foreign asset that does not distribute imputation credits. NERA showed that in this model:</w:t>
      </w:r>
    </w:p>
    <w:p w:rsidR="00DB67BE" w:rsidRPr="00883125" w:rsidRDefault="00DB67BE" w:rsidP="00DB67BE">
      <m:oMathPara>
        <m:oMath>
          <m:r>
            <w:rPr>
              <w:rFonts w:ascii="Cambria Math" w:hAnsi="Cambria Math"/>
            </w:rPr>
            <m:t>θ=</m:t>
          </m:r>
          <m:f>
            <m:fPr>
              <m:ctrlPr>
                <w:rPr>
                  <w:rFonts w:ascii="Cambria Math" w:hAnsi="Cambria Math"/>
                </w:rPr>
              </m:ctrlPr>
            </m:fPr>
            <m:num>
              <m:r>
                <w:rPr>
                  <w:rFonts w:ascii="Cambria Math" w:hAnsi="Cambria Math"/>
                </w:rPr>
                <m:t>D</m:t>
              </m:r>
            </m:num>
            <m:den>
              <m:r>
                <w:rPr>
                  <w:rFonts w:ascii="Cambria Math" w:hAnsi="Cambria Math"/>
                </w:rPr>
                <m:t>D+F</m:t>
              </m:r>
            </m:den>
          </m:f>
        </m:oMath>
      </m:oMathPara>
    </w:p>
    <w:p w:rsidR="00DB67BE" w:rsidRPr="00883125" w:rsidRDefault="00DB67BE" w:rsidP="00DB67BE">
      <w:r w:rsidRPr="00883125">
        <w:t xml:space="preserve">where </w:t>
      </w:r>
      <m:oMath>
        <m:r>
          <w:rPr>
            <w:rFonts w:ascii="Cambria Math" w:hAnsi="Cambria Math"/>
          </w:rPr>
          <m:t>D</m:t>
        </m:r>
      </m:oMath>
      <w:r w:rsidRPr="00883125">
        <w:t xml:space="preserve"> is the wealth of domestic investors and </w:t>
      </w:r>
      <m:oMath>
        <m:r>
          <w:rPr>
            <w:rFonts w:ascii="Cambria Math" w:hAnsi="Cambria Math"/>
          </w:rPr>
          <m:t>F</m:t>
        </m:r>
      </m:oMath>
      <w:r w:rsidRPr="00883125">
        <w:t xml:space="preserve"> is the wealth of foreign investors.</w:t>
      </w:r>
      <w:r w:rsidRPr="00883125">
        <w:rPr>
          <w:rStyle w:val="FootnoteReference"/>
        </w:rPr>
        <w:footnoteReference w:id="421"/>
      </w:r>
      <w:r w:rsidRPr="00883125">
        <w:t xml:space="preserve"> NERA also showed that the redemption rate of imputation credits does not equal theta in this model, and is instead given by the ratio of domestic holdings of the domestic asset to the sum of domestic and foreign holdings of the asset. NERA concluded:</w:t>
      </w:r>
      <w:r w:rsidRPr="00883125">
        <w:rPr>
          <w:rStyle w:val="FootnoteReference"/>
        </w:rPr>
        <w:footnoteReference w:id="422"/>
      </w:r>
    </w:p>
    <w:p w:rsidR="00DB67BE" w:rsidRPr="00883125" w:rsidRDefault="00DB67BE" w:rsidP="00DB67BE">
      <w:pPr>
        <w:pStyle w:val="AERquote"/>
      </w:pPr>
      <w:r w:rsidRPr="00883125">
        <w:t>In a small open economy – like Australia – the proportion of credits created that are redeemed is likely to exceed by a substantial margin the value of a dollar of tax credits created to a representative shareholder.</w:t>
      </w:r>
    </w:p>
    <w:p w:rsidR="00DB67BE" w:rsidRPr="00883125" w:rsidRDefault="00DB67BE" w:rsidP="00DB67BE">
      <w:r w:rsidRPr="00883125">
        <w:t>That is, if domestic investors make up only a small proportion of all investors, then theta will be small. However, this conclusion appears to rely on determining theta in an international CAPM context—domestic and foreign investors can invest in both domestic and foreign assets. By contrast, we determine the value of imputation credits (and other rate of return parameters) using a domestic CAPM. In the domestic CAPM context, domestic investors that are eligible to redeem credits make up a significant proportion of all investors that invest in domestic assets. Further, the scope for a material 'wedge' to arise between the redemption rate and theta in the domestic CAPM context is not clear from NERA's analysis because it only considers the international CAPM context.</w:t>
      </w:r>
    </w:p>
    <w:p w:rsidR="00DB67BE" w:rsidRPr="00883125" w:rsidRDefault="00DB67BE" w:rsidP="00DB67BE">
      <w:r w:rsidRPr="00883125">
        <w:t>Our view is supported by Handley's review of NERA's submission. Handley concluded:</w:t>
      </w:r>
      <w:r w:rsidRPr="00883125">
        <w:rPr>
          <w:rStyle w:val="FootnoteReference"/>
        </w:rPr>
        <w:footnoteReference w:id="423"/>
      </w:r>
    </w:p>
    <w:p w:rsidR="00DB67BE" w:rsidRPr="00883125" w:rsidRDefault="00DB67BE" w:rsidP="00DB67BE">
      <w:pPr>
        <w:pStyle w:val="AERquote"/>
      </w:pPr>
      <w:r w:rsidRPr="00883125">
        <w:t>The problem with the NERA model is that it is an international asset pricing model – along the lines of the Black (1974) International CAPM – whereas the current framework is based within a domestic market setting. This means that domestic investors have only a small market weighting by definition. Clearly, the value of imputation credits in an international asset pricing model will be substantially different from the value of imputation credits in a domestic asset pricing model.</w:t>
      </w:r>
    </w:p>
    <w:p w:rsidR="00DB67BE" w:rsidRPr="00883125" w:rsidRDefault="00DB67BE" w:rsidP="00DB67BE">
      <w:pPr>
        <w:pStyle w:val="AERquote"/>
      </w:pPr>
      <w:r w:rsidRPr="00883125">
        <w:t>…</w:t>
      </w:r>
    </w:p>
    <w:p w:rsidR="00DB67BE" w:rsidRPr="00883125" w:rsidRDefault="00DB67BE" w:rsidP="00DB67BE">
      <w:pPr>
        <w:pStyle w:val="AERquote"/>
      </w:pPr>
      <w:r w:rsidRPr="00883125">
        <w:lastRenderedPageBreak/>
        <w:t xml:space="preserve">In my opinion, NERA’s analysis does not establish the presence of a wedge between theta and the redemption rate and so does not invalidate the use of tax statistics to estimate theta. </w:t>
      </w:r>
    </w:p>
    <w:p w:rsidR="00DB67BE" w:rsidRPr="00883125" w:rsidRDefault="00DB67BE" w:rsidP="00DB67BE">
      <w:pPr>
        <w:rPr>
          <w:rStyle w:val="AERbody"/>
        </w:rPr>
      </w:pPr>
      <w:r w:rsidRPr="00883125">
        <w:rPr>
          <w:rStyle w:val="AERbody"/>
        </w:rPr>
        <w:t>NERA responded to the AER position in the JGN decision in its June 2015 report.</w:t>
      </w:r>
      <w:r w:rsidRPr="00883125">
        <w:rPr>
          <w:rStyle w:val="FootnoteReference"/>
        </w:rPr>
        <w:footnoteReference w:id="424"/>
      </w:r>
      <w:r w:rsidRPr="00883125">
        <w:rPr>
          <w:rStyle w:val="AERbody"/>
        </w:rPr>
        <w:t xml:space="preserve"> In this report NERA put forward several propositions:</w:t>
      </w:r>
    </w:p>
    <w:p w:rsidR="00DB67BE" w:rsidRPr="005764F6" w:rsidRDefault="00DB67BE">
      <w:pPr>
        <w:pStyle w:val="AERbulletlistfirststyle"/>
      </w:pPr>
      <w:r w:rsidRPr="005764F6">
        <w:t xml:space="preserve">It would be expected that the proportions of credits that are redeemed would significantly exceed the value of a dollar of credits to a representative shareholder in a small open economy like Australia. </w:t>
      </w:r>
    </w:p>
    <w:p w:rsidR="00DB67BE" w:rsidRPr="005764F6" w:rsidRDefault="00DB67BE">
      <w:pPr>
        <w:pStyle w:val="AERbulletlistfirststyle"/>
      </w:pPr>
      <w:r w:rsidRPr="005764F6">
        <w:t>The AER's use of a domestic Australian CAPM does not justify any presumption that theta take a non-negligible value.</w:t>
      </w:r>
    </w:p>
    <w:p w:rsidR="00DB67BE" w:rsidRPr="005764F6" w:rsidRDefault="00DB67BE">
      <w:pPr>
        <w:pStyle w:val="AERbulletlistfirststyle"/>
      </w:pPr>
      <w:r w:rsidRPr="005764F6">
        <w:t xml:space="preserve">The estimated cost of capital from a domestic CAPM will equal the cost of capital from an international CAPM under certain assumptions. </w:t>
      </w:r>
    </w:p>
    <w:p w:rsidR="00DB67BE" w:rsidRPr="00883125" w:rsidRDefault="00DB67BE" w:rsidP="00DB67BE">
      <w:pPr>
        <w:rPr>
          <w:rStyle w:val="AERbody"/>
        </w:rPr>
      </w:pPr>
      <w:r w:rsidRPr="00883125">
        <w:rPr>
          <w:rStyle w:val="AERbody"/>
        </w:rPr>
        <w:t>In response, we note that we consider our approach is consistent with our definition of the Australian domestic market in the presence of foreign investors.</w:t>
      </w:r>
    </w:p>
    <w:p w:rsidR="00DB67BE" w:rsidRPr="00883125" w:rsidRDefault="00DB67BE" w:rsidP="00DB67BE">
      <w:pPr>
        <w:rPr>
          <w:rStyle w:val="AERbody"/>
        </w:rPr>
      </w:pPr>
      <w:r w:rsidRPr="00883125">
        <w:rPr>
          <w:rStyle w:val="AERbody"/>
        </w:rPr>
        <w:t>While NERA does show a model consistent with the redemption of credits exceeding the value for theta, you may only get theta falling significantly below the redemption rate under specific assumptions.</w:t>
      </w:r>
      <w:r w:rsidRPr="00883125">
        <w:rPr>
          <w:rStyle w:val="FootnoteReference"/>
        </w:rPr>
        <w:footnoteReference w:id="425"/>
      </w:r>
      <w:r w:rsidRPr="00883125">
        <w:rPr>
          <w:rStyle w:val="AERbody"/>
        </w:rPr>
        <w:t xml:space="preserve"> We also note that NERA's model is an international asset pricing model.</w:t>
      </w:r>
      <w:r w:rsidRPr="00883125">
        <w:rPr>
          <w:rStyle w:val="FootnoteReference"/>
        </w:rPr>
        <w:footnoteReference w:id="426"/>
      </w:r>
      <w:r w:rsidRPr="00883125">
        <w:rPr>
          <w:rStyle w:val="AERbody"/>
        </w:rPr>
        <w:t xml:space="preserve"> This model is inconsistent with our definition of the domestic market. We also consider the use of the international CAPM, with a high proportion of wealth held by foreign investors (NERA using 98% in its primary example) is prima facie inconsistent with the way in which the service providers estimate the return on equity using an Australian Domestic CAPM. Handley shows that NERA's claimed "wedge" between the redemption rate and theta can be either small, if input assumptions are made consistent with our definition of the market (domestic in the presence of foreign investors), or zero or even negative depending on your assumption about a number of largely unobservable factors.</w:t>
      </w:r>
      <w:r w:rsidRPr="00883125">
        <w:rPr>
          <w:rStyle w:val="FootnoteReference"/>
        </w:rPr>
        <w:footnoteReference w:id="427"/>
      </w:r>
      <w:r w:rsidRPr="00883125">
        <w:rPr>
          <w:rStyle w:val="AERbody"/>
        </w:rPr>
        <w:t xml:space="preserve"> NERA response to one of Handley's examples that shows the wedge may be small makes clear they are using an International CAPM to argue Handley's response is invalid stating:</w:t>
      </w:r>
      <w:r w:rsidRPr="00883125">
        <w:rPr>
          <w:rStyle w:val="FootnoteReference"/>
        </w:rPr>
        <w:footnoteReference w:id="428"/>
      </w:r>
    </w:p>
    <w:p w:rsidR="00DB67BE" w:rsidRPr="00DA0E8B" w:rsidRDefault="00DB67BE" w:rsidP="005053A1">
      <w:pPr>
        <w:pStyle w:val="AERquote"/>
      </w:pPr>
      <w:r w:rsidRPr="00DA0E8B">
        <w:t xml:space="preserve">"The assumption that Australian aggregated wealth makes up 60 percent of the world wealth is also very clearly at odds with the evidence and so we conclude that Handley's second example is similarly of no practical relevance." </w:t>
      </w:r>
    </w:p>
    <w:p w:rsidR="00DB67BE" w:rsidRPr="00883125" w:rsidRDefault="00DB67BE" w:rsidP="00DB67BE">
      <w:pPr>
        <w:rPr>
          <w:rStyle w:val="AERbody"/>
        </w:rPr>
      </w:pPr>
      <w:r w:rsidRPr="00883125">
        <w:rPr>
          <w:rStyle w:val="AERbody"/>
        </w:rPr>
        <w:lastRenderedPageBreak/>
        <w:t>We consider this response by NERA of limited relevance given our definition of the relevant market is a domestic market in the presence of foreign investors, a market which we have used to estimate both the return on equity and the value for imputation credits. Handley's example is appropriate given this definition.</w:t>
      </w:r>
    </w:p>
    <w:p w:rsidR="00DB67BE" w:rsidRPr="00883125" w:rsidRDefault="00DB67BE" w:rsidP="00DB67BE">
      <w:pPr>
        <w:rPr>
          <w:rStyle w:val="AERbody"/>
        </w:rPr>
      </w:pPr>
      <w:r w:rsidRPr="00883125">
        <w:rPr>
          <w:rStyle w:val="AERbody"/>
        </w:rPr>
        <w:t>While NERA responded to the position that theta could exceed the redemption rate arguing the market will not clear, irrespective of this we consider the wedge is not clearly material under our definition of the market and as Handley notes, the current framework is based within a domestic market setting.</w:t>
      </w:r>
      <w:r w:rsidRPr="00883125">
        <w:rPr>
          <w:rStyle w:val="FootnoteReference"/>
        </w:rPr>
        <w:footnoteReference w:id="429"/>
      </w:r>
      <w:r w:rsidRPr="00883125">
        <w:rPr>
          <w:rStyle w:val="AERbody"/>
        </w:rPr>
        <w:t xml:space="preserve"> NERA's comment in a separate report that it does not recommend the use of an International CAPM does not resolve this inconsistency issue.</w:t>
      </w:r>
      <w:r w:rsidRPr="00883125">
        <w:rPr>
          <w:rStyle w:val="FootnoteReference"/>
        </w:rPr>
        <w:footnoteReference w:id="430"/>
      </w:r>
    </w:p>
    <w:p w:rsidR="00DB67BE" w:rsidRPr="00883125" w:rsidRDefault="00DB67BE" w:rsidP="00DB67BE">
      <w:pPr>
        <w:rPr>
          <w:rStyle w:val="AERbody"/>
        </w:rPr>
      </w:pPr>
      <w:r w:rsidRPr="00883125">
        <w:rPr>
          <w:rStyle w:val="AERbody"/>
        </w:rPr>
        <w:t>In addition, while NERA has effectively put forward the position that the use of a domestic CAPM to set the return on equity and the use of an international CAPM to determine theta are not inconsistent because both models may generate the same return on equity estimate under certain assumptions, we consider NERA's position is not adequately supported.  An International CAPM may give a materially different required return on equity estimate. This may be lower or higher depending on whether local (domestic) systematic risk can be diversified away in the global market, or if specific risk in the domestic market contains global systematic risk.</w:t>
      </w:r>
      <w:r w:rsidRPr="00883125">
        <w:rPr>
          <w:rStyle w:val="FootnoteReference"/>
        </w:rPr>
        <w:footnoteReference w:id="431"/>
      </w:r>
      <w:r w:rsidRPr="00883125">
        <w:rPr>
          <w:rStyle w:val="AERbody"/>
        </w:rPr>
        <w:t xml:space="preserve"> While NERA appear to have made a number of assumptions to show both a domestic version of the SLCPAM and international version of the SLCAPM can hold simultaneously</w:t>
      </w:r>
      <w:r w:rsidRPr="00883125">
        <w:rPr>
          <w:rStyle w:val="FootnoteReference"/>
        </w:rPr>
        <w:footnoteReference w:id="432"/>
      </w:r>
      <w:r w:rsidRPr="00883125">
        <w:rPr>
          <w:rStyle w:val="AERbody"/>
        </w:rPr>
        <w:t>, these are assumptions that can only be tested empirically. An academic article by Koedijk, Mathiijs and van Dijk explains the underlying premise of such a test stating:</w:t>
      </w:r>
      <w:r w:rsidRPr="00883125">
        <w:rPr>
          <w:rStyle w:val="FootnoteReference"/>
        </w:rPr>
        <w:footnoteReference w:id="433"/>
      </w:r>
    </w:p>
    <w:p w:rsidR="00DB67BE" w:rsidRPr="00DA0E8B" w:rsidRDefault="00DB67BE" w:rsidP="005053A1">
      <w:pPr>
        <w:pStyle w:val="AERquote"/>
        <w:rPr>
          <w:rFonts w:eastAsiaTheme="minorHAnsi"/>
        </w:rPr>
      </w:pPr>
      <w:r w:rsidRPr="00DA0E8B">
        <w:t>The testing methodology boils down to assessing whether the exposure of an individual company to the global risk factors is effectively captured in the international pricing of the domestic market index. If not, a significant pricing error will exist, which implies that global factors do have a substantial impact on the cost of capital. In effect, the domestic CAPM will underestimate the cost of equity capital of a company if the specific risk according to the domestic CAPM contains additional systematic risk related to the priced global factors. The domestic CAPM will lead to an overestimation of the cost of capital if part of the systematic risk indicated by the CAPM can be diversified away in the global market.</w:t>
      </w:r>
    </w:p>
    <w:p w:rsidR="00DB67BE" w:rsidRPr="00883125" w:rsidRDefault="00DB67BE" w:rsidP="00DB67BE">
      <w:pPr>
        <w:rPr>
          <w:rStyle w:val="AERbody"/>
        </w:rPr>
      </w:pPr>
      <w:r w:rsidRPr="00883125">
        <w:rPr>
          <w:rStyle w:val="AERbody"/>
        </w:rPr>
        <w:t>NERA appear to agree this is an empirical question as it states earlier in its report "</w:t>
      </w:r>
      <w:r>
        <w:rPr>
          <w:rStyle w:val="AERbody"/>
        </w:rPr>
        <w:t>[</w:t>
      </w:r>
      <w:r w:rsidRPr="00883125">
        <w:rPr>
          <w:rStyle w:val="AERbody"/>
        </w:rPr>
        <w:t>w]hether equity markets are integrated or segmented is an empirical issue."</w:t>
      </w:r>
      <w:r w:rsidRPr="00883125">
        <w:rPr>
          <w:rStyle w:val="FootnoteReference"/>
        </w:rPr>
        <w:footnoteReference w:id="434"/>
      </w:r>
      <w:r w:rsidRPr="00883125">
        <w:rPr>
          <w:rStyle w:val="AERbody"/>
        </w:rPr>
        <w:t xml:space="preserve">  </w:t>
      </w:r>
    </w:p>
    <w:p w:rsidR="00DB67BE" w:rsidRPr="00883125" w:rsidRDefault="00DB67BE" w:rsidP="00DB67BE">
      <w:pPr>
        <w:rPr>
          <w:rStyle w:val="AERbody"/>
        </w:rPr>
      </w:pPr>
      <w:r w:rsidRPr="00883125">
        <w:rPr>
          <w:rStyle w:val="AERbody"/>
        </w:rPr>
        <w:lastRenderedPageBreak/>
        <w:t>We also note that some work by Associate Professor Lally at the time of the development of the Rate of return guideline indicated that the required return on equity for Australian firms could be materially lower under full integration.</w:t>
      </w:r>
      <w:r w:rsidRPr="00883125">
        <w:rPr>
          <w:rStyle w:val="FootnoteReference"/>
        </w:rPr>
        <w:footnoteReference w:id="435"/>
      </w:r>
    </w:p>
    <w:p w:rsidR="00B27BE5" w:rsidRPr="00883125" w:rsidRDefault="00B27BE5" w:rsidP="00B27BE5">
      <w:pPr>
        <w:pStyle w:val="Heading8"/>
      </w:pPr>
      <w:bookmarkStart w:id="140" w:name="_Ref451790065"/>
      <w:bookmarkStart w:id="141" w:name="_Toc451928283"/>
      <w:r w:rsidRPr="00883125">
        <w:t>Estimation approach considerations</w:t>
      </w:r>
      <w:bookmarkEnd w:id="138"/>
      <w:bookmarkEnd w:id="139"/>
      <w:bookmarkEnd w:id="140"/>
      <w:bookmarkEnd w:id="141"/>
    </w:p>
    <w:p w:rsidR="00B27BE5" w:rsidRPr="00883125" w:rsidRDefault="00B27BE5" w:rsidP="00B27BE5">
      <w:pPr>
        <w:numPr>
          <w:ilvl w:val="0"/>
          <w:numId w:val="24"/>
        </w:numPr>
      </w:pPr>
      <w:r w:rsidRPr="00883125">
        <w:t>Two considerations that were not proposed in the Guideline in determining the value of imputation credits are discussed below.</w:t>
      </w:r>
    </w:p>
    <w:p w:rsidR="00B27BE5" w:rsidRPr="00883125" w:rsidRDefault="00B27BE5" w:rsidP="00B27BE5">
      <w:pPr>
        <w:pStyle w:val="Heading9"/>
      </w:pPr>
      <w:bookmarkStart w:id="142" w:name="_Ref401048631"/>
      <w:r w:rsidRPr="00883125">
        <w:t>Evidence from all equity or only listed equity</w:t>
      </w:r>
      <w:bookmarkEnd w:id="142"/>
    </w:p>
    <w:p w:rsidR="00B27BE5" w:rsidRPr="00883125" w:rsidRDefault="00B27BE5" w:rsidP="00B27BE5">
      <w:pPr>
        <w:numPr>
          <w:ilvl w:val="0"/>
          <w:numId w:val="24"/>
        </w:numPr>
      </w:pPr>
      <w:r w:rsidRPr="00883125">
        <w:t xml:space="preserve">When determining the value of imputation credits, </w:t>
      </w:r>
      <w:r w:rsidR="009F1179">
        <w:t xml:space="preserve">we remain of the view </w:t>
      </w:r>
      <w:r w:rsidRPr="00883125">
        <w:t xml:space="preserve">it </w:t>
      </w:r>
      <w:r w:rsidR="009F1179">
        <w:t>is appropriate</w:t>
      </w:r>
      <w:r w:rsidRPr="00883125">
        <w:t xml:space="preserve"> to have regard to evidence from all companies and their investors (all equity) and just listed companies and their investors (only listed equity). There is no consensus on which should be the preferred approach. </w:t>
      </w:r>
    </w:p>
    <w:p w:rsidR="00B27BE5" w:rsidRPr="005764F6" w:rsidRDefault="00B27BE5" w:rsidP="005764F6">
      <w:r w:rsidRPr="005764F6">
        <w:t>United Energy submitted that the Tribunal recently considered that the AER had erred in using a listed equity only measure.</w:t>
      </w:r>
      <w:r w:rsidRPr="002110D5">
        <w:rPr>
          <w:rStyle w:val="FootnoteReference"/>
        </w:rPr>
        <w:footnoteReference w:id="436"/>
      </w:r>
      <w:r w:rsidRPr="005764F6">
        <w:t xml:space="preserve"> In this decision the Tribunal considered that the AER had not provide sufficient explanation for introducing the distribution rate for only listed equity and that the considered it appropriate to continue to follow past practice.</w:t>
      </w:r>
      <w:r w:rsidRPr="002110D5">
        <w:rPr>
          <w:rStyle w:val="FootnoteReference"/>
        </w:rPr>
        <w:footnoteReference w:id="437"/>
      </w:r>
    </w:p>
    <w:p w:rsidR="00B27BE5" w:rsidRPr="00883125" w:rsidRDefault="00B27BE5" w:rsidP="00B27BE5">
      <w:pPr>
        <w:numPr>
          <w:ilvl w:val="0"/>
          <w:numId w:val="24"/>
        </w:numPr>
      </w:pPr>
      <w:r w:rsidRPr="00883125">
        <w:t>We have had regard to experts' comments on the issue. Lally made some comments in support of considering all equity:</w:t>
      </w:r>
      <w:r w:rsidRPr="00883125">
        <w:rPr>
          <w:rStyle w:val="FootnoteReference"/>
        </w:rPr>
        <w:footnoteReference w:id="438"/>
      </w:r>
    </w:p>
    <w:p w:rsidR="00B27BE5" w:rsidRPr="00883125" w:rsidRDefault="00B27BE5" w:rsidP="00B27BE5">
      <w:pPr>
        <w:pStyle w:val="AERquote"/>
      </w:pPr>
      <w:r w:rsidRPr="00883125">
        <w:t>The more important point here is whether unlisted equity should be included, in principle. Arguably, the fact that only listed equity is used to estimate the MRP and beta suggests that the same limitation be applied to the present issue. However, the limitation is only imposed for the MRP and beta because data from unlisted firms is entirely inadequate for estimating returns. Furthermore, MRP estimates are generally based on a subset of listed equity (such as the ASX200), the subsets used may vary and are sometimes never specified (in surveys), and betas are typically estimated from foreign returns data. All of these results could reasonably be viewed as proxies for the results that would arise from using Australian data on all equities. In addition, treating the CAPM as a model that applies to only listed equities would rule out using it to estimate the cost of equity for an unlisted company (and some regulated businesses are unlisted). Thus, in principle, I favour inclusion of unlisted equity for estimating the proportion of Australian equities held locally.</w:t>
      </w:r>
    </w:p>
    <w:p w:rsidR="007D5FF3" w:rsidRDefault="007D5FF3" w:rsidP="00B27BE5">
      <w:pPr>
        <w:numPr>
          <w:ilvl w:val="0"/>
          <w:numId w:val="24"/>
        </w:numPr>
      </w:pPr>
      <w:r>
        <w:t>In his latest report, Lally reaffirmed this view that all equity rather than listed equity should be used to estimate the utilisation value. Lally considers that using all equity data suggest the utilisation value is at least 0.60.</w:t>
      </w:r>
      <w:r>
        <w:rPr>
          <w:rStyle w:val="FootnoteReference"/>
        </w:rPr>
        <w:footnoteReference w:id="439"/>
      </w:r>
    </w:p>
    <w:p w:rsidR="00B27BE5" w:rsidRPr="00883125" w:rsidRDefault="00B27BE5" w:rsidP="00B27BE5">
      <w:pPr>
        <w:numPr>
          <w:ilvl w:val="0"/>
          <w:numId w:val="24"/>
        </w:numPr>
      </w:pPr>
      <w:r w:rsidRPr="00883125">
        <w:lastRenderedPageBreak/>
        <w:t>However, Handley suggested that evidence from listed equity is more relevant:</w:t>
      </w:r>
      <w:r w:rsidRPr="00883125">
        <w:rPr>
          <w:rStyle w:val="FootnoteReference"/>
        </w:rPr>
        <w:footnoteReference w:id="440"/>
      </w:r>
    </w:p>
    <w:p w:rsidR="00B27BE5" w:rsidRPr="00883125" w:rsidRDefault="00B27BE5" w:rsidP="00B27BE5">
      <w:pPr>
        <w:pStyle w:val="AERquote"/>
      </w:pPr>
      <w:r w:rsidRPr="00883125">
        <w:t>Specifically, the NERA estimate [of the distribution rate] is based on aggregate [franking account balance] data for all companies – including public companies and private companies. In contrast, one can reasonably argue that the estimate should be based on public companies only since this is more likely to reflect the composition of the Australian domestic market for equity funds – private companies by definition are financed in entirely different ways – and so be a more relevant proxy for a benchmark efficient entity.</w:t>
      </w:r>
    </w:p>
    <w:p w:rsidR="00B27BE5" w:rsidRPr="00883125" w:rsidRDefault="00B27BE5" w:rsidP="00B27BE5">
      <w:r w:rsidRPr="00883125">
        <w:t>Gray's view (for SFG) is not clear to us. In his May 2014 report, Gray stated:</w:t>
      </w:r>
      <w:r w:rsidRPr="00883125">
        <w:rPr>
          <w:rStyle w:val="FootnoteReference"/>
        </w:rPr>
        <w:footnoteReference w:id="441"/>
      </w:r>
    </w:p>
    <w:p w:rsidR="00B27BE5" w:rsidRPr="00883125" w:rsidRDefault="00B27BE5" w:rsidP="00B27BE5">
      <w:pPr>
        <w:pStyle w:val="AERquote"/>
      </w:pPr>
      <w:r w:rsidRPr="00883125">
        <w:t>The 45% foreign ownership figure in Figure 9 above is based on listed equity. In our view, this is the appropriate calculation given that all other WACC parameters are estimated with reference to exchange-listed businesses because they are more reflective of the efficient benchmark entity.</w:t>
      </w:r>
    </w:p>
    <w:p w:rsidR="00B27BE5" w:rsidRPr="00883125" w:rsidRDefault="00B27BE5" w:rsidP="00B27BE5">
      <w:r w:rsidRPr="00883125">
        <w:t>And in his February 2015 report (for SFG) Gray stated:</w:t>
      </w:r>
      <w:r w:rsidRPr="00883125">
        <w:rPr>
          <w:rStyle w:val="FootnoteReference"/>
        </w:rPr>
        <w:footnoteReference w:id="442"/>
      </w:r>
    </w:p>
    <w:p w:rsidR="00B27BE5" w:rsidRPr="00883125" w:rsidRDefault="00B27BE5" w:rsidP="00B27BE5">
      <w:pPr>
        <w:pStyle w:val="AERquote"/>
      </w:pPr>
      <w:r w:rsidRPr="00883125">
        <w:t>There is also a question about whether data should be restricted to listed firms or whether it should be expanded to include private firms as well. Since the benchmark efficient entity is not necessarily listed, this would imply that private firms are also relevant.</w:t>
      </w:r>
    </w:p>
    <w:p w:rsidR="00B27BE5" w:rsidRPr="00883125" w:rsidRDefault="00B27BE5" w:rsidP="00B27BE5">
      <w:r w:rsidRPr="00883125">
        <w:t>A number of the service providers indicated clearly in their initial or revised proposals, or in a submission on their proposal, their view that the value of imputation credits should be estimated with regard to evidence from all equity:</w:t>
      </w:r>
      <w:r w:rsidRPr="00883125">
        <w:rPr>
          <w:rStyle w:val="FootnoteReference"/>
        </w:rPr>
        <w:footnoteReference w:id="443"/>
      </w:r>
    </w:p>
    <w:p w:rsidR="00B27BE5" w:rsidRPr="00883125" w:rsidRDefault="00B27BE5" w:rsidP="00B27BE5">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B27BE5" w:rsidRPr="00883125" w:rsidRDefault="00B27BE5" w:rsidP="00B27BE5">
      <w:r w:rsidRPr="00883125">
        <w:t>Despite this view, the service providers propose to rely on the 'best estimate' of the utilisation rate from implied market value studies, which by definition relate to only listed equity.</w:t>
      </w:r>
      <w:r w:rsidRPr="00883125">
        <w:rPr>
          <w:rStyle w:val="FootnoteReference"/>
        </w:rPr>
        <w:footnoteReference w:id="444"/>
      </w:r>
      <w:r w:rsidRPr="00883125">
        <w:t xml:space="preserve"> The service providers do not recognise that the evidence they have presented on </w:t>
      </w:r>
      <w:r w:rsidRPr="00883125">
        <w:lastRenderedPageBreak/>
        <w:t xml:space="preserve">their preferred estimate of the utilisation rate implies that it likely understates the value of distributed credits to investors across all equity (see our discussion in section </w:t>
      </w:r>
      <w:r w:rsidRPr="00883125">
        <w:fldChar w:fldCharType="begin"/>
      </w:r>
      <w:r w:rsidRPr="00883125">
        <w:instrText xml:space="preserve"> REF _Ref414099389 \r \h </w:instrText>
      </w:r>
      <w:r w:rsidRPr="00883125">
        <w:fldChar w:fldCharType="separate"/>
      </w:r>
      <w:r w:rsidR="00881794">
        <w:t>A.8.3</w:t>
      </w:r>
      <w:r w:rsidRPr="00883125">
        <w:fldChar w:fldCharType="end"/>
      </w:r>
      <w:r w:rsidRPr="00883125">
        <w:t>).</w:t>
      </w:r>
    </w:p>
    <w:p w:rsidR="00401B2A" w:rsidRDefault="002110D5" w:rsidP="00B27BE5">
      <w:r>
        <w:t xml:space="preserve">We have considered all the material before us. We agree that the utilisation rate is a market wide parameter. However, as set out above, there is no consensus on whether it should be estimated using all equity or listed equity. Therefore, we </w:t>
      </w:r>
      <w:r w:rsidR="00401B2A">
        <w:t>consider</w:t>
      </w:r>
      <w:r>
        <w:t xml:space="preserve"> both. </w:t>
      </w:r>
    </w:p>
    <w:p w:rsidR="00401B2A" w:rsidRDefault="00401B2A" w:rsidP="00B27BE5">
      <w:pPr>
        <w:rPr>
          <w:rStyle w:val="AERbody"/>
        </w:rPr>
      </w:pPr>
      <w:r>
        <w:t>In relation to the</w:t>
      </w:r>
      <w:r w:rsidR="002110D5">
        <w:t xml:space="preserve"> distribution rate</w:t>
      </w:r>
      <w:r>
        <w:t>, we note it</w:t>
      </w:r>
      <w:r w:rsidR="002110D5">
        <w:t xml:space="preserve"> is a firm specific parameter</w:t>
      </w:r>
      <w:r w:rsidR="00033F58">
        <w:t xml:space="preserve"> in principle</w:t>
      </w:r>
      <w:r w:rsidR="002110D5">
        <w:t xml:space="preserve">. </w:t>
      </w:r>
      <w:r w:rsidR="00034727">
        <w:t>However, as Lally advised, there are reasons why it may not be appropriate to use firm specific data or industry averages, so sector wide data can be used as a reasonable proxy.</w:t>
      </w:r>
      <w:r>
        <w:rPr>
          <w:rStyle w:val="FootnoteReference"/>
        </w:rPr>
        <w:footnoteReference w:id="445"/>
      </w:r>
      <w:r>
        <w:rPr>
          <w:rStyle w:val="AERbody"/>
        </w:rPr>
        <w:t xml:space="preserve"> Therefore, we consider it is appropriate to use estimates of the distribution rate based on listed equity and all equity. We also have regard to Lally's recommended estimate of the distribution rate for listed equity estimated from financial reports of the top 20 listed firms</w:t>
      </w:r>
      <w:r w:rsidR="00033F58">
        <w:rPr>
          <w:rStyle w:val="AERbody"/>
        </w:rPr>
        <w:t xml:space="preserve"> (that is, 0.83)</w:t>
      </w:r>
      <w:r>
        <w:rPr>
          <w:rStyle w:val="AERbody"/>
        </w:rPr>
        <w:t>.</w:t>
      </w:r>
      <w:r w:rsidR="00033F58">
        <w:rPr>
          <w:rStyle w:val="FootnoteReference"/>
        </w:rPr>
        <w:footnoteReference w:id="446"/>
      </w:r>
      <w:r w:rsidR="00033F58">
        <w:rPr>
          <w:rStyle w:val="AERbody"/>
        </w:rPr>
        <w:t xml:space="preserve"> Lally considers this estimate is reflective of the distribution rate for a benchmark efficient entity. </w:t>
      </w:r>
    </w:p>
    <w:p w:rsidR="009F1179" w:rsidRPr="005764F6" w:rsidRDefault="00401B2A" w:rsidP="00B27BE5">
      <w:pPr>
        <w:rPr>
          <w:rStyle w:val="AERbody"/>
        </w:rPr>
      </w:pPr>
      <w:r w:rsidRPr="00E64E9B">
        <w:t xml:space="preserve">With respect to United Energy's </w:t>
      </w:r>
      <w:r>
        <w:t xml:space="preserve">late </w:t>
      </w:r>
      <w:r w:rsidRPr="00E64E9B">
        <w:t xml:space="preserve">submission on the recent Tribunal decision, we note the Tribunal did not find a clear error in our approach prior to using its preferred approach. We remain of the view that our approach is </w:t>
      </w:r>
      <w:r>
        <w:t xml:space="preserve">open to us, and results in a </w:t>
      </w:r>
      <w:r w:rsidRPr="00E64E9B">
        <w:t>conservative</w:t>
      </w:r>
      <w:r>
        <w:t xml:space="preserve"> estimate (see section </w:t>
      </w:r>
      <w:r>
        <w:fldChar w:fldCharType="begin"/>
      </w:r>
      <w:r>
        <w:instrText xml:space="preserve"> REF _Ref401133206 \r \h </w:instrText>
      </w:r>
      <w:r>
        <w:fldChar w:fldCharType="separate"/>
      </w:r>
      <w:r w:rsidR="00881794">
        <w:t>A.10</w:t>
      </w:r>
      <w:r>
        <w:fldChar w:fldCharType="end"/>
      </w:r>
      <w:r>
        <w:t>)</w:t>
      </w:r>
      <w:r w:rsidRPr="00E64E9B">
        <w:t xml:space="preserve">. </w:t>
      </w:r>
    </w:p>
    <w:p w:rsidR="00B27BE5" w:rsidRPr="00883125" w:rsidRDefault="00B27BE5" w:rsidP="00B27BE5">
      <w:pPr>
        <w:pStyle w:val="Heading9"/>
      </w:pPr>
      <w:bookmarkStart w:id="143" w:name="_Ref403481194"/>
      <w:bookmarkStart w:id="144" w:name="_Ref450299300"/>
      <w:bookmarkStart w:id="145" w:name="_Ref450765039"/>
      <w:r w:rsidRPr="00883125">
        <w:t xml:space="preserve">Relationship between the distribution rate and the utilisation </w:t>
      </w:r>
      <w:bookmarkEnd w:id="143"/>
      <w:r w:rsidRPr="00883125">
        <w:t>value</w:t>
      </w:r>
      <w:bookmarkEnd w:id="144"/>
      <w:bookmarkEnd w:id="145"/>
    </w:p>
    <w:p w:rsidR="00B27BE5" w:rsidRPr="00883125" w:rsidRDefault="00B27BE5" w:rsidP="00B27BE5">
      <w:pPr>
        <w:numPr>
          <w:ilvl w:val="0"/>
          <w:numId w:val="24"/>
        </w:numPr>
      </w:pPr>
      <w:r w:rsidRPr="00883125">
        <w:t>In developing the Guideline, we did not recognise the relationship between definitions and estimates of the distribution rate and the utilisation rate. This relationship is that a given estimate of the distribution rate represents the proportion of credits distributed by a given set of companies to the set of investors in those companies.</w:t>
      </w:r>
      <w:r w:rsidR="007919D8" w:rsidRPr="00883125">
        <w:t xml:space="preserve"> </w:t>
      </w:r>
      <w:r w:rsidR="007919D8">
        <w:t>In decisions released post the Guideline we considered that f</w:t>
      </w:r>
      <w:r w:rsidRPr="00883125">
        <w:t>or consistency in estimating the value of imputation credits, a corresponding estimate of the utilisation rate should reflect the utilisation of that same set of investors.</w:t>
      </w:r>
    </w:p>
    <w:p w:rsidR="00B27BE5" w:rsidRPr="00883125" w:rsidRDefault="00B27BE5" w:rsidP="005764F6">
      <w:r w:rsidRPr="005764F6">
        <w:t>We consider</w:t>
      </w:r>
      <w:r w:rsidR="007919D8" w:rsidRPr="005764F6">
        <w:t>ed</w:t>
      </w:r>
      <w:r w:rsidRPr="005764F6">
        <w:t xml:space="preserve"> that this relationship should be recognised when determining estimates of the value of imputation credits.</w:t>
      </w:r>
      <w:r w:rsidRPr="00883125">
        <w:t xml:space="preserve"> We therefore consider</w:t>
      </w:r>
      <w:r w:rsidR="007919D8">
        <w:t>ed</w:t>
      </w:r>
      <w:r w:rsidRPr="00883125">
        <w:t xml:space="preserve"> that estimates of the utilisation rate determined with regard to investors in only listed equity should be paired with estimates of the distribution rate that are also determined with regard to only listed equity. Similarly, </w:t>
      </w:r>
      <w:r w:rsidR="007919D8">
        <w:t xml:space="preserve">we considered that </w:t>
      </w:r>
      <w:r w:rsidRPr="00883125">
        <w:t>estimates of the utilisation rate determined with regard to all equity should be paired with estimates of the distribution rate that are also determined with regard to all equity.</w:t>
      </w:r>
    </w:p>
    <w:p w:rsidR="00B27BE5" w:rsidRPr="00883125" w:rsidRDefault="00B27BE5" w:rsidP="007919D8">
      <w:pPr>
        <w:numPr>
          <w:ilvl w:val="0"/>
          <w:numId w:val="24"/>
        </w:numPr>
        <w:rPr>
          <w:rStyle w:val="AERbody"/>
        </w:rPr>
      </w:pPr>
      <w:r w:rsidRPr="00883125">
        <w:rPr>
          <w:rStyle w:val="AERbody"/>
        </w:rPr>
        <w:lastRenderedPageBreak/>
        <w:t xml:space="preserve">The service providers do not agree that the estimate of the utilisation </w:t>
      </w:r>
      <w:r w:rsidRPr="00883125">
        <w:t>value</w:t>
      </w:r>
      <w:r w:rsidRPr="00883125">
        <w:rPr>
          <w:rStyle w:val="AERbody"/>
        </w:rPr>
        <w:t xml:space="preserve"> based on listed equity (all equity) can be paired</w:t>
      </w:r>
      <w:r>
        <w:rPr>
          <w:rStyle w:val="AERbody"/>
        </w:rPr>
        <w:t xml:space="preserve"> only</w:t>
      </w:r>
      <w:r w:rsidRPr="00883125">
        <w:rPr>
          <w:rStyle w:val="AERbody"/>
        </w:rPr>
        <w:t xml:space="preserve"> with a listed equity (all equity) distribution rate.</w:t>
      </w:r>
      <w:r w:rsidRPr="00883125">
        <w:rPr>
          <w:rStyle w:val="FootnoteReference"/>
        </w:rPr>
        <w:footnoteReference w:id="447"/>
      </w:r>
      <w:r w:rsidRPr="00883125">
        <w:rPr>
          <w:rStyle w:val="AERbody"/>
        </w:rPr>
        <w:t xml:space="preserve"> They submit that for the equity ownership approach both ownership and distribution data is available for all equity and listed equity and it should be necessary to consider which of these measures is more reflective of the benchmark firm.</w:t>
      </w:r>
      <w:r w:rsidRPr="00883125">
        <w:rPr>
          <w:rStyle w:val="FootnoteReference"/>
        </w:rPr>
        <w:footnoteReference w:id="448"/>
      </w:r>
      <w:r w:rsidRPr="00883125">
        <w:rPr>
          <w:rStyle w:val="AERbody"/>
        </w:rPr>
        <w:t xml:space="preserve"> Service providers consider that the distribution rate should be set with reference to all equity to avoid the influence of imputation credits being attached to foreign income. For the utilisation </w:t>
      </w:r>
      <w:r w:rsidRPr="00883125">
        <w:t>value</w:t>
      </w:r>
      <w:r w:rsidRPr="00883125">
        <w:rPr>
          <w:rStyle w:val="AERbody"/>
        </w:rPr>
        <w:t xml:space="preserve"> they consider that it should to be estimated with reference to only listed equity in order to reflect foreign ownership in the benchmark firm.</w:t>
      </w:r>
      <w:r w:rsidRPr="00883125">
        <w:rPr>
          <w:rStyle w:val="FootnoteReference"/>
        </w:rPr>
        <w:footnoteReference w:id="449"/>
      </w:r>
      <w:r w:rsidRPr="00883125">
        <w:rPr>
          <w:rStyle w:val="AERbody"/>
        </w:rPr>
        <w:t xml:space="preserve"> Both Stephen Gray (for Frontier) and NERA submitted that there is no inconsistency with paring the distribution rate for all equity with a theta value (or utilisation rate) for listed equity as the distribution rate is firm specific within the Officer model.</w:t>
      </w:r>
      <w:r w:rsidRPr="00883125">
        <w:rPr>
          <w:rStyle w:val="FootnoteReference"/>
        </w:rPr>
        <w:footnoteReference w:id="450"/>
      </w:r>
      <w:r w:rsidRPr="00883125">
        <w:rPr>
          <w:rStyle w:val="AERbody"/>
        </w:rPr>
        <w:t xml:space="preserve"> As a result they appear to consider we should use either the distribution rate from the broadest market (all equity) in combination with a theta estimate from listed equity,</w:t>
      </w:r>
      <w:r w:rsidRPr="00883125">
        <w:rPr>
          <w:rStyle w:val="FootnoteReference"/>
        </w:rPr>
        <w:footnoteReference w:id="451"/>
      </w:r>
      <w:r w:rsidRPr="00883125">
        <w:rPr>
          <w:rStyle w:val="AERbody"/>
        </w:rPr>
        <w:t xml:space="preserve"> or alternatively we should use of a distribution rate estimated from listed equity excluding the 20 largest firms in the market, both of which yield an estimated distribution rate of around 70%. They effectively consider the use of the 20 largest listed firms to estimate the distribution rate from listed equity data alone will overestimate the distribution rate for the benchmark efficient entity as we assume this entity is not a large listed entity.</w:t>
      </w:r>
      <w:r w:rsidRPr="00883125">
        <w:rPr>
          <w:rStyle w:val="FootnoteReference"/>
        </w:rPr>
        <w:footnoteReference w:id="452"/>
      </w:r>
    </w:p>
    <w:p w:rsidR="00B27BE5" w:rsidRDefault="00B27BE5" w:rsidP="007919D8">
      <w:pPr>
        <w:numPr>
          <w:ilvl w:val="0"/>
          <w:numId w:val="24"/>
        </w:numPr>
        <w:rPr>
          <w:rStyle w:val="AERbody"/>
        </w:rPr>
      </w:pPr>
      <w:r w:rsidRPr="00883125">
        <w:rPr>
          <w:rStyle w:val="AERbody"/>
        </w:rPr>
        <w:lastRenderedPageBreak/>
        <w:t>Gray (for Frontier) considers that the distribution rate is firm specific, while theta is a market wider parameter.</w:t>
      </w:r>
      <w:r w:rsidRPr="00883125">
        <w:rPr>
          <w:rStyle w:val="FootnoteReference"/>
        </w:rPr>
        <w:footnoteReference w:id="453"/>
      </w:r>
      <w:r w:rsidRPr="00883125">
        <w:rPr>
          <w:rStyle w:val="AERbody"/>
        </w:rPr>
        <w:t xml:space="preserve"> Gary (for Frontier) draws an analogy between gamma and the CAPM, where the distribution rate is similar to beta and theta is similar to the MRP. Handley </w:t>
      </w:r>
      <w:r w:rsidR="007919D8">
        <w:rPr>
          <w:rStyle w:val="AERbody"/>
        </w:rPr>
        <w:t xml:space="preserve">previously </w:t>
      </w:r>
      <w:r w:rsidRPr="00883125">
        <w:rPr>
          <w:rStyle w:val="AERbody"/>
        </w:rPr>
        <w:t>considered this issues and supported our decision in JGN to not remove the largest listed equity firms from the estimation of the distribution rate on the basis foreign sourced income allows them to distribute a higher proportion of imputation credits.</w:t>
      </w:r>
      <w:r w:rsidRPr="00883125">
        <w:rPr>
          <w:rStyle w:val="FootnoteReference"/>
        </w:rPr>
        <w:footnoteReference w:id="454"/>
      </w:r>
      <w:r w:rsidRPr="00883125">
        <w:rPr>
          <w:rStyle w:val="AERbody"/>
        </w:rPr>
        <w:t xml:space="preserve"> </w:t>
      </w:r>
      <w:r w:rsidR="00D724EF">
        <w:rPr>
          <w:rStyle w:val="AERbody"/>
        </w:rPr>
        <w:t xml:space="preserve">Further, as outlined in </w:t>
      </w:r>
      <w:r w:rsidR="00033F58">
        <w:rPr>
          <w:rStyle w:val="AERbody"/>
        </w:rPr>
        <w:t>s</w:t>
      </w:r>
      <w:r w:rsidR="00D724EF">
        <w:rPr>
          <w:rStyle w:val="AERbody"/>
        </w:rPr>
        <w:t xml:space="preserve">ection </w:t>
      </w:r>
      <w:r w:rsidR="00D724EF">
        <w:rPr>
          <w:rStyle w:val="AERbody"/>
        </w:rPr>
        <w:fldChar w:fldCharType="begin"/>
      </w:r>
      <w:r w:rsidR="00D724EF">
        <w:rPr>
          <w:rStyle w:val="AERbody"/>
        </w:rPr>
        <w:instrText xml:space="preserve"> REF _Ref414289334 \r \h </w:instrText>
      </w:r>
      <w:r w:rsidR="00D724EF">
        <w:rPr>
          <w:rStyle w:val="AERbody"/>
        </w:rPr>
      </w:r>
      <w:r w:rsidR="00D724EF">
        <w:rPr>
          <w:rStyle w:val="AERbody"/>
        </w:rPr>
        <w:fldChar w:fldCharType="separate"/>
      </w:r>
      <w:r w:rsidR="00881794">
        <w:rPr>
          <w:rStyle w:val="AERbody"/>
        </w:rPr>
        <w:t>A.10.1</w:t>
      </w:r>
      <w:r w:rsidR="00D724EF">
        <w:rPr>
          <w:rStyle w:val="AERbody"/>
        </w:rPr>
        <w:fldChar w:fldCharType="end"/>
      </w:r>
      <w:r w:rsidR="00033F58">
        <w:rPr>
          <w:rStyle w:val="AERbody"/>
        </w:rPr>
        <w:t>,</w:t>
      </w:r>
      <w:r w:rsidR="00D724EF">
        <w:rPr>
          <w:rStyle w:val="AERbody"/>
        </w:rPr>
        <w:t xml:space="preserve"> Lally has demonstrated there is a negative relationship between foreign operations and the distribution rate.</w:t>
      </w:r>
      <w:r w:rsidR="00D724EF">
        <w:rPr>
          <w:rStyle w:val="FootnoteReference"/>
        </w:rPr>
        <w:footnoteReference w:id="455"/>
      </w:r>
      <w:r w:rsidR="00D724EF">
        <w:rPr>
          <w:rStyle w:val="AERbody"/>
        </w:rPr>
        <w:t xml:space="preserve"> This demonstrates that foreign income actually decreases the distribution rate and not increases it as suggested by Frontier.</w:t>
      </w:r>
    </w:p>
    <w:p w:rsidR="00B27BE5" w:rsidRDefault="00B27BE5" w:rsidP="00B27BE5">
      <w:pPr>
        <w:numPr>
          <w:ilvl w:val="0"/>
          <w:numId w:val="24"/>
        </w:numPr>
        <w:rPr>
          <w:rStyle w:val="AERbody"/>
        </w:rPr>
      </w:pPr>
      <w:r w:rsidRPr="00883125">
        <w:rPr>
          <w:rStyle w:val="AERbody"/>
        </w:rPr>
        <w:t xml:space="preserve">The service providers consider that two benchmark characteristics, foreign ownership and foreign income, justify a lower gamma estimate. However, </w:t>
      </w:r>
      <w:r w:rsidR="00033F58">
        <w:rPr>
          <w:rStyle w:val="AERbody"/>
        </w:rPr>
        <w:t>we</w:t>
      </w:r>
      <w:r w:rsidRPr="00883125">
        <w:rPr>
          <w:rStyle w:val="AERbody"/>
        </w:rPr>
        <w:t xml:space="preserve"> consider that are other benchmark characteristics that may justify a higher gamma estimate and/or a lower corporate tax allowance. For instance, the EMRF has submitted</w:t>
      </w:r>
      <w:r w:rsidR="00CB38D8">
        <w:rPr>
          <w:rStyle w:val="AERbody"/>
        </w:rPr>
        <w:t xml:space="preserve"> that</w:t>
      </w:r>
      <w:r w:rsidRPr="00883125">
        <w:rPr>
          <w:rStyle w:val="AERbody"/>
        </w:rPr>
        <w:t xml:space="preserve"> the Franking account balance of APA Group, Envestra Limited (pre-sale) and JGN's parent company is zero.</w:t>
      </w:r>
      <w:r w:rsidRPr="00883125">
        <w:rPr>
          <w:rStyle w:val="FootnoteReference"/>
        </w:rPr>
        <w:footnoteReference w:id="456"/>
      </w:r>
      <w:r w:rsidRPr="00883125">
        <w:rPr>
          <w:rStyle w:val="AERbody"/>
        </w:rPr>
        <w:t xml:space="preserve"> This could imply that regulated businesses distribute all their imputation credits and therefore the appropriate benchmark distribution rate is closer to one hundred per cent. Alternatively, this could imply that the regulated businesses do not generate any imputation credits as they do not pay company tax. </w:t>
      </w:r>
      <w:r w:rsidR="00033F58">
        <w:rPr>
          <w:rStyle w:val="AERbody"/>
        </w:rPr>
        <w:t>We</w:t>
      </w:r>
      <w:r w:rsidRPr="00883125">
        <w:rPr>
          <w:rStyle w:val="AERbody"/>
        </w:rPr>
        <w:t xml:space="preserve"> consider the benchmark should be considered holistically and individual characteristics of the benchmark should not be considered in isolation.</w:t>
      </w:r>
    </w:p>
    <w:p w:rsidR="007919D8" w:rsidRPr="005764F6" w:rsidRDefault="00033F58" w:rsidP="005764F6">
      <w:r>
        <w:t>I</w:t>
      </w:r>
      <w:r w:rsidRPr="00033F58">
        <w:t xml:space="preserve">n his latest report, Lally considered it is 'not essential but nor is it precluded' </w:t>
      </w:r>
      <w:r>
        <w:t xml:space="preserve">estimate the </w:t>
      </w:r>
      <w:r w:rsidR="00EA5758">
        <w:t>distribution</w:t>
      </w:r>
      <w:r>
        <w:t xml:space="preserve"> rate and utilisation rate on a consistent basis</w:t>
      </w:r>
      <w:r w:rsidRPr="00033F58">
        <w:t>.</w:t>
      </w:r>
      <w:r w:rsidRPr="00033F58">
        <w:rPr>
          <w:rStyle w:val="FootnoteReference"/>
        </w:rPr>
        <w:footnoteReference w:id="457"/>
      </w:r>
      <w:r w:rsidRPr="00033F58">
        <w:t xml:space="preserve"> Following this, we consider it is not necessary to 'match' estimates of distribution rates and utilisation rates based on the dataset used</w:t>
      </w:r>
      <w:r w:rsidR="00EA5758">
        <w:t xml:space="preserve">, although we note </w:t>
      </w:r>
      <w:r w:rsidR="00EA5758" w:rsidRPr="00EA5758">
        <w:t>the choice is open to us</w:t>
      </w:r>
      <w:r w:rsidRPr="00033F58">
        <w:t>. While we principally maintain our previous approach, we also have some regard to Lally's preferred approach (which combines an all equity utilisation rate from the equity ownership approach with a distribution rate for listed equity from financial reports of the top 20 listed firms).</w:t>
      </w:r>
      <w:r w:rsidRPr="00033F58">
        <w:rPr>
          <w:rStyle w:val="FootnoteReference"/>
        </w:rPr>
        <w:footnoteReference w:id="458"/>
      </w:r>
      <w:r w:rsidR="00EA5758">
        <w:t xml:space="preserve"> </w:t>
      </w:r>
      <w:r w:rsidR="00D724EF" w:rsidRPr="005764F6">
        <w:t>We note that Lally</w:t>
      </w:r>
      <w:r w:rsidR="00EA5758">
        <w:t>'s preferred approach</w:t>
      </w:r>
      <w:r w:rsidR="00D724EF" w:rsidRPr="005764F6">
        <w:t xml:space="preserve"> suggest</w:t>
      </w:r>
      <w:r w:rsidR="00EA5758">
        <w:t>s</w:t>
      </w:r>
      <w:r w:rsidR="00D724EF" w:rsidRPr="005764F6">
        <w:t xml:space="preserve"> </w:t>
      </w:r>
      <w:r w:rsidR="00EA5758">
        <w:t>a</w:t>
      </w:r>
      <w:r w:rsidR="00D724EF" w:rsidRPr="005764F6">
        <w:t xml:space="preserve"> distribution </w:t>
      </w:r>
      <w:r w:rsidR="00EA5758">
        <w:t xml:space="preserve">rate of at least </w:t>
      </w:r>
      <w:r w:rsidR="004953FA" w:rsidRPr="005764F6">
        <w:t xml:space="preserve">0.83 </w:t>
      </w:r>
      <w:r w:rsidR="00D724EF" w:rsidRPr="005764F6">
        <w:t xml:space="preserve">and </w:t>
      </w:r>
      <w:r w:rsidR="00EA5758">
        <w:t xml:space="preserve">a utilisation rate of </w:t>
      </w:r>
      <w:r w:rsidR="004953FA" w:rsidRPr="005764F6">
        <w:t>0.60.</w:t>
      </w:r>
      <w:r w:rsidR="004953FA" w:rsidRPr="005764F6">
        <w:rPr>
          <w:rStyle w:val="FootnoteReference"/>
        </w:rPr>
        <w:footnoteReference w:id="459"/>
      </w:r>
      <w:r w:rsidR="004953FA" w:rsidRPr="005764F6">
        <w:t xml:space="preserve"> </w:t>
      </w:r>
      <w:r w:rsidR="00EA5758">
        <w:t>This</w:t>
      </w:r>
      <w:r w:rsidR="004953FA" w:rsidRPr="005764F6">
        <w:t xml:space="preserve"> suggest</w:t>
      </w:r>
      <w:r w:rsidR="00EA5758">
        <w:t>s</w:t>
      </w:r>
      <w:r w:rsidR="004953FA" w:rsidRPr="005764F6">
        <w:t xml:space="preserve"> </w:t>
      </w:r>
      <w:r w:rsidR="00EA5758">
        <w:t xml:space="preserve">a </w:t>
      </w:r>
      <w:r w:rsidR="004953FA" w:rsidRPr="005764F6">
        <w:t xml:space="preserve">gamma </w:t>
      </w:r>
      <w:r w:rsidR="00EA5758">
        <w:t>value of</w:t>
      </w:r>
      <w:r w:rsidR="004953FA" w:rsidRPr="005764F6">
        <w:t xml:space="preserve"> at least 0.50</w:t>
      </w:r>
      <w:r w:rsidR="00EA5758">
        <w:t>, which is higher than our estimate of 0.4</w:t>
      </w:r>
      <w:r w:rsidR="004953FA" w:rsidRPr="005764F6">
        <w:t>.</w:t>
      </w:r>
      <w:r w:rsidR="00EA5758">
        <w:rPr>
          <w:rStyle w:val="FootnoteReference"/>
        </w:rPr>
        <w:footnoteReference w:id="460"/>
      </w:r>
    </w:p>
    <w:p w:rsidR="00B27BE5" w:rsidRPr="00883125" w:rsidRDefault="00B27BE5" w:rsidP="00B27BE5">
      <w:pPr>
        <w:pStyle w:val="Heading8"/>
      </w:pPr>
      <w:bookmarkStart w:id="146" w:name="_Toc451842256"/>
      <w:bookmarkStart w:id="147" w:name="_Ref401133206"/>
      <w:bookmarkStart w:id="148" w:name="_Toc436049451"/>
      <w:bookmarkStart w:id="149" w:name="_Toc451928284"/>
      <w:bookmarkEnd w:id="146"/>
      <w:r w:rsidRPr="00883125">
        <w:t>Estimating the distribution rate</w:t>
      </w:r>
      <w:bookmarkEnd w:id="147"/>
      <w:bookmarkEnd w:id="148"/>
      <w:bookmarkEnd w:id="149"/>
    </w:p>
    <w:p w:rsidR="00B27BE5" w:rsidRPr="00883125" w:rsidRDefault="00B27BE5" w:rsidP="00B27BE5">
      <w:pPr>
        <w:numPr>
          <w:ilvl w:val="0"/>
          <w:numId w:val="24"/>
        </w:numPr>
      </w:pPr>
      <w:r w:rsidRPr="00883125">
        <w:t xml:space="preserve">We consider that the distribution rate is the proportion of imputation credits generated by the benchmark efficient entity that is distributed to investors. We set out our position on the </w:t>
      </w:r>
      <w:r w:rsidRPr="00883125">
        <w:lastRenderedPageBreak/>
        <w:t xml:space="preserve">distribution rate in section </w:t>
      </w:r>
      <w:r w:rsidR="004953FA">
        <w:fldChar w:fldCharType="begin"/>
      </w:r>
      <w:r w:rsidR="004953FA">
        <w:instrText xml:space="preserve"> REF _Ref450761230 \r \h </w:instrText>
      </w:r>
      <w:r w:rsidR="004953FA">
        <w:fldChar w:fldCharType="separate"/>
      </w:r>
      <w:r w:rsidR="00881794">
        <w:t>4.4.1</w:t>
      </w:r>
      <w:r w:rsidR="004953FA">
        <w:fldChar w:fldCharType="end"/>
      </w:r>
      <w:r w:rsidRPr="00883125">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sidRPr="00883125">
        <w:rPr>
          <w:rStyle w:val="FootnoteReference"/>
        </w:rPr>
        <w:footnoteReference w:id="461"/>
      </w:r>
      <w:r w:rsidRPr="00883125">
        <w:t xml:space="preserve"> Hathaway found a similar estimate for the period 2004 to 2011.</w:t>
      </w:r>
      <w:r w:rsidRPr="00883125">
        <w:rPr>
          <w:rStyle w:val="FootnoteReference"/>
        </w:rPr>
        <w:footnoteReference w:id="462"/>
      </w:r>
      <w:r w:rsidRPr="00883125">
        <w:t xml:space="preserve"> Gray (for Frontier) submitted that the distribution rate for all equity and listed equity excluding the impact of the top 20 listed companies is approximately 70%.</w:t>
      </w:r>
      <w:r w:rsidRPr="00883125">
        <w:rPr>
          <w:rStyle w:val="FootnoteReference"/>
        </w:rPr>
        <w:footnoteReference w:id="463"/>
      </w:r>
      <w:r w:rsidRPr="00883125">
        <w:t xml:space="preserve"> Also using this approach, Handley estimated a distribution rate across only listed equity of 0.8 for the period 1987 to 2011.</w:t>
      </w:r>
      <w:r w:rsidRPr="00883125">
        <w:rPr>
          <w:rStyle w:val="FootnoteReference"/>
        </w:rPr>
        <w:footnoteReference w:id="464"/>
      </w:r>
      <w:r w:rsidRPr="00883125">
        <w:t xml:space="preserve"> Our own analysis indicated that the distribution rate over only listed equity is 0.8 for the period 2004 to 2011—we calculated the aggregate net tax paid by public companies over this period to be $255.6 billion and the change in aggregate franking account balances of those companies over the same period to be $50.2 billion (suggesting that $205.4 billion, or 80 per cent, of imputation credits generated were distributed).</w:t>
      </w:r>
    </w:p>
    <w:p w:rsidR="00B27BE5" w:rsidRPr="00883125" w:rsidRDefault="00B27BE5" w:rsidP="00B27BE5">
      <w:pPr>
        <w:numPr>
          <w:ilvl w:val="0"/>
          <w:numId w:val="24"/>
        </w:numPr>
      </w:pPr>
      <w:r w:rsidRPr="00883125">
        <w:t>We relied on an estimate of the distribution rate over all equity of 0.7 in the Guideline and decisions released in 2014 and April 2015 and June 2015. We also relied on an estimate of the distribution rate over only listed equity of 0.8 in the decision released in 2014 and April 2015. We reviewed these estimates in light of an updated analysis of the ATO data to the 2012 tax year by NERA, which was submitted to us as part of JGN's decision process.</w:t>
      </w:r>
      <w:r w:rsidRPr="00883125">
        <w:rPr>
          <w:rStyle w:val="FootnoteReference"/>
        </w:rPr>
        <w:footnoteReference w:id="465"/>
      </w:r>
      <w:r w:rsidRPr="00883125">
        <w:t xml:space="preserve"> Handley also reviewed NERA's analysis, and provided his own report.</w:t>
      </w:r>
      <w:r w:rsidRPr="00883125">
        <w:rPr>
          <w:rStyle w:val="FootnoteReference"/>
        </w:rPr>
        <w:footnoteReference w:id="466"/>
      </w:r>
      <w:r w:rsidRPr="00883125">
        <w:t xml:space="preserve"> Both NERA and Handley found an estimate of 0.7 for the period 2004 to 2012.</w:t>
      </w:r>
      <w:r w:rsidRPr="00883125">
        <w:rPr>
          <w:rStyle w:val="FootnoteReference"/>
        </w:rPr>
        <w:footnoteReference w:id="467"/>
      </w:r>
      <w:r w:rsidRPr="00883125">
        <w:t xml:space="preserve"> However, both NERA and Handley found that the distribution rate over only listed equity has fallen slightly from 0.8. Specifically, Handley found an estimate of 0.77 over the period 2004 to 2012. We used this updated estimate for the decisions released in June, October and November 2015.</w:t>
      </w:r>
    </w:p>
    <w:p w:rsidR="00B27BE5" w:rsidRPr="00883125" w:rsidRDefault="00B27BE5" w:rsidP="00B27BE5">
      <w:pPr>
        <w:numPr>
          <w:ilvl w:val="0"/>
          <w:numId w:val="24"/>
        </w:numPr>
      </w:pPr>
      <w:r w:rsidRPr="00883125">
        <w:t>Gray (for frontier) replicated and updated using the latest Taxation Statistics cumulative payout ratio for public and private companies in NERA's (2015) report.</w:t>
      </w:r>
      <w:r w:rsidRPr="00883125">
        <w:rPr>
          <w:rStyle w:val="FootnoteReference"/>
        </w:rPr>
        <w:footnoteReference w:id="468"/>
      </w:r>
      <w:r w:rsidRPr="00883125">
        <w:t xml:space="preserve"> However, Gray's (for frontier) replication of Handley (2014) and Handley (2015) cumulative payout ratio is slightly different due to what Gray believes to be a different rounding method.</w:t>
      </w:r>
      <w:r w:rsidRPr="00883125">
        <w:rPr>
          <w:rStyle w:val="FootnoteReference"/>
        </w:rPr>
        <w:footnoteReference w:id="469"/>
      </w:r>
      <w:r w:rsidRPr="00883125">
        <w:t xml:space="preserve"> The update payout ratios presented below in </w:t>
      </w:r>
      <w:r w:rsidRPr="00883125">
        <w:fldChar w:fldCharType="begin"/>
      </w:r>
      <w:r w:rsidRPr="00883125">
        <w:instrText xml:space="preserve"> REF _Ref450332920 \h </w:instrText>
      </w:r>
      <w:r w:rsidRPr="00883125">
        <w:fldChar w:fldCharType="separate"/>
      </w:r>
      <w:r w:rsidR="00881794" w:rsidRPr="00883125">
        <w:t xml:space="preserve">Table </w:t>
      </w:r>
      <w:r w:rsidR="00881794">
        <w:rPr>
          <w:noProof/>
        </w:rPr>
        <w:t>4</w:t>
      </w:r>
      <w:r w:rsidR="00881794">
        <w:noBreakHyphen/>
      </w:r>
      <w:r w:rsidR="00881794">
        <w:rPr>
          <w:noProof/>
        </w:rPr>
        <w:t>13</w:t>
      </w:r>
      <w:r w:rsidRPr="00883125">
        <w:fldChar w:fldCharType="end"/>
      </w:r>
      <w:r w:rsidRPr="00883125">
        <w:t>.</w:t>
      </w:r>
    </w:p>
    <w:p w:rsidR="00B27BE5" w:rsidRPr="00883125" w:rsidRDefault="00B27BE5" w:rsidP="00981C06">
      <w:pPr>
        <w:pStyle w:val="Caption"/>
      </w:pPr>
      <w:bookmarkStart w:id="150" w:name="_Ref450332920"/>
      <w:r w:rsidRPr="00883125">
        <w:lastRenderedPageBreak/>
        <w:t xml:space="preserve">Table </w:t>
      </w:r>
      <w:r w:rsidR="004B4BF3">
        <w:fldChar w:fldCharType="begin"/>
      </w:r>
      <w:r w:rsidR="004B4BF3">
        <w:instrText xml:space="preserve"> STYLEREF 1 \s </w:instrText>
      </w:r>
      <w:r w:rsidR="004B4BF3">
        <w:fldChar w:fldCharType="separate"/>
      </w:r>
      <w:r w:rsidR="00881794">
        <w:rPr>
          <w:noProof/>
        </w:rPr>
        <w:t>4</w:t>
      </w:r>
      <w:r w:rsidR="004B4BF3">
        <w:rPr>
          <w:noProof/>
        </w:rPr>
        <w:fldChar w:fldCharType="end"/>
      </w:r>
      <w:r>
        <w:noBreakHyphen/>
      </w:r>
      <w:r w:rsidR="004B4BF3">
        <w:fldChar w:fldCharType="begin"/>
      </w:r>
      <w:r w:rsidR="004B4BF3">
        <w:instrText xml:space="preserve"> SEQ Table \* ARABIC \s 1 </w:instrText>
      </w:r>
      <w:r w:rsidR="004B4BF3">
        <w:fldChar w:fldCharType="separate"/>
      </w:r>
      <w:r w:rsidR="00881794">
        <w:rPr>
          <w:noProof/>
        </w:rPr>
        <w:t>13</w:t>
      </w:r>
      <w:r w:rsidR="004B4BF3">
        <w:rPr>
          <w:noProof/>
        </w:rPr>
        <w:fldChar w:fldCharType="end"/>
      </w:r>
      <w:bookmarkEnd w:id="150"/>
      <w:r w:rsidRPr="00883125">
        <w:tab/>
        <w:t>Frontier Economics updated distribution rates</w:t>
      </w:r>
    </w:p>
    <w:tbl>
      <w:tblPr>
        <w:tblStyle w:val="AERtable-numbers"/>
        <w:tblW w:w="0" w:type="auto"/>
        <w:tblLook w:val="04A0" w:firstRow="1" w:lastRow="0" w:firstColumn="1" w:lastColumn="0" w:noHBand="0" w:noVBand="1"/>
      </w:tblPr>
      <w:tblGrid>
        <w:gridCol w:w="3817"/>
        <w:gridCol w:w="2712"/>
        <w:gridCol w:w="2713"/>
      </w:tblGrid>
      <w:tr w:rsidR="00B27BE5" w:rsidTr="00B27BE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27BE5" w:rsidRPr="00883125" w:rsidRDefault="00B27BE5" w:rsidP="00164D25">
            <w:pPr>
              <w:keepNext/>
              <w:numPr>
                <w:ilvl w:val="0"/>
                <w:numId w:val="24"/>
              </w:numPr>
            </w:pPr>
          </w:p>
        </w:tc>
        <w:tc>
          <w:tcPr>
            <w:tcW w:w="2712" w:type="dxa"/>
          </w:tcPr>
          <w:p w:rsidR="00B27BE5" w:rsidRPr="00883125" w:rsidRDefault="00B27BE5" w:rsidP="00164D25">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2001-2012</w:t>
            </w:r>
          </w:p>
        </w:tc>
        <w:tc>
          <w:tcPr>
            <w:tcW w:w="2713" w:type="dxa"/>
          </w:tcPr>
          <w:p w:rsidR="00B27BE5" w:rsidRPr="00883125" w:rsidRDefault="00B27BE5" w:rsidP="00164D25">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2001-2013</w:t>
            </w:r>
          </w:p>
        </w:tc>
      </w:tr>
      <w:tr w:rsidR="00B27BE5" w:rsidTr="00B27BE5">
        <w:trPr>
          <w:cantSplit/>
        </w:trPr>
        <w:tc>
          <w:tcPr>
            <w:cnfStyle w:val="001000000000" w:firstRow="0" w:lastRow="0" w:firstColumn="1" w:lastColumn="0" w:oddVBand="0" w:evenVBand="0" w:oddHBand="0" w:evenHBand="0" w:firstRowFirstColumn="0" w:firstRowLastColumn="0" w:lastRowFirstColumn="0" w:lastRowLastColumn="0"/>
            <w:tcW w:w="3817" w:type="dxa"/>
          </w:tcPr>
          <w:p w:rsidR="00B27BE5" w:rsidRPr="00883125" w:rsidRDefault="00B27BE5" w:rsidP="00164D25">
            <w:pPr>
              <w:keepNext/>
              <w:numPr>
                <w:ilvl w:val="0"/>
                <w:numId w:val="24"/>
              </w:numPr>
            </w:pPr>
            <w:r w:rsidRPr="00883125">
              <w:t>Handley (public companies)</w:t>
            </w:r>
          </w:p>
        </w:tc>
        <w:tc>
          <w:tcPr>
            <w:tcW w:w="2712" w:type="dxa"/>
          </w:tcPr>
          <w:p w:rsidR="00B27BE5" w:rsidRPr="00883125" w:rsidRDefault="00B27BE5" w:rsidP="00164D25">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0.76</w:t>
            </w:r>
          </w:p>
        </w:tc>
        <w:tc>
          <w:tcPr>
            <w:tcW w:w="2713" w:type="dxa"/>
          </w:tcPr>
          <w:p w:rsidR="00B27BE5" w:rsidRPr="00883125" w:rsidRDefault="00B27BE5" w:rsidP="00164D25">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27BE5" w:rsidRPr="00883125" w:rsidRDefault="00B27BE5" w:rsidP="00164D25">
            <w:pPr>
              <w:keepNext/>
              <w:numPr>
                <w:ilvl w:val="0"/>
                <w:numId w:val="24"/>
              </w:numPr>
            </w:pPr>
            <w:r w:rsidRPr="00883125">
              <w:t>Handley (Private companies)</w:t>
            </w:r>
          </w:p>
        </w:tc>
        <w:tc>
          <w:tcPr>
            <w:tcW w:w="2712" w:type="dxa"/>
          </w:tcPr>
          <w:p w:rsidR="00B27BE5" w:rsidRPr="00883125" w:rsidRDefault="00B27BE5" w:rsidP="00164D25">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0.52</w:t>
            </w:r>
          </w:p>
        </w:tc>
        <w:tc>
          <w:tcPr>
            <w:tcW w:w="2713" w:type="dxa"/>
          </w:tcPr>
          <w:p w:rsidR="00B27BE5" w:rsidRPr="00883125" w:rsidRDefault="00B27BE5" w:rsidP="00164D25">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0.507</w:t>
            </w:r>
          </w:p>
        </w:tc>
      </w:tr>
      <w:tr w:rsidR="00B27BE5" w:rsidTr="00B27BE5">
        <w:trPr>
          <w:cantSplit/>
        </w:trPr>
        <w:tc>
          <w:tcPr>
            <w:cnfStyle w:val="001000000000" w:firstRow="0" w:lastRow="0" w:firstColumn="1" w:lastColumn="0" w:oddVBand="0" w:evenVBand="0" w:oddHBand="0" w:evenHBand="0" w:firstRowFirstColumn="0" w:firstRowLastColumn="0" w:lastRowFirstColumn="0" w:lastRowLastColumn="0"/>
            <w:tcW w:w="3817" w:type="dxa"/>
          </w:tcPr>
          <w:p w:rsidR="00B27BE5" w:rsidRPr="00883125" w:rsidRDefault="00B27BE5" w:rsidP="00164D25">
            <w:pPr>
              <w:keepNext/>
              <w:numPr>
                <w:ilvl w:val="0"/>
                <w:numId w:val="24"/>
              </w:numPr>
            </w:pPr>
            <w:r w:rsidRPr="00883125">
              <w:t>NERA (public companies)</w:t>
            </w:r>
          </w:p>
        </w:tc>
        <w:tc>
          <w:tcPr>
            <w:tcW w:w="2712" w:type="dxa"/>
          </w:tcPr>
          <w:p w:rsidR="00B27BE5" w:rsidRPr="00883125" w:rsidRDefault="00B27BE5" w:rsidP="00164D25">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0.755</w:t>
            </w:r>
          </w:p>
        </w:tc>
        <w:tc>
          <w:tcPr>
            <w:tcW w:w="2713" w:type="dxa"/>
          </w:tcPr>
          <w:p w:rsidR="00B27BE5" w:rsidRPr="00883125" w:rsidRDefault="00B27BE5" w:rsidP="00164D25">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27BE5" w:rsidRPr="00883125" w:rsidRDefault="00B27BE5" w:rsidP="00164D25">
            <w:pPr>
              <w:keepNext/>
              <w:numPr>
                <w:ilvl w:val="0"/>
                <w:numId w:val="24"/>
              </w:numPr>
            </w:pPr>
            <w:r w:rsidRPr="00883125">
              <w:t>NERA (Private companies)</w:t>
            </w:r>
          </w:p>
        </w:tc>
        <w:tc>
          <w:tcPr>
            <w:tcW w:w="2712" w:type="dxa"/>
          </w:tcPr>
          <w:p w:rsidR="00B27BE5" w:rsidRPr="00883125" w:rsidRDefault="00B27BE5" w:rsidP="00164D25">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0.505</w:t>
            </w:r>
          </w:p>
        </w:tc>
        <w:tc>
          <w:tcPr>
            <w:tcW w:w="2713" w:type="dxa"/>
          </w:tcPr>
          <w:p w:rsidR="00B27BE5" w:rsidRPr="00883125" w:rsidRDefault="00B27BE5" w:rsidP="00164D25">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0.495</w:t>
            </w:r>
          </w:p>
        </w:tc>
      </w:tr>
    </w:tbl>
    <w:p w:rsidR="00B27BE5" w:rsidRPr="00883125" w:rsidRDefault="00B27BE5" w:rsidP="00164D25">
      <w:pPr>
        <w:pStyle w:val="AERtablesource"/>
        <w:keepNext/>
      </w:pPr>
      <w:r w:rsidRPr="00883125">
        <w:t xml:space="preserve">Source: </w:t>
      </w:r>
      <w:r w:rsidRPr="00883125">
        <w:tab/>
        <w:t>Frontier, The appropriate use of tax statistics when estimating gamma, January 2016, p. 22.</w:t>
      </w:r>
    </w:p>
    <w:p w:rsidR="00B27BE5" w:rsidRDefault="00B27BE5" w:rsidP="00B27BE5">
      <w:pPr>
        <w:numPr>
          <w:ilvl w:val="0"/>
          <w:numId w:val="24"/>
        </w:numPr>
        <w:rPr>
          <w:rStyle w:val="AERbody"/>
        </w:rPr>
      </w:pPr>
      <w:r w:rsidRPr="00883125">
        <w:rPr>
          <w:rStyle w:val="AERbody"/>
        </w:rPr>
        <w:t xml:space="preserve">For this final decision the AER has updated the cumulative distribution rate to 2014. Through this process we have estimated that the distribution rate for listed equity has fallen to 0.75 and this value is adopted in this final decision. Consistent with draft decision and the regulated businesses revised proposals, the AER adopts a 0.7 distribution rate for all equity in this decision. </w:t>
      </w:r>
    </w:p>
    <w:p w:rsidR="003F23C3" w:rsidRDefault="007919D8" w:rsidP="005764F6">
      <w:r w:rsidRPr="005764F6">
        <w:t xml:space="preserve">We note that Lally recommends we use the distribution rate for </w:t>
      </w:r>
      <w:r w:rsidR="003F23C3">
        <w:t xml:space="preserve">listed equity estimated from financial reports of the </w:t>
      </w:r>
      <w:r w:rsidRPr="005764F6">
        <w:t>top 20 listed firms</w:t>
      </w:r>
      <w:r w:rsidR="004953FA" w:rsidRPr="005764F6">
        <w:t>. This is due to Lally considering that listed equity is more representative of the benchmark efficient entity</w:t>
      </w:r>
      <w:r w:rsidR="003F23C3">
        <w:t>, stating:</w:t>
      </w:r>
      <w:r w:rsidR="003F23C3">
        <w:rPr>
          <w:rStyle w:val="FootnoteReference"/>
        </w:rPr>
        <w:footnoteReference w:id="470"/>
      </w:r>
      <w:r w:rsidR="004953FA" w:rsidRPr="005764F6">
        <w:t xml:space="preserve"> </w:t>
      </w:r>
    </w:p>
    <w:p w:rsidR="003F23C3" w:rsidRDefault="003F23C3" w:rsidP="005764F6">
      <w:pPr>
        <w:pStyle w:val="AERquote"/>
      </w:pPr>
      <w:r w:rsidRPr="003F23C3">
        <w:t>Furthermore, since privately-owned regulated businesses in Australia are typically listed firms or subsidiaries of listed firms, the appropriate set of firms to use to estimate the distribution rate of regulated businesses would seem to be listed firms.</w:t>
      </w:r>
    </w:p>
    <w:p w:rsidR="007919D8" w:rsidRPr="005764F6" w:rsidRDefault="003F23C3" w:rsidP="005764F6">
      <w:r>
        <w:t>Lally also considers</w:t>
      </w:r>
      <w:r w:rsidR="004953FA" w:rsidRPr="005764F6">
        <w:t xml:space="preserve"> the data on the top 20 firms is of a higher quality (via financial statements) relative to the ATO data which contains unresolved discrepancies.</w:t>
      </w:r>
      <w:r w:rsidR="004953FA" w:rsidRPr="005053A1">
        <w:rPr>
          <w:rStyle w:val="FootnoteReference"/>
        </w:rPr>
        <w:footnoteReference w:id="471"/>
      </w:r>
      <w:r w:rsidR="007919D8" w:rsidRPr="005764F6">
        <w:t xml:space="preserve"> We note that </w:t>
      </w:r>
      <w:r w:rsidR="004953FA" w:rsidRPr="005764F6">
        <w:t xml:space="preserve">if </w:t>
      </w:r>
      <w:r>
        <w:t>we</w:t>
      </w:r>
      <w:r w:rsidR="004953FA" w:rsidRPr="005764F6">
        <w:t xml:space="preserve"> were to adopt Lally </w:t>
      </w:r>
      <w:r>
        <w:t>recommendation</w:t>
      </w:r>
      <w:r w:rsidR="004953FA" w:rsidRPr="005764F6">
        <w:t xml:space="preserve"> in this decision it would result in our </w:t>
      </w:r>
      <w:r w:rsidR="00DB67BE" w:rsidRPr="005764F6">
        <w:t>estimate</w:t>
      </w:r>
      <w:r w:rsidR="00D8713A" w:rsidRPr="005764F6">
        <w:t xml:space="preserve"> for the </w:t>
      </w:r>
      <w:r w:rsidR="004953FA" w:rsidRPr="005764F6">
        <w:t>distribution rate</w:t>
      </w:r>
      <w:r w:rsidR="00D8713A" w:rsidRPr="005764F6">
        <w:t xml:space="preserve"> of the benchmark efficient entity</w:t>
      </w:r>
      <w:r w:rsidR="004953FA" w:rsidRPr="005764F6">
        <w:t xml:space="preserve"> </w:t>
      </w:r>
      <w:r w:rsidR="007919D8" w:rsidRPr="005764F6">
        <w:t xml:space="preserve">(and therefore gamma) increasing. Therefore, while we have not </w:t>
      </w:r>
      <w:r>
        <w:t>used this advice</w:t>
      </w:r>
      <w:r w:rsidR="00D8713A" w:rsidRPr="005764F6">
        <w:t xml:space="preserve"> to increase gamma above 0.4</w:t>
      </w:r>
      <w:r w:rsidR="007919D8" w:rsidRPr="005764F6">
        <w:t xml:space="preserve">, it does </w:t>
      </w:r>
      <w:r w:rsidR="00D8713A" w:rsidRPr="005764F6">
        <w:t xml:space="preserve">provide support to reject the proposals from the </w:t>
      </w:r>
      <w:r>
        <w:t>service providers</w:t>
      </w:r>
      <w:r w:rsidR="00D8713A" w:rsidRPr="005764F6">
        <w:t xml:space="preserve"> to reduce the gamma value to 0.25 based on the recent Tribunal decision</w:t>
      </w:r>
      <w:r w:rsidR="007919D8" w:rsidRPr="005764F6">
        <w:t xml:space="preserve">. </w:t>
      </w:r>
    </w:p>
    <w:p w:rsidR="00B27BE5" w:rsidRPr="00883125" w:rsidRDefault="00B27BE5" w:rsidP="00B27BE5">
      <w:pPr>
        <w:numPr>
          <w:ilvl w:val="0"/>
          <w:numId w:val="24"/>
        </w:numPr>
      </w:pPr>
      <w:r w:rsidRPr="00883125">
        <w:t>In the remainder of this section we respond to the service providers' and Gray's comments on the distribution rate; describe the cumulative payout ratio approach and alternative approaches to estimating the distribution rate; and discuss an updated report on tax statistics from Hathaway.</w:t>
      </w:r>
    </w:p>
    <w:p w:rsidR="00B27BE5" w:rsidRPr="00883125" w:rsidRDefault="00B27BE5" w:rsidP="00B27BE5">
      <w:pPr>
        <w:pStyle w:val="Heading9"/>
      </w:pPr>
      <w:bookmarkStart w:id="151" w:name="_Ref414289334"/>
      <w:r w:rsidRPr="00883125">
        <w:t>Service providers', Gray's and NERA's comments on the distribution rate</w:t>
      </w:r>
      <w:bookmarkEnd w:id="151"/>
    </w:p>
    <w:p w:rsidR="00B27BE5" w:rsidRPr="00883125" w:rsidRDefault="00B27BE5" w:rsidP="00B27BE5">
      <w:r w:rsidRPr="00883125">
        <w:t xml:space="preserve">The service providers and Gray (for SFG) submitted that it would be inappropriate to apply a distribution rate based on evidence from only listed equity and that the distribution rate for all </w:t>
      </w:r>
      <w:r w:rsidRPr="00883125">
        <w:lastRenderedPageBreak/>
        <w:t>equity is likely to be a reasonable proxy for that of the benchmark entity.</w:t>
      </w:r>
      <w:r w:rsidRPr="00883125">
        <w:rPr>
          <w:rStyle w:val="FootnoteReference"/>
        </w:rPr>
        <w:footnoteReference w:id="472"/>
      </w:r>
      <w:r w:rsidRPr="00883125">
        <w:t xml:space="preserve"> United Energy cite the recent Tribunal decision in support of this position.</w:t>
      </w:r>
      <w:r w:rsidRPr="00883125">
        <w:rPr>
          <w:rStyle w:val="FootnoteReference"/>
        </w:rPr>
        <w:footnoteReference w:id="473"/>
      </w:r>
      <w:r w:rsidRPr="00883125">
        <w:t xml:space="preserve"> We disagree and set out our reasons below.</w:t>
      </w:r>
    </w:p>
    <w:p w:rsidR="00B27BE5" w:rsidRPr="00883125" w:rsidRDefault="00B27BE5" w:rsidP="00B27BE5">
      <w:r w:rsidRPr="00883125">
        <w:t xml:space="preserve">There appears to be agreement between the service providers, Gray and us that the distribution rate is the proportion of imputation credits generated by the benchmark efficient entity that is distributed to investors. There also appears to be agreement between the service providers and us that the distribution rate should be estimated on a </w:t>
      </w:r>
      <w:r w:rsidR="007919D8">
        <w:t>broad</w:t>
      </w:r>
      <w:r w:rsidRPr="00883125">
        <w:t xml:space="preserve"> basis; for instance, a number of service providers submitted:</w:t>
      </w:r>
      <w:r w:rsidRPr="00883125">
        <w:rPr>
          <w:rStyle w:val="FootnoteReference"/>
        </w:rPr>
        <w:footnoteReference w:id="474"/>
      </w:r>
    </w:p>
    <w:p w:rsidR="00B27BE5" w:rsidRPr="00883125" w:rsidRDefault="00B27BE5" w:rsidP="00B27BE5">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B27BE5" w:rsidRPr="00883125" w:rsidRDefault="007919D8" w:rsidP="00B27BE5">
      <w:r>
        <w:t>I</w:t>
      </w:r>
      <w:r w:rsidR="00B27BE5" w:rsidRPr="00883125">
        <w:t xml:space="preserve">n the decisions previously released in 2014 and 2015, and in section </w:t>
      </w:r>
      <w:r w:rsidR="009B7EB1">
        <w:fldChar w:fldCharType="begin"/>
      </w:r>
      <w:r w:rsidR="009B7EB1">
        <w:instrText xml:space="preserve"> REF _Ref451790065 \r \h </w:instrText>
      </w:r>
      <w:r w:rsidR="009B7EB1">
        <w:fldChar w:fldCharType="separate"/>
      </w:r>
      <w:r w:rsidR="00881794">
        <w:t>A.9</w:t>
      </w:r>
      <w:r w:rsidR="009B7EB1">
        <w:fldChar w:fldCharType="end"/>
      </w:r>
      <w:r w:rsidR="009B7EB1">
        <w:t xml:space="preserve"> and </w:t>
      </w:r>
      <w:r w:rsidR="009B7EB1">
        <w:fldChar w:fldCharType="begin"/>
      </w:r>
      <w:r w:rsidR="009B7EB1">
        <w:instrText xml:space="preserve"> REF _Ref401133206 \r \h </w:instrText>
      </w:r>
      <w:r w:rsidR="009B7EB1">
        <w:fldChar w:fldCharType="separate"/>
      </w:r>
      <w:r w:rsidR="00881794">
        <w:t>A.10</w:t>
      </w:r>
      <w:r w:rsidR="009B7EB1">
        <w:fldChar w:fldCharType="end"/>
      </w:r>
      <w:r w:rsidR="00B27BE5" w:rsidRPr="00883125">
        <w:t xml:space="preserve"> of this decision, we consider that there are good reasons</w:t>
      </w:r>
      <w:r w:rsidR="003F23C3">
        <w:t xml:space="preserve"> </w:t>
      </w:r>
      <w:r w:rsidR="00B27BE5" w:rsidRPr="00883125">
        <w:t>for using estimate</w:t>
      </w:r>
      <w:r w:rsidR="009B7EB1">
        <w:t>s</w:t>
      </w:r>
      <w:r w:rsidR="00B27BE5" w:rsidRPr="00883125">
        <w:t xml:space="preserve"> of the distribution rate based on</w:t>
      </w:r>
      <w:r w:rsidR="009B7EB1">
        <w:t xml:space="preserve"> all equity and</w:t>
      </w:r>
      <w:r w:rsidR="00B27BE5" w:rsidRPr="00883125">
        <w:t xml:space="preserve"> only listed equity.</w:t>
      </w:r>
      <w:r w:rsidR="004953FA">
        <w:t xml:space="preserve"> </w:t>
      </w:r>
    </w:p>
    <w:p w:rsidR="00B27BE5" w:rsidRPr="00883125" w:rsidRDefault="00B27BE5" w:rsidP="00B27BE5">
      <w:r w:rsidRPr="00883125">
        <w:t>Gray's report (for SFG) appears to support an estimate of the distribution rate that is not affected by the distribution behaviour of very large public firms or very small private firms. That is, Gray (for SFG) stated:</w:t>
      </w:r>
    </w:p>
    <w:p w:rsidR="00B27BE5" w:rsidRPr="00883125" w:rsidRDefault="00B27BE5" w:rsidP="00B27BE5">
      <w:pPr>
        <w:pStyle w:val="AERquote"/>
      </w:pPr>
      <w:r w:rsidRPr="00883125">
        <w:t>Conceptually, the task is…to estimate the distribution rate for the benchmark efficient firm.</w:t>
      </w:r>
      <w:r w:rsidRPr="00883125">
        <w:rPr>
          <w:rStyle w:val="FootnoteReference"/>
        </w:rPr>
        <w:footnoteReference w:id="475"/>
      </w:r>
    </w:p>
    <w:p w:rsidR="00B27BE5" w:rsidRPr="00883125" w:rsidRDefault="00B27BE5" w:rsidP="00B27BE5">
      <w:pPr>
        <w:pStyle w:val="AERquote"/>
      </w:pPr>
      <w:r w:rsidRPr="00883125">
        <w:t>…</w:t>
      </w:r>
    </w:p>
    <w:p w:rsidR="00B27BE5" w:rsidRPr="00883125" w:rsidRDefault="00B27BE5" w:rsidP="00B27BE5">
      <w:pPr>
        <w:pStyle w:val="AERquote"/>
      </w:pPr>
      <w:r w:rsidRPr="00883125">
        <w:t>For the same reason that very large multinational firms are not comparable to the benchmark efficient entity, very small private firms would also not be close comparators.</w:t>
      </w:r>
      <w:r w:rsidRPr="00883125">
        <w:rPr>
          <w:rStyle w:val="FootnoteReference"/>
        </w:rPr>
        <w:footnoteReference w:id="476"/>
      </w:r>
    </w:p>
    <w:p w:rsidR="00B27BE5" w:rsidRPr="00883125" w:rsidRDefault="00B27BE5" w:rsidP="00B27BE5">
      <w:r w:rsidRPr="00883125">
        <w:t>In particular, Gray submitted that the distribution behaviour of large multinational firms seemed unrepresentative of the benchmark efficient entity on account of their foreign-</w:t>
      </w:r>
      <w:r w:rsidRPr="00883125">
        <w:lastRenderedPageBreak/>
        <w:t>sourced income.</w:t>
      </w:r>
      <w:r w:rsidRPr="00883125">
        <w:rPr>
          <w:rStyle w:val="FootnoteReference"/>
        </w:rPr>
        <w:footnoteReference w:id="477"/>
      </w:r>
      <w:r w:rsidRPr="00883125">
        <w:t xml:space="preserve"> Gray concluded that the 'best estimate' of the distribution rate from analysis which considered only listed equity was not materially different from 0.7.</w:t>
      </w:r>
      <w:r w:rsidRPr="00883125">
        <w:rPr>
          <w:rStyle w:val="FootnoteReference"/>
        </w:rPr>
        <w:footnoteReference w:id="478"/>
      </w:r>
      <w:r w:rsidRPr="00883125">
        <w:t xml:space="preserve"> Handley considered Gray's analysis to be ' incomplete and oversimplified to support such a strong conclusion'.</w:t>
      </w:r>
      <w:r w:rsidRPr="00883125">
        <w:rPr>
          <w:rStyle w:val="FootnoteReference"/>
        </w:rPr>
        <w:footnoteReference w:id="479"/>
      </w:r>
      <w:r w:rsidRPr="00883125">
        <w:t xml:space="preserve"> Gray (for Frontier) considers that Handley's response does not address the issue that any firm with foreign profits will be able to distribute more imputation credits.</w:t>
      </w:r>
      <w:r w:rsidRPr="00883125">
        <w:rPr>
          <w:rStyle w:val="FootnoteReference"/>
        </w:rPr>
        <w:footnoteReference w:id="480"/>
      </w:r>
    </w:p>
    <w:p w:rsidR="00B27BE5" w:rsidRDefault="009B7EB1" w:rsidP="00B27BE5">
      <w:r>
        <w:t>We</w:t>
      </w:r>
      <w:r w:rsidR="00B27BE5" w:rsidRPr="00883125">
        <w:t xml:space="preserve"> agree with Handley that Gray's analysis is oversimplified. There are many factors that determine a firm's imputation payout ratio. The introduction of the imputation system in Australia itself resulted in higher dividend payout ratio in order to distribute more imputation credits.</w:t>
      </w:r>
      <w:r w:rsidR="00B27BE5" w:rsidRPr="00883125">
        <w:rPr>
          <w:rStyle w:val="FootnoteReference"/>
        </w:rPr>
        <w:footnoteReference w:id="481"/>
      </w:r>
      <w:r w:rsidR="00B27BE5" w:rsidRPr="00883125">
        <w:t xml:space="preserve"> This would imply that firms recognise that investors value imputation credits and want to distribute a certain amount of them in order to maximise value to shareholders. It is also important to note that even if other firms do not have any foreign earnings they still have an ability to distribute their imputation credits via </w:t>
      </w:r>
      <w:r w:rsidR="00B27BE5">
        <w:t xml:space="preserve">methods including </w:t>
      </w:r>
      <w:r w:rsidR="00B27BE5" w:rsidRPr="00883125">
        <w:t xml:space="preserve">higher dividend payments and off-market </w:t>
      </w:r>
      <w:r w:rsidR="00B27BE5">
        <w:t xml:space="preserve">share </w:t>
      </w:r>
      <w:r w:rsidR="00B27BE5" w:rsidRPr="00883125">
        <w:t xml:space="preserve">buybacks. Subsequently if these firms need to retain more of their earnings to fund growth they can achieve this via dividend reinvestment plans and secondary equity raisings. Ultimately, the service providers have not shown the imputation payout ratio is higher due to foreign income or if any increase due to this is material. They have simply asserted that because these firms have foreign source income, and because this may allow these firms to pay a higher imputation payout ratio (without using things like dividend reinvestment plans), these firms should be excluded from the calculation of the dividend payout ratio. </w:t>
      </w:r>
    </w:p>
    <w:p w:rsidR="007919D8" w:rsidRPr="005764F6" w:rsidRDefault="007919D8" w:rsidP="005053A1">
      <w:r w:rsidRPr="005764F6">
        <w:t xml:space="preserve">Lally examined this issue for us and concluded that firms with higher foreign earnings </w:t>
      </w:r>
      <w:r w:rsidR="009B7EB1">
        <w:t xml:space="preserve">actually </w:t>
      </w:r>
      <w:r w:rsidRPr="005764F6">
        <w:t>appear to be distributing less imputation credits.</w:t>
      </w:r>
      <w:r w:rsidR="0016735E" w:rsidRPr="005764F6">
        <w:t xml:space="preserve"> </w:t>
      </w:r>
      <w:r w:rsidR="0016735E" w:rsidRPr="005053A1">
        <w:rPr>
          <w:rStyle w:val="FootnoteReference"/>
        </w:rPr>
        <w:footnoteReference w:id="482"/>
      </w:r>
      <w:r w:rsidRPr="005764F6">
        <w:t xml:space="preserve"> </w:t>
      </w:r>
      <w:r w:rsidR="0016735E" w:rsidRPr="005764F6">
        <w:t>Lally empirically assessed the seven largest tax paying entities on the ASX and found that the proportion of profit from foreign operation is monotonically decreasing in the distribution rate (correlation of -0.95), which is in the opposite direction to that claimed by Frontier.</w:t>
      </w:r>
      <w:r w:rsidR="0016735E" w:rsidRPr="005053A1">
        <w:rPr>
          <w:rStyle w:val="FootnoteReference"/>
        </w:rPr>
        <w:footnoteReference w:id="483"/>
      </w:r>
      <w:r w:rsidR="0016735E" w:rsidRPr="005764F6">
        <w:t xml:space="preserve"> </w:t>
      </w:r>
      <w:r w:rsidRPr="005764F6">
        <w:t>Lally concluded</w:t>
      </w:r>
      <w:r w:rsidR="009B7EB1">
        <w:t>,</w:t>
      </w:r>
      <w:r w:rsidRPr="005764F6">
        <w:t xml:space="preserve"> based on his analysis</w:t>
      </w:r>
      <w:r w:rsidR="009B7EB1">
        <w:t>,</w:t>
      </w:r>
      <w:r w:rsidRPr="005764F6">
        <w:t xml:space="preserve"> we should use </w:t>
      </w:r>
      <w:r w:rsidR="009B7EB1">
        <w:t>a</w:t>
      </w:r>
      <w:r w:rsidR="009B7EB1" w:rsidRPr="005764F6">
        <w:t xml:space="preserve"> </w:t>
      </w:r>
      <w:r w:rsidRPr="005764F6">
        <w:t>distribution rate</w:t>
      </w:r>
      <w:r w:rsidR="009B7EB1">
        <w:t xml:space="preserve"> for listed equity</w:t>
      </w:r>
      <w:r w:rsidRPr="005764F6">
        <w:t xml:space="preserve"> from the top 20 listed firms.</w:t>
      </w:r>
      <w:r w:rsidRPr="005764F6">
        <w:rPr>
          <w:rStyle w:val="FootnoteReference"/>
        </w:rPr>
        <w:footnoteReference w:id="484"/>
      </w:r>
      <w:r w:rsidRPr="005764F6">
        <w:t xml:space="preserve"> </w:t>
      </w:r>
    </w:p>
    <w:p w:rsidR="00B27BE5" w:rsidRPr="00883125" w:rsidRDefault="009B7EB1" w:rsidP="00B27BE5">
      <w:r>
        <w:t>We</w:t>
      </w:r>
      <w:r w:rsidR="00B27BE5" w:rsidRPr="00883125">
        <w:t xml:space="preserve"> also consider it </w:t>
      </w:r>
      <w:r w:rsidR="00CB38D8">
        <w:t xml:space="preserve">is </w:t>
      </w:r>
      <w:r w:rsidR="00B27BE5" w:rsidRPr="00883125">
        <w:t>inappropriate to focus on one aspect of the benchmark (foreign ownership</w:t>
      </w:r>
      <w:r w:rsidR="00CB38D8">
        <w:t xml:space="preserve"> and foreign income</w:t>
      </w:r>
      <w:r w:rsidR="00B27BE5" w:rsidRPr="00883125">
        <w:t xml:space="preserve">) and not look at the benchmark holistically. We should be looking at how all regulated businesses distribute imputation credits to investors, rather than focus on the foreign ownership. As </w:t>
      </w:r>
      <w:r>
        <w:t>the</w:t>
      </w:r>
      <w:r w:rsidR="00B27BE5" w:rsidRPr="00883125">
        <w:t xml:space="preserve"> </w:t>
      </w:r>
      <w:r w:rsidR="00B27BE5" w:rsidRPr="00B27BE5">
        <w:rPr>
          <w:rStyle w:val="AERbody"/>
        </w:rPr>
        <w:t>EMRF</w:t>
      </w:r>
      <w:r>
        <w:rPr>
          <w:rStyle w:val="AERbody"/>
        </w:rPr>
        <w:t xml:space="preserve"> submitted</w:t>
      </w:r>
      <w:r w:rsidR="00B27BE5" w:rsidRPr="00883125">
        <w:t xml:space="preserve">, the listed regulated businesses (APA, Envestra (pre-sale) and JGN's parent company) have a franking account balance of </w:t>
      </w:r>
      <w:r w:rsidR="00B27BE5" w:rsidRPr="00883125">
        <w:lastRenderedPageBreak/>
        <w:t>zero.</w:t>
      </w:r>
      <w:r w:rsidR="00B27BE5" w:rsidRPr="00883125">
        <w:rPr>
          <w:rStyle w:val="FootnoteReference"/>
        </w:rPr>
        <w:footnoteReference w:id="485"/>
      </w:r>
      <w:r w:rsidR="00B27BE5" w:rsidRPr="00883125">
        <w:t xml:space="preserve"> This can imply one of the following: (a) the regulated businesses distributed all either imputation credits to investors and therefore the distribution should be set to 100 per cent or (b) the regulated business do not generate any imputation credits as they do not pay corporate tax. This raises the question of whether our tax building block allowance may be too high.  Based on the material submitted by the EMRF, it might be posited that </w:t>
      </w:r>
      <w:r>
        <w:t>our</w:t>
      </w:r>
      <w:r w:rsidR="00B27BE5" w:rsidRPr="00883125">
        <w:t xml:space="preserve"> overall tax assumptions (including the use of a gamma of 0.4) are conservative (in the favour of the regulated businesses). </w:t>
      </w:r>
    </w:p>
    <w:p w:rsidR="00B27BE5" w:rsidRPr="00883125" w:rsidRDefault="00B27BE5" w:rsidP="00B27BE5">
      <w:r w:rsidRPr="00883125">
        <w:t>Regarding internal consistency when combining estimates of the distribution and utilisation rates, Gray (for SFG) submitted:</w:t>
      </w:r>
      <w:r w:rsidRPr="00883125">
        <w:rPr>
          <w:rStyle w:val="FootnoteReference"/>
        </w:rPr>
        <w:footnoteReference w:id="486"/>
      </w:r>
    </w:p>
    <w:p w:rsidR="00B27BE5" w:rsidRPr="00883125" w:rsidRDefault="00B27BE5" w:rsidP="00B27BE5">
      <w:pPr>
        <w:pStyle w:val="AERquote"/>
      </w:pPr>
      <w:r w:rsidRPr="00883125">
        <w:t>Since all credits from all companies are identical, it must be the case that, in equilibrium, the credits have the same value throughout the economy. Consequently, it is generally accepted that theta is a market-wide parameter – with a single value that would apply to all firms.</w:t>
      </w:r>
    </w:p>
    <w:p w:rsidR="00B27BE5" w:rsidRPr="00883125" w:rsidRDefault="00B27BE5" w:rsidP="00B27BE5">
      <w:r w:rsidRPr="00883125">
        <w:t>That is, if the only value of theta is the market-wide value, then it is internally consistent to combine it with any estimate of the distribution rate. NERA agreed:</w:t>
      </w:r>
      <w:r w:rsidRPr="00883125">
        <w:rPr>
          <w:rStyle w:val="FootnoteReference"/>
        </w:rPr>
        <w:footnoteReference w:id="487"/>
      </w:r>
    </w:p>
    <w:p w:rsidR="00B27BE5" w:rsidRPr="00883125" w:rsidRDefault="00B27BE5" w:rsidP="00B27BE5">
      <w:pPr>
        <w:pStyle w:val="AERquote"/>
      </w:pPr>
      <w:r w:rsidRPr="00883125">
        <w:t>As theta should not vary from firm to firm, however, there should be no link between how one estimates theta and how one estimates the distribution rate.</w:t>
      </w:r>
    </w:p>
    <w:p w:rsidR="00B27BE5" w:rsidRPr="00883125" w:rsidRDefault="00B27BE5" w:rsidP="00B27BE5">
      <w:pPr>
        <w:rPr>
          <w:rStyle w:val="AERbody"/>
        </w:rPr>
      </w:pPr>
      <w:r w:rsidRPr="00883125">
        <w:rPr>
          <w:rStyle w:val="AERbody"/>
        </w:rPr>
        <w:t>Gray (for Frontier) considered this matter again in his June 2015 report (for Frontier) and stated:</w:t>
      </w:r>
      <w:r w:rsidRPr="00883125">
        <w:rPr>
          <w:rStyle w:val="FootnoteReference"/>
        </w:rPr>
        <w:footnoteReference w:id="488"/>
      </w:r>
    </w:p>
    <w:p w:rsidR="00B27BE5" w:rsidRPr="005764F6" w:rsidRDefault="00B27BE5">
      <w:pPr>
        <w:pStyle w:val="AERquote"/>
        <w:rPr>
          <w:rFonts w:eastAsiaTheme="minorHAnsi"/>
        </w:rPr>
      </w:pPr>
      <w:r w:rsidRPr="005764F6">
        <w:t>In my view, when estimating the distribution rate there are two reasons to be concerned about the weight that is afforded to the top 20 listed firms:</w:t>
      </w:r>
    </w:p>
    <w:p w:rsidR="00B27BE5" w:rsidRPr="005764F6" w:rsidRDefault="00B27BE5" w:rsidP="005764F6">
      <w:pPr>
        <w:pStyle w:val="AERquoteindent1"/>
        <w:rPr>
          <w:rFonts w:eastAsiaTheme="minorHAnsi"/>
        </w:rPr>
      </w:pPr>
      <w:r w:rsidRPr="005764F6">
        <w:t>a. The AER has specifically stated that the benchmark efficient entity should not be assumed to be a large listed company, as set out above; and</w:t>
      </w:r>
    </w:p>
    <w:p w:rsidR="00B27BE5" w:rsidRPr="005764F6" w:rsidRDefault="00B27BE5">
      <w:pPr>
        <w:pStyle w:val="AERquote"/>
      </w:pPr>
      <w:r w:rsidRPr="005764F6">
        <w:t>b. The top 20 listed firms differ from the benchmark entity in that their foreign sourced profits enable a higher distribution rate.</w:t>
      </w:r>
    </w:p>
    <w:p w:rsidR="00B27BE5" w:rsidRPr="00883125" w:rsidRDefault="00B27BE5" w:rsidP="00B27BE5">
      <w:r w:rsidRPr="00883125">
        <w:t>The service providers submit that the distribution rate for listed equity is likely to be skewed by the practices of multinational firms with significant foreign earnings.</w:t>
      </w:r>
      <w:r w:rsidRPr="00883125">
        <w:rPr>
          <w:rStyle w:val="FootnoteReference"/>
        </w:rPr>
        <w:footnoteReference w:id="489"/>
      </w:r>
    </w:p>
    <w:p w:rsidR="00B27BE5" w:rsidRPr="00883125" w:rsidRDefault="00B27BE5" w:rsidP="005053A1">
      <w:r w:rsidRPr="005764F6">
        <w:lastRenderedPageBreak/>
        <w:t xml:space="preserve">However, for the reasons outlined above, </w:t>
      </w:r>
      <w:r w:rsidR="009B7EB1">
        <w:t>we</w:t>
      </w:r>
      <w:r w:rsidRPr="005764F6">
        <w:t xml:space="preserve"> consider it is not clear that foreign </w:t>
      </w:r>
      <w:r w:rsidR="009E30C7" w:rsidRPr="005764F6">
        <w:t xml:space="preserve">income </w:t>
      </w:r>
      <w:r w:rsidRPr="005764F6">
        <w:t xml:space="preserve">results in a higher imputation payout ratio. </w:t>
      </w:r>
      <w:r w:rsidR="007919D8" w:rsidRPr="005764F6">
        <w:t>Lally's analysis actually implies the opposite.</w:t>
      </w:r>
      <w:r w:rsidR="007919D8" w:rsidRPr="005764F6">
        <w:rPr>
          <w:rStyle w:val="FootnoteReference"/>
        </w:rPr>
        <w:footnoteReference w:id="490"/>
      </w:r>
      <w:r w:rsidR="007919D8">
        <w:t xml:space="preserve"> </w:t>
      </w:r>
      <w:r w:rsidRPr="00883125">
        <w:t>Further, when determining the gamma</w:t>
      </w:r>
      <w:r w:rsidR="00D8713A">
        <w:t xml:space="preserve"> value for the </w:t>
      </w:r>
      <w:r w:rsidR="00727BE0">
        <w:t>benchmark</w:t>
      </w:r>
      <w:r w:rsidR="00D8713A">
        <w:t xml:space="preserve"> efficient entity</w:t>
      </w:r>
      <w:r w:rsidRPr="00883125">
        <w:t xml:space="preserve">, the benchmark has to be determined holistically and individual aspect of the benchmark should not be considered in isolation. </w:t>
      </w:r>
      <w:r w:rsidR="009B7EB1">
        <w:t>We</w:t>
      </w:r>
      <w:r w:rsidRPr="00883125">
        <w:t xml:space="preserve"> do not exclude the impact of the top 20 firms when determining the cost of equity (MRP historical, DGM and beta) and consider it would be inconsistent to exclude the top 20 firms when estimating the imputation distribution rate to be used for estimating a gamma value for listed equity.</w:t>
      </w:r>
    </w:p>
    <w:p w:rsidR="00B27BE5" w:rsidRPr="00883125" w:rsidRDefault="00B27BE5" w:rsidP="00B27BE5">
      <w:pPr>
        <w:rPr>
          <w:rStyle w:val="AERtexthighlight"/>
        </w:rPr>
      </w:pPr>
      <w:r w:rsidRPr="00883125">
        <w:t>NERA appears to agree with SFG that one should not consider the largest listed companies. It also considers "it is difficult to see there is a case for setting the distribution rate to be any different to the value … of 0.7".</w:t>
      </w:r>
      <w:r w:rsidRPr="00883125">
        <w:rPr>
          <w:rStyle w:val="FootnoteReference"/>
        </w:rPr>
        <w:footnoteReference w:id="491"/>
      </w:r>
    </w:p>
    <w:p w:rsidR="0016735E" w:rsidRDefault="00B27BE5" w:rsidP="00B27BE5">
      <w:pPr>
        <w:rPr>
          <w:rStyle w:val="AERbody"/>
        </w:rPr>
      </w:pPr>
      <w:r w:rsidRPr="00883125">
        <w:rPr>
          <w:rStyle w:val="AERbody"/>
        </w:rPr>
        <w:t>In the proposals lodged in 2015 and 2016 the service providers have submitted that the appropriate distribution rate for both listed and all equity is 70% consistent with the advice from Gray and NERA.</w:t>
      </w:r>
      <w:r w:rsidRPr="00883125">
        <w:rPr>
          <w:rStyle w:val="FootnoteReference"/>
        </w:rPr>
        <w:footnoteReference w:id="492"/>
      </w:r>
      <w:r w:rsidRPr="00883125">
        <w:rPr>
          <w:rStyle w:val="AERbody"/>
        </w:rPr>
        <w:t xml:space="preserve"> Service providers also consider that theta under the equity ownership approach should be determined with regard to only listed equity as listed equities foreign ownership is more reflective of the benchmark efficient entity. To summarise, regulated businesses want to ignore firms with foreign income when estimating the distribution rate which reduces gamma and want to include firms with foreign ownership for the purposes of estimating the utilisation value which also reduces gamma.</w:t>
      </w:r>
      <w:r w:rsidR="00BE450E">
        <w:rPr>
          <w:rStyle w:val="FootnoteReference"/>
        </w:rPr>
        <w:footnoteReference w:id="493"/>
      </w:r>
      <w:r w:rsidRPr="00883125">
        <w:rPr>
          <w:rStyle w:val="AERbody"/>
        </w:rPr>
        <w:t xml:space="preserve"> </w:t>
      </w:r>
      <w:r w:rsidR="004B1848">
        <w:rPr>
          <w:rStyle w:val="AERbody"/>
        </w:rPr>
        <w:t>We</w:t>
      </w:r>
      <w:r w:rsidRPr="00883125">
        <w:rPr>
          <w:rStyle w:val="AERbody"/>
        </w:rPr>
        <w:t xml:space="preserve"> do not agree with this approach</w:t>
      </w:r>
      <w:r w:rsidR="00733140">
        <w:rPr>
          <w:rStyle w:val="AERbody"/>
        </w:rPr>
        <w:t xml:space="preserve"> and considers it will not give a reasonable estimate of gamma for the benchmark efficient entity</w:t>
      </w:r>
      <w:r w:rsidRPr="00883125">
        <w:rPr>
          <w:rStyle w:val="AERbody"/>
        </w:rPr>
        <w:t xml:space="preserve"> </w:t>
      </w:r>
      <w:r w:rsidR="0016735E">
        <w:rPr>
          <w:rStyle w:val="AERbody"/>
        </w:rPr>
        <w:t xml:space="preserve">for </w:t>
      </w:r>
      <w:r w:rsidR="00733140">
        <w:rPr>
          <w:rStyle w:val="AERbody"/>
        </w:rPr>
        <w:t xml:space="preserve">the </w:t>
      </w:r>
      <w:r w:rsidR="0016735E">
        <w:rPr>
          <w:rStyle w:val="AERbody"/>
        </w:rPr>
        <w:t>reasons outline above.</w:t>
      </w:r>
      <w:r w:rsidRPr="00883125">
        <w:rPr>
          <w:rStyle w:val="AERbody"/>
        </w:rPr>
        <w:t xml:space="preserve"> </w:t>
      </w:r>
    </w:p>
    <w:p w:rsidR="00B27BE5" w:rsidRPr="00883125" w:rsidRDefault="00B27BE5" w:rsidP="00B27BE5">
      <w:r w:rsidRPr="00883125">
        <w:t xml:space="preserve">NERA's views and Gray's views (for SFG and Frontier) must be reconciled with the fact that different investors can value imputation credits differently. For instance, foreign investors do not value credits and eligible domestic investors do. Therefore, a given estimate of theta will </w:t>
      </w:r>
      <w:r w:rsidRPr="00883125">
        <w:lastRenderedPageBreak/>
        <w:t>reflect the set of investors over which it is calculated. Gray (for SFG) appears to recognise this elsewhere in his report:</w:t>
      </w:r>
      <w:r w:rsidRPr="00883125">
        <w:rPr>
          <w:rStyle w:val="FootnoteReference"/>
        </w:rPr>
        <w:footnoteReference w:id="494"/>
      </w:r>
    </w:p>
    <w:p w:rsidR="00B27BE5" w:rsidRPr="00883125" w:rsidRDefault="00B27BE5" w:rsidP="00B27BE5">
      <w:pPr>
        <w:pStyle w:val="AERquote"/>
      </w:pPr>
      <w:r w:rsidRPr="00883125">
        <w:t>If theta is estimated using a market value approach, the estimate will represent an average across all listed firms.</w:t>
      </w:r>
    </w:p>
    <w:p w:rsidR="00B27BE5" w:rsidRPr="00883125" w:rsidRDefault="00B27BE5" w:rsidP="00B27BE5">
      <w:r w:rsidRPr="00883125">
        <w:t xml:space="preserve">This is further illustrated in </w:t>
      </w:r>
      <w:r w:rsidRPr="00883125">
        <w:fldChar w:fldCharType="begin"/>
      </w:r>
      <w:r w:rsidRPr="00883125">
        <w:instrText xml:space="preserve"> REF  _Ref415078600 \* Lower \h </w:instrText>
      </w:r>
      <w:r w:rsidRPr="00883125">
        <w:fldChar w:fldCharType="separate"/>
      </w:r>
      <w:r w:rsidR="00881794" w:rsidRPr="00883125">
        <w:t xml:space="preserve">figure </w:t>
      </w:r>
      <w:r w:rsidR="00881794">
        <w:rPr>
          <w:noProof/>
        </w:rPr>
        <w:t>4</w:t>
      </w:r>
      <w:r w:rsidR="00881794" w:rsidRPr="00883125">
        <w:t>.</w:t>
      </w:r>
      <w:r w:rsidR="00881794">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881794" w:rsidRPr="00883125">
        <w:t xml:space="preserve">figure </w:t>
      </w:r>
      <w:r w:rsidR="00881794">
        <w:rPr>
          <w:noProof/>
        </w:rPr>
        <w:t>4</w:t>
      </w:r>
      <w:r w:rsidR="00881794" w:rsidRPr="00883125">
        <w:t>.</w:t>
      </w:r>
      <w:r w:rsidR="00881794">
        <w:rPr>
          <w:noProof/>
        </w:rPr>
        <w:t>2</w:t>
      </w:r>
      <w:r w:rsidRPr="00883125">
        <w:fldChar w:fldCharType="end"/>
      </w:r>
      <w:r w:rsidRPr="00883125">
        <w:t xml:space="preserve"> submitted by a number of service providers, which indicate that SFG's dividend drop off estimate of theta reflects the proportion of foreign investors in listed equity.</w:t>
      </w:r>
    </w:p>
    <w:p w:rsidR="00B27BE5" w:rsidRPr="00883125" w:rsidRDefault="00B27BE5" w:rsidP="00B27BE5">
      <w:r w:rsidRPr="00883125">
        <w:t>To clarify, in theory there may be a single economy-wide theta. However, the practical reality is that a given estimate of theta will reflect the set of investors in the evidence used. Accordingly, we consider that the distribution rate we use in combination with that estimate of theta represent the distribution of credits to that same set of investors (or at least a similarly reflective set)</w:t>
      </w:r>
      <w:r w:rsidR="00733140">
        <w:t xml:space="preserve"> and will give a gamma value for this subset of equity</w:t>
      </w:r>
      <w:r w:rsidRPr="00883125">
        <w:t>. The service providers, NERA and Gray (for SFG and Frontier) give us no cause to change this view. Handley also supported our view:</w:t>
      </w:r>
      <w:r w:rsidRPr="00883125">
        <w:rPr>
          <w:rStyle w:val="FootnoteReference"/>
        </w:rPr>
        <w:footnoteReference w:id="495"/>
      </w:r>
    </w:p>
    <w:p w:rsidR="00B27BE5" w:rsidRPr="00883125" w:rsidRDefault="00B27BE5" w:rsidP="00B27BE5">
      <w:pPr>
        <w:pStyle w:val="AERquote"/>
      </w:pPr>
      <w:r w:rsidRPr="00883125">
        <w:t>It is correct to say that theta is not firm-specific and the distribution rate is firm-specific. But I do not agree with the suggestion that there need be no link between how one estimates theta and how one estimates the distribution rate.</w:t>
      </w:r>
    </w:p>
    <w:p w:rsidR="00B27BE5" w:rsidRPr="00883125" w:rsidRDefault="00B27BE5" w:rsidP="00B27BE5">
      <w:pPr>
        <w:pStyle w:val="AERquote"/>
      </w:pPr>
      <w:r w:rsidRPr="00883125">
        <w:t>We are interested in estimating the value of imputation credits to the market as a whole. In setting prices, investors in the market will take into account the quantity of credits expected to be distributed by all firms in the market. Since gamma is effectively defined as a price (theta) times a quantity (distribution rate) then in my opinion, it is obvious that both components should be based on consistent data sets which relate to the same market.</w:t>
      </w:r>
    </w:p>
    <w:p w:rsidR="0016735E" w:rsidRDefault="004B1848" w:rsidP="0016735E">
      <w:pPr>
        <w:rPr>
          <w:rStyle w:val="AERbody"/>
        </w:rPr>
      </w:pPr>
      <w:r>
        <w:rPr>
          <w:rStyle w:val="AERbody"/>
        </w:rPr>
        <w:t>We</w:t>
      </w:r>
      <w:r w:rsidR="0016735E">
        <w:rPr>
          <w:rStyle w:val="AERbody"/>
        </w:rPr>
        <w:t xml:space="preserve"> note that Lally considers that consistency between the distribution rate and utilisation value is not essential nor is it precluded.</w:t>
      </w:r>
      <w:r w:rsidR="0016735E" w:rsidRPr="0016735E">
        <w:rPr>
          <w:rStyle w:val="FootnoteReference"/>
        </w:rPr>
        <w:footnoteReference w:id="496"/>
      </w:r>
      <w:r w:rsidR="0016735E">
        <w:rPr>
          <w:rStyle w:val="AERbody"/>
        </w:rPr>
        <w:t xml:space="preserve"> At the same time, Lally considers that the distribution rate</w:t>
      </w:r>
      <w:r w:rsidR="009B7EB1">
        <w:rPr>
          <w:rStyle w:val="AERbody"/>
        </w:rPr>
        <w:t xml:space="preserve"> </w:t>
      </w:r>
      <w:r w:rsidR="00E30AF3">
        <w:rPr>
          <w:rStyle w:val="AERbody"/>
        </w:rPr>
        <w:t>(</w:t>
      </w:r>
      <w:r w:rsidR="009B7EB1">
        <w:rPr>
          <w:rStyle w:val="AERbody"/>
        </w:rPr>
        <w:t>for listed equity</w:t>
      </w:r>
      <w:r w:rsidR="00E30AF3">
        <w:rPr>
          <w:rStyle w:val="AERbody"/>
        </w:rPr>
        <w:t>)</w:t>
      </w:r>
      <w:r w:rsidR="0016735E">
        <w:rPr>
          <w:rStyle w:val="AERbody"/>
        </w:rPr>
        <w:t xml:space="preserve"> should be </w:t>
      </w:r>
      <w:r w:rsidR="00B569AB">
        <w:rPr>
          <w:rStyle w:val="AERbody"/>
        </w:rPr>
        <w:t>estimated</w:t>
      </w:r>
      <w:r w:rsidR="0016735E">
        <w:rPr>
          <w:rStyle w:val="AERbody"/>
        </w:rPr>
        <w:t xml:space="preserve"> with reference to </w:t>
      </w:r>
      <w:r w:rsidR="0016735E" w:rsidRPr="0016735E">
        <w:rPr>
          <w:rStyle w:val="AERbody"/>
        </w:rPr>
        <w:t xml:space="preserve">the top 20 listed firms </w:t>
      </w:r>
      <w:r w:rsidR="0016735E">
        <w:rPr>
          <w:rStyle w:val="AERbody"/>
        </w:rPr>
        <w:t xml:space="preserve">and the utilisation value should be </w:t>
      </w:r>
      <w:r w:rsidR="00B569AB">
        <w:rPr>
          <w:rStyle w:val="AERbody"/>
        </w:rPr>
        <w:t>estimated</w:t>
      </w:r>
      <w:r w:rsidR="0016735E">
        <w:rPr>
          <w:rStyle w:val="AERbody"/>
        </w:rPr>
        <w:t xml:space="preserve"> with reference to all equity.</w:t>
      </w:r>
      <w:r w:rsidR="0016735E" w:rsidRPr="0016735E">
        <w:rPr>
          <w:rStyle w:val="FootnoteReference"/>
        </w:rPr>
        <w:footnoteReference w:id="497"/>
      </w:r>
      <w:r w:rsidR="0016735E">
        <w:rPr>
          <w:rStyle w:val="AERbody"/>
        </w:rPr>
        <w:t xml:space="preserve"> This implies that gamma is at least 0.5</w:t>
      </w:r>
      <w:r w:rsidR="00E30AF3">
        <w:rPr>
          <w:rStyle w:val="AERbody"/>
        </w:rPr>
        <w:t>,</w:t>
      </w:r>
      <w:r w:rsidR="0016735E">
        <w:rPr>
          <w:rStyle w:val="AERbody"/>
        </w:rPr>
        <w:t xml:space="preserve"> which indicate</w:t>
      </w:r>
      <w:r w:rsidR="00E30AF3">
        <w:rPr>
          <w:rStyle w:val="AERbody"/>
        </w:rPr>
        <w:t>s</w:t>
      </w:r>
      <w:r w:rsidR="0016735E">
        <w:rPr>
          <w:rStyle w:val="AERbody"/>
        </w:rPr>
        <w:t xml:space="preserve"> </w:t>
      </w:r>
      <w:r w:rsidR="00E30AF3">
        <w:rPr>
          <w:rStyle w:val="AERbody"/>
        </w:rPr>
        <w:t>our</w:t>
      </w:r>
      <w:r w:rsidR="0016735E">
        <w:rPr>
          <w:rStyle w:val="AERbody"/>
        </w:rPr>
        <w:t xml:space="preserve"> </w:t>
      </w:r>
      <w:r>
        <w:rPr>
          <w:rStyle w:val="AERbody"/>
        </w:rPr>
        <w:t>value of</w:t>
      </w:r>
      <w:r w:rsidR="0016735E">
        <w:rPr>
          <w:rStyle w:val="AERbody"/>
        </w:rPr>
        <w:t xml:space="preserve"> gamma </w:t>
      </w:r>
      <w:r>
        <w:rPr>
          <w:rStyle w:val="AERbody"/>
        </w:rPr>
        <w:t>may be too low</w:t>
      </w:r>
      <w:r w:rsidR="0016735E">
        <w:rPr>
          <w:rStyle w:val="AERbody"/>
        </w:rPr>
        <w:t xml:space="preserve">. </w:t>
      </w:r>
    </w:p>
    <w:p w:rsidR="00B27BE5" w:rsidRPr="00883125" w:rsidRDefault="00B27BE5" w:rsidP="00B27BE5">
      <w:pPr>
        <w:rPr>
          <w:rStyle w:val="AERbody"/>
        </w:rPr>
      </w:pPr>
      <w:r w:rsidRPr="00883125">
        <w:rPr>
          <w:rStyle w:val="AERbody"/>
        </w:rPr>
        <w:t xml:space="preserve">We also note that even if we were minded to do so, there is not necessarily a correct way to filter listed equity data to make it more reflective of the benchmark efficient entity (as the benchmark entity has a number of characteristics). While Gray (for SFG and Frontier) and NERA have proposed filtering based on a single characteristic (excluding the 20 largest listed firms) in a way that leads to a lower estimated distribution rate (and therefore a lower estimated value of imputation credits), they have not demonstrated their filtering method will lead to a better estimate of the distribution rate for the benchmark efficient entity. </w:t>
      </w:r>
      <w:r w:rsidR="0016735E">
        <w:rPr>
          <w:rStyle w:val="AERbody"/>
        </w:rPr>
        <w:t xml:space="preserve">Further, advice that we have received for Lally suggest that the filtering is unnecessary and if </w:t>
      </w:r>
      <w:r w:rsidR="0016735E">
        <w:rPr>
          <w:rStyle w:val="AERbody"/>
        </w:rPr>
        <w:lastRenderedPageBreak/>
        <w:t xml:space="preserve">anything </w:t>
      </w:r>
      <w:r w:rsidR="00733140">
        <w:rPr>
          <w:rStyle w:val="AERbody"/>
        </w:rPr>
        <w:t>the best estimate of the distribution rate is based on the financial data of the top 20 firms</w:t>
      </w:r>
      <w:r w:rsidR="0016735E">
        <w:rPr>
          <w:rStyle w:val="AERbody"/>
        </w:rPr>
        <w:t>.</w:t>
      </w:r>
      <w:r w:rsidR="0016735E">
        <w:rPr>
          <w:rStyle w:val="FootnoteReference"/>
        </w:rPr>
        <w:footnoteReference w:id="498"/>
      </w:r>
      <w:r w:rsidR="00733140">
        <w:rPr>
          <w:rStyle w:val="AERbody"/>
        </w:rPr>
        <w:t xml:space="preserve"> We note Lally's choice of the top 20 firms as a proxy for the estimate of the distribution rate for listed equity is not based on filtering listed equity based on the characteristics of the benchmark efficient entity, although he does consider listed firms more relevant to the estimation of the distribution rate for the benchmark efficient entity.</w:t>
      </w:r>
    </w:p>
    <w:p w:rsidR="00B27BE5" w:rsidRPr="00883125" w:rsidRDefault="00B27BE5" w:rsidP="00B27BE5">
      <w:pPr>
        <w:rPr>
          <w:rStyle w:val="AERbody"/>
        </w:rPr>
      </w:pPr>
      <w:r w:rsidRPr="00883125">
        <w:rPr>
          <w:rStyle w:val="AERbody"/>
        </w:rPr>
        <w:t xml:space="preserve">Handley indicated that Gray's analysis was 'incomplete and oversimplified' to support the restriction proposed, and we consider that Gray's June 2015 report (for Frontier) and NERA's June 2015 report add nothing material to the discussion. </w:t>
      </w:r>
    </w:p>
    <w:p w:rsidR="00B27BE5" w:rsidRPr="00883125" w:rsidRDefault="00B27BE5" w:rsidP="00B27BE5">
      <w:pPr>
        <w:rPr>
          <w:rStyle w:val="AERbody"/>
        </w:rPr>
      </w:pPr>
      <w:r w:rsidRPr="00883125">
        <w:rPr>
          <w:rStyle w:val="AERbody"/>
        </w:rPr>
        <w:t>We also note that if we estimated a distribution rate strictly in accordance with our benchmark definition we would end up with only the firms that we regulate, or an observable set of similar firms, yet the service providers have not suggested an industry benchmark distribution rate. We also do not propose an industry benchmark for the reasons set out in the Guideline</w:t>
      </w:r>
      <w:r w:rsidR="00733140">
        <w:rPr>
          <w:rStyle w:val="AERbody"/>
        </w:rPr>
        <w:t>, although we not</w:t>
      </w:r>
      <w:r w:rsidR="005F06A5">
        <w:rPr>
          <w:rStyle w:val="AERbody"/>
        </w:rPr>
        <w:t>e</w:t>
      </w:r>
      <w:r w:rsidR="00733140">
        <w:rPr>
          <w:rStyle w:val="AERbody"/>
        </w:rPr>
        <w:t xml:space="preserve"> Lally's estimate of 0.83 </w:t>
      </w:r>
      <w:r w:rsidR="00C43CF0">
        <w:rPr>
          <w:rStyle w:val="AERbody"/>
        </w:rPr>
        <w:t xml:space="preserve">for </w:t>
      </w:r>
      <w:r w:rsidR="00733140">
        <w:rPr>
          <w:rStyle w:val="AERbody"/>
        </w:rPr>
        <w:t>the broader listed equity market does not seem unreasonable</w:t>
      </w:r>
      <w:r w:rsidRPr="00883125">
        <w:rPr>
          <w:rStyle w:val="AERbody"/>
        </w:rPr>
        <w:t>.</w:t>
      </w:r>
      <w:r w:rsidRPr="00883125">
        <w:rPr>
          <w:rStyle w:val="FootnoteReference"/>
        </w:rPr>
        <w:footnoteReference w:id="499"/>
      </w:r>
      <w:r w:rsidRPr="00883125">
        <w:rPr>
          <w:rStyle w:val="AERbody"/>
        </w:rPr>
        <w:t xml:space="preserve"> However, we note the EMRF submitted that our assumed distribution rates are lower (and, therefore more favourable to service providers) than those relevant to a pure play energy network.</w:t>
      </w:r>
      <w:r w:rsidRPr="00883125">
        <w:rPr>
          <w:rStyle w:val="FootnoteReference"/>
        </w:rPr>
        <w:footnoteReference w:id="500"/>
      </w:r>
    </w:p>
    <w:p w:rsidR="00B27BE5" w:rsidRPr="00883125" w:rsidRDefault="00B27BE5" w:rsidP="00B27BE5">
      <w:pPr>
        <w:pStyle w:val="Heading9"/>
      </w:pPr>
      <w:bookmarkStart w:id="152" w:name="_Toc450119282"/>
      <w:bookmarkStart w:id="153" w:name="_Toc450119442"/>
      <w:bookmarkStart w:id="154" w:name="_Ref415126827"/>
      <w:bookmarkEnd w:id="152"/>
      <w:bookmarkEnd w:id="153"/>
      <w:r w:rsidRPr="00883125">
        <w:t>The cumulative payout ratio approach</w:t>
      </w:r>
      <w:bookmarkEnd w:id="154"/>
    </w:p>
    <w:p w:rsidR="00B27BE5" w:rsidRPr="00883125" w:rsidRDefault="00B27BE5" w:rsidP="00B27BE5">
      <w:pPr>
        <w:numPr>
          <w:ilvl w:val="0"/>
          <w:numId w:val="24"/>
        </w:numPr>
      </w:pPr>
      <w:r w:rsidRPr="00883125">
        <w:t>The cumulative payout ratio approach is applied as follows. It starts with the change in the total value of imputation credits in firms’ franking account balances over a particular period of time. This reflects the cumulative additions and subtractions of imputation credits over that particular period of time. Then, subtracting this from total company tax paid over the same period of time produces an estimate of the imputation credits that have been distributed in total. This relies on the idea that every dollar of company tax paid generates an imputation credit, which can either be distributed or retained in franking account balances. Then, dividing this estimate by the value of company tax paid over the same time period produces an estimate of the distribution rate over this time.</w:t>
      </w:r>
    </w:p>
    <w:p w:rsidR="00B27BE5" w:rsidRPr="00883125" w:rsidRDefault="00B27BE5" w:rsidP="00B27BE5">
      <w:pPr>
        <w:numPr>
          <w:ilvl w:val="0"/>
          <w:numId w:val="24"/>
        </w:numPr>
      </w:pPr>
      <w:r w:rsidRPr="00883125">
        <w:t>A limitation of this approach is that factors other than the distribution of imputation credits can lead to a decrease in aggregate franking account balances.</w:t>
      </w:r>
      <w:r w:rsidRPr="00883125">
        <w:rPr>
          <w:rStyle w:val="FootnoteReference"/>
        </w:rPr>
        <w:footnoteReference w:id="501"/>
      </w:r>
      <w:r w:rsidRPr="00883125">
        <w:t xml:space="preserve"> However, we are unaware of the materiality of these factors. Moreover, as discussed in the next section:</w:t>
      </w:r>
    </w:p>
    <w:p w:rsidR="00B27BE5" w:rsidRPr="00883125" w:rsidRDefault="00B27BE5" w:rsidP="00B27BE5">
      <w:pPr>
        <w:pStyle w:val="AERbulletlistfirststyle"/>
      </w:pPr>
      <w:r w:rsidRPr="00883125">
        <w:t>Hathaway and NERA each preferred this approach to an approach involving data on franked dividends, and</w:t>
      </w:r>
    </w:p>
    <w:p w:rsidR="00B27BE5" w:rsidRPr="00883125" w:rsidRDefault="00B27BE5" w:rsidP="00B27BE5">
      <w:pPr>
        <w:pStyle w:val="AERbulletlistfirststyle"/>
      </w:pPr>
      <w:r w:rsidRPr="00883125">
        <w:lastRenderedPageBreak/>
        <w:t>an estimate of the distribution rate across only listed equity using this approach is broadly reinforced by evidence from the financial statements of the largest listed companies.</w:t>
      </w:r>
    </w:p>
    <w:p w:rsidR="00B27BE5" w:rsidRPr="00883125" w:rsidRDefault="00B27BE5" w:rsidP="00B27BE5">
      <w:pPr>
        <w:pStyle w:val="Heading9"/>
      </w:pPr>
      <w:r w:rsidRPr="00883125">
        <w:t>Alternative approaches</w:t>
      </w:r>
    </w:p>
    <w:p w:rsidR="00B27BE5" w:rsidRPr="00883125" w:rsidRDefault="00B27BE5" w:rsidP="00B27BE5">
      <w:pPr>
        <w:numPr>
          <w:ilvl w:val="0"/>
          <w:numId w:val="24"/>
        </w:numPr>
      </w:pPr>
      <w:r w:rsidRPr="00883125">
        <w:t>There are at least two alternative approaches to estimating the distribution rate:</w:t>
      </w:r>
    </w:p>
    <w:p w:rsidR="00B27BE5" w:rsidRPr="00883125" w:rsidRDefault="00B27BE5" w:rsidP="00B27BE5">
      <w:pPr>
        <w:pStyle w:val="AERbulletlistfirststyle"/>
      </w:pPr>
      <w:r w:rsidRPr="00883125">
        <w:t>Hathaway and NERA each estimated a distribution rate of around 0.5 using ATO statistics on the franked dividends distributed by companies as reported in their tax returns.</w:t>
      </w:r>
      <w:r w:rsidRPr="00883125">
        <w:rPr>
          <w:rStyle w:val="FootnoteReference"/>
        </w:rPr>
        <w:footnoteReference w:id="502"/>
      </w:r>
      <w:r w:rsidRPr="00883125">
        <w:t xml:space="preserve"> However, neither advocated the use of this estimate. NERA considered:</w:t>
      </w:r>
      <w:r w:rsidRPr="00883125">
        <w:rPr>
          <w:rStyle w:val="FootnoteReference"/>
        </w:rPr>
        <w:footnoteReference w:id="503"/>
      </w:r>
    </w:p>
    <w:p w:rsidR="00B27BE5" w:rsidRPr="00883125" w:rsidRDefault="00B27BE5" w:rsidP="00B27BE5">
      <w:pPr>
        <w:pStyle w:val="AERquote"/>
      </w:pPr>
      <w:r w:rsidRPr="00883125">
        <w:t xml:space="preserve">In our opinion, the cumulative payout ratio is the most reliable estimate that is least likely to be affected by potential distortions in the underlying data set. </w:t>
      </w:r>
    </w:p>
    <w:p w:rsidR="00B27BE5" w:rsidRPr="00883125" w:rsidRDefault="00B27BE5" w:rsidP="00B27BE5">
      <w:pPr>
        <w:pStyle w:val="AERbulletlistfirststyle"/>
      </w:pPr>
      <w:r w:rsidRPr="00883125">
        <w:t>And Hathaway considered:</w:t>
      </w:r>
      <w:r w:rsidRPr="00883125">
        <w:rPr>
          <w:rStyle w:val="FootnoteReference"/>
        </w:rPr>
        <w:footnoteReference w:id="504"/>
      </w:r>
    </w:p>
    <w:p w:rsidR="00B27BE5" w:rsidRPr="00883125" w:rsidRDefault="00B27BE5" w:rsidP="00B27BE5">
      <w:pPr>
        <w:pStyle w:val="AERquote"/>
      </w:pPr>
      <w:r w:rsidRPr="00883125">
        <w:t>As was explained in section 3, I have more faith in the [franking account balance] data than in the dividend data. The dividend data appears to be missing about $87.5 billion and the ATO has had substantial problems with the dividend data in the past.</w:t>
      </w:r>
    </w:p>
    <w:p w:rsidR="00B27BE5" w:rsidRPr="00883125" w:rsidRDefault="00B27BE5" w:rsidP="00B27BE5">
      <w:r w:rsidRPr="00883125">
        <w:t>Lally examined the financial statements of the 20 largest ASX-listed firms by market capitalisation, and found an aggregate distribution rate across these firms of 0.8</w:t>
      </w:r>
      <w:r w:rsidR="000921FF">
        <w:t>3</w:t>
      </w:r>
      <w:r w:rsidRPr="00883125">
        <w:t>.</w:t>
      </w:r>
      <w:r w:rsidRPr="00883125">
        <w:rPr>
          <w:rStyle w:val="FootnoteReference"/>
        </w:rPr>
        <w:footnoteReference w:id="505"/>
      </w:r>
      <w:r w:rsidRPr="00883125">
        <w:t xml:space="preserve"> We consider that this broadly reinforces the higher cumulative payout ratio estimate across only listed equity.</w:t>
      </w:r>
    </w:p>
    <w:p w:rsidR="00B27BE5" w:rsidRPr="00883125" w:rsidRDefault="00B27BE5" w:rsidP="00B27BE5">
      <w:pPr>
        <w:pStyle w:val="Heading9"/>
      </w:pPr>
      <w:bookmarkStart w:id="155" w:name="_Ref450297745"/>
      <w:r w:rsidRPr="00883125">
        <w:t>Hathaway (2014)</w:t>
      </w:r>
      <w:bookmarkEnd w:id="155"/>
    </w:p>
    <w:p w:rsidR="00B27BE5" w:rsidRPr="00883125" w:rsidRDefault="00B27BE5" w:rsidP="00B27BE5">
      <w:r w:rsidRPr="00883125">
        <w:t>After the publication of the draft decisions in 2014, and deep into the process of preparing the final decision for JGN, we became aware of an updated analysis of the tax statistics by Hathaway dated October 2014.</w:t>
      </w:r>
      <w:r w:rsidRPr="00883125">
        <w:rPr>
          <w:rStyle w:val="FootnoteReference"/>
        </w:rPr>
        <w:footnoteReference w:id="506"/>
      </w:r>
      <w:r w:rsidRPr="00883125">
        <w:t xml:space="preserve"> This report updates the analysis to include tax data for the 2011–12 financial year, which were published by the ATO during 2014. Hathaway (2014) remains in draft form. Importantly, Hathaway (2014) appears to come to the opposite conclusion of his 2013 analysis regarding the FAB data:</w:t>
      </w:r>
      <w:r w:rsidRPr="00883125">
        <w:rPr>
          <w:rStyle w:val="FootnoteReference"/>
        </w:rPr>
        <w:footnoteReference w:id="507"/>
      </w:r>
    </w:p>
    <w:p w:rsidR="00B27BE5" w:rsidRPr="00883125" w:rsidRDefault="00B27BE5" w:rsidP="00B27BE5">
      <w:pPr>
        <w:pStyle w:val="AERquote"/>
      </w:pPr>
      <w:r w:rsidRPr="00883125">
        <w:t xml:space="preserve">…the FAB data indicate a </w:t>
      </w:r>
      <w:r w:rsidRPr="00883125">
        <w:rPr>
          <w:rStyle w:val="AERtextitalic"/>
        </w:rPr>
        <w:t>net</w:t>
      </w:r>
      <w:r w:rsidRPr="00883125">
        <w:t xml:space="preserve"> $337.4 billion of credits have been distributed and a </w:t>
      </w:r>
      <w:r w:rsidRPr="00883125">
        <w:rPr>
          <w:rStyle w:val="AERtextitalic"/>
        </w:rPr>
        <w:t>gross</w:t>
      </w:r>
      <w:r w:rsidRPr="00883125">
        <w:t xml:space="preserve"> $428 billion was distributed.</w:t>
      </w:r>
    </w:p>
    <w:p w:rsidR="00B27BE5" w:rsidRPr="00883125" w:rsidRDefault="00B27BE5" w:rsidP="00B27BE5">
      <w:pPr>
        <w:pStyle w:val="AERquote"/>
      </w:pPr>
      <w:r w:rsidRPr="00883125">
        <w:t xml:space="preserve">This gross distribution seems highly improbable and is quite inconsistent with the recorded franking credit income. It represents a gross payout ratio of 88% of all company tax as franking credits for the period 2004-12. This is in stark contrast to the </w:t>
      </w:r>
      <w:r w:rsidRPr="00883125">
        <w:lastRenderedPageBreak/>
        <w:t>gross 66% distribution recorded by the payment of franked dividends. We conclude that the FAB data are a concern.</w:t>
      </w:r>
    </w:p>
    <w:p w:rsidR="00B27BE5" w:rsidRPr="00883125" w:rsidRDefault="00B27BE5" w:rsidP="00B27BE5">
      <w:r w:rsidRPr="00883125">
        <w:t>To the extent that the new conclusions in Hathaway (2014) are well founded, the potential implication is that an estimate of the distribution rate using franked dividend data might be more appropriate (that is, around 0.5, or at least between 0.5 and 0.7). However, on first assessment, we are not convinced by Hathaway's main reason for concluding that the FAB data are a concern—the idea that they imply a gross distribution rate of 0.88 which is 'improbable' and much higher than the gross distribution rate implied by franked dividend data (0.66, which appears to be considered by Hathaway to be probable). This is because Lally's estimate of the gross distribution rate across the largest listed companies is 0.8</w:t>
      </w:r>
      <w:r w:rsidR="000921FF">
        <w:t>3</w:t>
      </w:r>
      <w:r w:rsidRPr="00883125">
        <w:t>, and therefore we do not consider that an estimate of 0.88 is necessarily improbable.</w:t>
      </w:r>
    </w:p>
    <w:p w:rsidR="00B27BE5" w:rsidRPr="00883125" w:rsidRDefault="00B27BE5" w:rsidP="00B27BE5">
      <w:r w:rsidRPr="00883125">
        <w:t xml:space="preserve">While we are aware of it, we do not place reliance on the conclusion in Hathaway (2014) regarding the FAB data in this </w:t>
      </w:r>
      <w:r w:rsidR="007E46C9">
        <w:t>final</w:t>
      </w:r>
      <w:r w:rsidR="007E46C9" w:rsidRPr="00883125">
        <w:t xml:space="preserve"> </w:t>
      </w:r>
      <w:r w:rsidRPr="00883125">
        <w:t>decision. This is because:</w:t>
      </w:r>
    </w:p>
    <w:p w:rsidR="00B27BE5" w:rsidRPr="00883125" w:rsidRDefault="00B27BE5" w:rsidP="00B27BE5">
      <w:pPr>
        <w:pStyle w:val="AERbulletlistfirststyle"/>
      </w:pPr>
      <w:r w:rsidRPr="00883125">
        <w:t>We do not find Hathaway's reasoning for his conclusion</w:t>
      </w:r>
      <w:r w:rsidR="00E30AF3">
        <w:t xml:space="preserve"> </w:t>
      </w:r>
      <w:r w:rsidR="00E30AF3" w:rsidRPr="00883125">
        <w:t>convincing</w:t>
      </w:r>
      <w:r w:rsidRPr="00883125">
        <w:t>.</w:t>
      </w:r>
    </w:p>
    <w:p w:rsidR="00B27BE5" w:rsidRPr="00883125" w:rsidRDefault="00B27BE5" w:rsidP="00B27BE5">
      <w:pPr>
        <w:pStyle w:val="AERbulletlistfirststyle"/>
      </w:pPr>
      <w:r w:rsidRPr="00883125">
        <w:t>This conclusion does not appear contingent on any new information provided by the release of the 2011–12 statistics. Therefore, this conclusion would appear to have been open to Hathaway, NERA and Handley previously, yet none of them came to it.</w:t>
      </w:r>
    </w:p>
    <w:p w:rsidR="00B27BE5" w:rsidRPr="00883125" w:rsidRDefault="00B27BE5" w:rsidP="00B27BE5">
      <w:r w:rsidRPr="00883125">
        <w:t>We also note the report is still marked draft nearly one year after initially being completed.</w:t>
      </w:r>
    </w:p>
    <w:p w:rsidR="00B27BE5" w:rsidRPr="00883125" w:rsidRDefault="00B27BE5" w:rsidP="00B27BE5">
      <w:pPr>
        <w:pStyle w:val="Heading8"/>
      </w:pPr>
      <w:bookmarkStart w:id="156" w:name="_Ref403481535"/>
      <w:bookmarkStart w:id="157" w:name="_Toc436049452"/>
      <w:bookmarkStart w:id="158" w:name="_Toc451928285"/>
      <w:r w:rsidRPr="00883125">
        <w:t>Application of rate of return criteria to evidence on the utilisation rate</w:t>
      </w:r>
      <w:bookmarkEnd w:id="156"/>
      <w:bookmarkEnd w:id="157"/>
      <w:bookmarkEnd w:id="158"/>
    </w:p>
    <w:p w:rsidR="00B27BE5" w:rsidRPr="00883125" w:rsidRDefault="00B27BE5" w:rsidP="00B27BE5">
      <w:pPr>
        <w:numPr>
          <w:ilvl w:val="0"/>
          <w:numId w:val="24"/>
        </w:numPr>
      </w:pPr>
      <w:r w:rsidRPr="00883125">
        <w:t xml:space="preserve">Our main assessment of the various approaches to estimating the utilisation rate is set out in section </w:t>
      </w:r>
      <w:r w:rsidR="000921FF">
        <w:fldChar w:fldCharType="begin"/>
      </w:r>
      <w:r w:rsidR="000921FF">
        <w:instrText xml:space="preserve"> REF _Ref451342609 \r \h </w:instrText>
      </w:r>
      <w:r w:rsidR="000921FF">
        <w:fldChar w:fldCharType="separate"/>
      </w:r>
      <w:r w:rsidR="00881794">
        <w:t>4.4</w:t>
      </w:r>
      <w:r w:rsidR="000921FF">
        <w:fldChar w:fldCharType="end"/>
      </w:r>
      <w:r w:rsidRPr="00883125">
        <w:t xml:space="preserve"> of attachment 4, with supporting evidence provided in this appendix. However, we have also considered these approaches and the evidence they employ against the criteria used to assess evidence on the allowed rate of return (</w:t>
      </w:r>
      <w:r w:rsidRPr="00883125">
        <w:fldChar w:fldCharType="begin"/>
      </w:r>
      <w:r w:rsidRPr="00883125">
        <w:instrText xml:space="preserve"> REF  _Ref415046112 \* Lower \h </w:instrText>
      </w:r>
      <w:r w:rsidRPr="00883125">
        <w:fldChar w:fldCharType="separate"/>
      </w:r>
      <w:r w:rsidR="00881794" w:rsidRPr="00883125">
        <w:t xml:space="preserve">table </w:t>
      </w:r>
      <w:r w:rsidR="00881794">
        <w:rPr>
          <w:noProof/>
        </w:rPr>
        <w:t>4</w:t>
      </w:r>
      <w:r w:rsidR="00881794">
        <w:noBreakHyphen/>
      </w:r>
      <w:r w:rsidR="00881794">
        <w:rPr>
          <w:noProof/>
        </w:rPr>
        <w:t>14</w:t>
      </w:r>
      <w:r w:rsidRPr="00883125">
        <w:fldChar w:fldCharType="end"/>
      </w:r>
      <w:r w:rsidRPr="00883125">
        <w:t>). Assessment against these criteria broadly supports our main assessment of the approaches.</w:t>
      </w:r>
    </w:p>
    <w:p w:rsidR="00B27BE5" w:rsidRPr="00883125" w:rsidRDefault="00B27BE5" w:rsidP="00B27BE5">
      <w:pPr>
        <w:numPr>
          <w:ilvl w:val="0"/>
          <w:numId w:val="24"/>
        </w:numPr>
      </w:pPr>
    </w:p>
    <w:p w:rsidR="00B27BE5" w:rsidRPr="00883125" w:rsidRDefault="00B27BE5" w:rsidP="00B27BE5">
      <w:pPr>
        <w:sectPr w:rsidR="00B27BE5" w:rsidRPr="00883125" w:rsidSect="009A2DA5">
          <w:pgSz w:w="11906" w:h="16838"/>
          <w:pgMar w:top="1440" w:right="1440" w:bottom="1440" w:left="1440" w:header="708" w:footer="708" w:gutter="0"/>
          <w:pgNumType w:chapStyle="1"/>
          <w:cols w:space="708"/>
          <w:docGrid w:linePitch="360"/>
        </w:sectPr>
      </w:pP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E30AF3" w:rsidRPr="00FE391A" w:rsidTr="00B27BE5">
        <w:trPr>
          <w:cnfStyle w:val="100000000000" w:firstRow="1" w:lastRow="0" w:firstColumn="0" w:lastColumn="0" w:oddVBand="0" w:evenVBand="0" w:oddHBand="0" w:evenHBand="0" w:firstRowFirstColumn="0" w:firstRowLastColumn="0" w:lastRowFirstColumn="0" w:lastRowLastColumn="0"/>
          <w:cantSplit/>
        </w:trPr>
        <w:tc>
          <w:tcPr>
            <w:tcW w:w="3936" w:type="dxa"/>
          </w:tcPr>
          <w:p w:rsidR="00E30AF3" w:rsidRPr="00883125" w:rsidRDefault="00E30AF3" w:rsidP="00B27BE5">
            <w:pPr>
              <w:pStyle w:val="ListParagraph"/>
              <w:numPr>
                <w:ilvl w:val="0"/>
                <w:numId w:val="24"/>
              </w:numPr>
            </w:pPr>
            <w:r>
              <w:lastRenderedPageBreak/>
              <w:t>Criteria</w:t>
            </w:r>
            <w:r w:rsidRPr="00E30AF3">
              <w:rPr>
                <w:rStyle w:val="AERsuperscript"/>
              </w:rPr>
              <w:t>(a)</w:t>
            </w:r>
          </w:p>
        </w:tc>
        <w:tc>
          <w:tcPr>
            <w:tcW w:w="3140" w:type="dxa"/>
          </w:tcPr>
          <w:p w:rsidR="00E30AF3" w:rsidRPr="00883125" w:rsidRDefault="00E30AF3" w:rsidP="00B27BE5">
            <w:r>
              <w:t>Equity ownership approach</w:t>
            </w:r>
          </w:p>
        </w:tc>
        <w:tc>
          <w:tcPr>
            <w:tcW w:w="3238" w:type="dxa"/>
          </w:tcPr>
          <w:p w:rsidR="00E30AF3" w:rsidRPr="00883125" w:rsidRDefault="00E30AF3" w:rsidP="00B27BE5">
            <w:r>
              <w:t>Tax statistics</w:t>
            </w:r>
          </w:p>
        </w:tc>
        <w:tc>
          <w:tcPr>
            <w:tcW w:w="3838" w:type="dxa"/>
          </w:tcPr>
          <w:p w:rsidR="00E30AF3" w:rsidRPr="00883125" w:rsidRDefault="00E30AF3" w:rsidP="00B27BE5">
            <w:r>
              <w:t>Implied market value studies</w:t>
            </w:r>
          </w:p>
        </w:tc>
      </w:tr>
      <w:tr w:rsidR="00B27BE5" w:rsidRPr="00FE391A" w:rsidTr="00B27BE5">
        <w:trPr>
          <w:cantSplit/>
        </w:trPr>
        <w:tc>
          <w:tcPr>
            <w:tcW w:w="3936" w:type="dxa"/>
          </w:tcPr>
          <w:p w:rsidR="00B27BE5" w:rsidRPr="00883125" w:rsidRDefault="00B27BE5" w:rsidP="00B27BE5">
            <w:pPr>
              <w:pStyle w:val="ListParagraph"/>
              <w:numPr>
                <w:ilvl w:val="0"/>
                <w:numId w:val="24"/>
              </w:numPr>
            </w:pPr>
            <w:r w:rsidRPr="00883125">
              <w:t xml:space="preserve">Where applicable, reflective of economic and finance principles and market information. </w:t>
            </w:r>
          </w:p>
          <w:p w:rsidR="00B27BE5" w:rsidRPr="00883125" w:rsidRDefault="00B27BE5" w:rsidP="00B27BE5">
            <w:pPr>
              <w:pStyle w:val="ListParagraph"/>
              <w:numPr>
                <w:ilvl w:val="0"/>
                <w:numId w:val="24"/>
              </w:numPr>
            </w:pPr>
            <w:r w:rsidRPr="00883125">
              <w:t>- Estimation methods and financial models are consistent with well accepted economic and finance principles and informed by sound empirical analysis and robust data.</w:t>
            </w:r>
          </w:p>
        </w:tc>
        <w:tc>
          <w:tcPr>
            <w:tcW w:w="3140" w:type="dxa"/>
          </w:tcPr>
          <w:p w:rsidR="00B27BE5" w:rsidRPr="00B27BE5" w:rsidRDefault="00B27BE5" w:rsidP="00B27BE5">
            <w:r w:rsidRPr="00883125">
              <w:t>Accords with Monkhouse framework and principle of investor rationality (e.g. eligible investors expected to utilise credits to which they are entitled).</w:t>
            </w:r>
          </w:p>
          <w:p w:rsidR="00B27BE5" w:rsidRPr="00B27BE5" w:rsidRDefault="00B27BE5" w:rsidP="00B27BE5">
            <w:r w:rsidRPr="00883125">
              <w:t>Analysis is straightforward and sound. Data is from credible source (ABS).</w:t>
            </w:r>
          </w:p>
        </w:tc>
        <w:tc>
          <w:tcPr>
            <w:tcW w:w="3238" w:type="dxa"/>
          </w:tcPr>
          <w:p w:rsidR="00B27BE5" w:rsidRPr="00B27BE5" w:rsidRDefault="00B27BE5" w:rsidP="00B27BE5">
            <w:r w:rsidRPr="00883125">
              <w:t>Market information on the amount of imputation credits utilised.</w:t>
            </w:r>
          </w:p>
          <w:p w:rsidR="00B27BE5" w:rsidRPr="00B27BE5" w:rsidRDefault="00B27BE5" w:rsidP="00B27BE5">
            <w:r w:rsidRPr="00883125">
              <w:t>Analysis is straightforward and sound. Data is from credible source (ATO), but some data concerns have been identified.</w:t>
            </w:r>
          </w:p>
        </w:tc>
        <w:tc>
          <w:tcPr>
            <w:tcW w:w="3838" w:type="dxa"/>
          </w:tcPr>
          <w:p w:rsidR="00B27BE5" w:rsidRPr="00B27BE5" w:rsidRDefault="00B27BE5" w:rsidP="00B27BE5">
            <w:r w:rsidRPr="00883125">
              <w:t>Mainly based on the principle that share prices reflect the present value of future dividends (and imputation credits) and 'no arbitrage'.</w:t>
            </w:r>
          </w:p>
          <w:p w:rsidR="00B27BE5" w:rsidRPr="00B27BE5" w:rsidRDefault="00B27BE5" w:rsidP="00B27BE5">
            <w:r w:rsidRPr="00883125">
              <w:t>Varying opinions on the soundness of analysis across studies. Underlying data is typically from credible sources (e.g. Bloomberg, ASX).</w:t>
            </w:r>
          </w:p>
        </w:tc>
      </w:tr>
      <w:tr w:rsidR="00B27BE5" w:rsidRPr="00FE391A" w:rsidTr="00B27BE5">
        <w:trPr>
          <w:cnfStyle w:val="000000010000" w:firstRow="0" w:lastRow="0" w:firstColumn="0" w:lastColumn="0" w:oddVBand="0" w:evenVBand="0" w:oddHBand="0" w:evenHBand="1" w:firstRowFirstColumn="0" w:firstRowLastColumn="0" w:lastRowFirstColumn="0" w:lastRowLastColumn="0"/>
          <w:cantSplit/>
        </w:trPr>
        <w:tc>
          <w:tcPr>
            <w:tcW w:w="3936" w:type="dxa"/>
          </w:tcPr>
          <w:p w:rsidR="00B27BE5" w:rsidRPr="00B27BE5" w:rsidRDefault="00B27BE5" w:rsidP="00B27BE5">
            <w:r w:rsidRPr="00883125">
              <w:t xml:space="preserve">Fit for purpose. </w:t>
            </w:r>
          </w:p>
          <w:p w:rsidR="00B27BE5" w:rsidRPr="00B27BE5" w:rsidRDefault="00B27BE5" w:rsidP="00B27BE5">
            <w:r w:rsidRPr="00883125">
              <w:t xml:space="preserve">- The use of estimation methods, financial models, market data and other evidence should be consistent with the original purpose for which it was compiled and have regard to the limitations of that purpose. </w:t>
            </w:r>
          </w:p>
          <w:p w:rsidR="00B27BE5" w:rsidRPr="00B27BE5" w:rsidRDefault="00B27BE5" w:rsidP="00B27BE5">
            <w:r w:rsidRPr="00883125">
              <w:t>- Promote simple over complex approaches where appropriate.</w:t>
            </w:r>
          </w:p>
        </w:tc>
        <w:tc>
          <w:tcPr>
            <w:tcW w:w="3140" w:type="dxa"/>
          </w:tcPr>
          <w:p w:rsidR="00B27BE5" w:rsidRPr="00B27BE5" w:rsidRDefault="00B27BE5" w:rsidP="00B27BE5">
            <w:r w:rsidRPr="00883125">
              <w:t>ABS data used to estimate the domestic ownership share of Australian equity, which is consistent with its purpose. Approach is simple.</w:t>
            </w:r>
          </w:p>
        </w:tc>
        <w:tc>
          <w:tcPr>
            <w:tcW w:w="3238" w:type="dxa"/>
          </w:tcPr>
          <w:p w:rsidR="00B27BE5" w:rsidRPr="00B27BE5" w:rsidRDefault="00B27BE5" w:rsidP="00B27BE5">
            <w:r w:rsidRPr="00883125">
              <w:t>ATO statistics used to observe the reported amount of imputation credits utilised by investors, which is consistent with their purpose. Approach is simple.</w:t>
            </w:r>
          </w:p>
        </w:tc>
        <w:tc>
          <w:tcPr>
            <w:tcW w:w="3838" w:type="dxa"/>
          </w:tcPr>
          <w:p w:rsidR="00B27BE5" w:rsidRPr="00B27BE5" w:rsidRDefault="00B27BE5" w:rsidP="00B27BE5">
            <w:r w:rsidRPr="00883125">
              <w:t>Some studies undertaken for the specific purpose of estimating the utilisation rate for regulatory purposes. Results of some studies need to be interpreted carefully to be consistent with the regulatory framework. Studies can employ complex and sometimes problematic estimation methodologies.</w:t>
            </w:r>
          </w:p>
        </w:tc>
      </w:tr>
      <w:tr w:rsidR="00B27BE5" w:rsidRPr="00FE391A" w:rsidTr="00B27BE5">
        <w:trPr>
          <w:cantSplit/>
        </w:trPr>
        <w:tc>
          <w:tcPr>
            <w:tcW w:w="3936" w:type="dxa"/>
          </w:tcPr>
          <w:p w:rsidR="00B27BE5" w:rsidRPr="00B27BE5" w:rsidRDefault="00B27BE5" w:rsidP="00B27BE5">
            <w:r w:rsidRPr="00883125">
              <w:t xml:space="preserve">Implemented in accordance with good practice. </w:t>
            </w:r>
          </w:p>
          <w:p w:rsidR="00B27BE5" w:rsidRPr="00B27BE5" w:rsidRDefault="00B27BE5" w:rsidP="00B27BE5">
            <w:r w:rsidRPr="00883125">
              <w:t>- Supported by robust, transparent and replicable analysis that is derived from available credible datasets.</w:t>
            </w:r>
          </w:p>
        </w:tc>
        <w:tc>
          <w:tcPr>
            <w:tcW w:w="3140" w:type="dxa"/>
          </w:tcPr>
          <w:p w:rsidR="00B27BE5" w:rsidRPr="00B27BE5" w:rsidRDefault="00B27BE5" w:rsidP="00B27BE5">
            <w:r w:rsidRPr="00883125">
              <w:t>Transparent and replicable using published data. Some knowledge of ABS classifications required.</w:t>
            </w:r>
          </w:p>
        </w:tc>
        <w:tc>
          <w:tcPr>
            <w:tcW w:w="3238" w:type="dxa"/>
          </w:tcPr>
          <w:p w:rsidR="00B27BE5" w:rsidRPr="00B27BE5" w:rsidRDefault="00B27BE5" w:rsidP="00B27BE5">
            <w:r w:rsidRPr="00883125">
              <w:t>Transparent and replicable using published data, although detailed knowledge of tax return labels required. Some data concerns have been identified.</w:t>
            </w:r>
          </w:p>
        </w:tc>
        <w:tc>
          <w:tcPr>
            <w:tcW w:w="3838" w:type="dxa"/>
          </w:tcPr>
          <w:p w:rsidR="00B27BE5" w:rsidRPr="00B27BE5" w:rsidRDefault="00B27BE5" w:rsidP="00B27BE5">
            <w:r w:rsidRPr="00883125">
              <w:t>Less transparent and replicable, as econometrics knowledge required and data not always publicly or freely available.</w:t>
            </w:r>
          </w:p>
        </w:tc>
      </w:tr>
      <w:tr w:rsidR="00B27BE5" w:rsidRPr="00FE391A" w:rsidTr="00B27BE5">
        <w:trPr>
          <w:cnfStyle w:val="000000010000" w:firstRow="0" w:lastRow="0" w:firstColumn="0" w:lastColumn="0" w:oddVBand="0" w:evenVBand="0" w:oddHBand="0" w:evenHBand="1" w:firstRowFirstColumn="0" w:firstRowLastColumn="0" w:lastRowFirstColumn="0" w:lastRowLastColumn="0"/>
          <w:cantSplit/>
        </w:trPr>
        <w:tc>
          <w:tcPr>
            <w:tcW w:w="3936" w:type="dxa"/>
          </w:tcPr>
          <w:p w:rsidR="00B27BE5" w:rsidRPr="00B27BE5" w:rsidRDefault="00B27BE5" w:rsidP="00B27BE5">
            <w:r w:rsidRPr="00883125">
              <w:t>Where market data and other information is used, this information is: credible and verifiable; comparable and timely; and clearly sourced.</w:t>
            </w:r>
          </w:p>
        </w:tc>
        <w:tc>
          <w:tcPr>
            <w:tcW w:w="3140" w:type="dxa"/>
          </w:tcPr>
          <w:p w:rsidR="00B27BE5" w:rsidRPr="00B27BE5" w:rsidRDefault="00B27BE5" w:rsidP="00B27BE5">
            <w:r w:rsidRPr="00883125">
              <w:t xml:space="preserve">ABS is a credible source. Relevant statistics are published online on a quarterly basis. </w:t>
            </w:r>
          </w:p>
        </w:tc>
        <w:tc>
          <w:tcPr>
            <w:tcW w:w="3238" w:type="dxa"/>
          </w:tcPr>
          <w:p w:rsidR="00B27BE5" w:rsidRPr="00B27BE5" w:rsidRDefault="00B27BE5" w:rsidP="00B27BE5">
            <w:r w:rsidRPr="00883125">
              <w:t>ATO is a credible source. Relevant statistics are published online on an annual basis, with a two-year lag (e.g. 2011–12 statistics published in 2014). Some data concerns have been identified.</w:t>
            </w:r>
          </w:p>
        </w:tc>
        <w:tc>
          <w:tcPr>
            <w:tcW w:w="3838" w:type="dxa"/>
          </w:tcPr>
          <w:p w:rsidR="00B27BE5" w:rsidRPr="00B27BE5" w:rsidRDefault="00B27BE5" w:rsidP="00B27BE5">
            <w:r w:rsidRPr="00883125">
              <w:t>Underlying data typically from credible sources (e.g. Bloomberg, ASX) and is produced on a timely basis. Data not always publicly or freely available.</w:t>
            </w:r>
          </w:p>
          <w:p w:rsidR="00B27BE5" w:rsidRPr="00B27BE5" w:rsidRDefault="00B27BE5" w:rsidP="00B27BE5">
            <w:r w:rsidRPr="00883125">
              <w:t>Use of econometrics makes the results difficult and complex to verify.</w:t>
            </w:r>
          </w:p>
        </w:tc>
      </w:tr>
      <w:tr w:rsidR="00B27BE5" w:rsidRPr="00FE391A" w:rsidTr="00B27BE5">
        <w:trPr>
          <w:cantSplit/>
        </w:trPr>
        <w:tc>
          <w:tcPr>
            <w:tcW w:w="3936" w:type="dxa"/>
          </w:tcPr>
          <w:p w:rsidR="00B27BE5" w:rsidRPr="00B27BE5" w:rsidRDefault="00B27BE5" w:rsidP="00B27BE5">
            <w:r w:rsidRPr="00883125">
              <w:t xml:space="preserve">Sufficiently flexible as to </w:t>
            </w:r>
            <w:r w:rsidRPr="00B27BE5">
              <w:t>allow changing market conditions and new information to be reflected in regulatory outcomes, as appropriate.</w:t>
            </w:r>
          </w:p>
        </w:tc>
        <w:tc>
          <w:tcPr>
            <w:tcW w:w="3140" w:type="dxa"/>
          </w:tcPr>
          <w:p w:rsidR="00B27BE5" w:rsidRPr="00B27BE5" w:rsidRDefault="00B27BE5" w:rsidP="00B27BE5">
            <w:r w:rsidRPr="00883125">
              <w:t xml:space="preserve">Reflects current ownership of Australian equities. However, might not reflect any tax law changes that reduce eligible investors’ utilisation rates below 1.  </w:t>
            </w:r>
          </w:p>
        </w:tc>
        <w:tc>
          <w:tcPr>
            <w:tcW w:w="3238" w:type="dxa"/>
          </w:tcPr>
          <w:p w:rsidR="00B27BE5" w:rsidRPr="00B27BE5" w:rsidRDefault="00B27BE5" w:rsidP="00B27BE5">
            <w:r w:rsidRPr="00883125">
              <w:t>Reflects conditions up to two years ago.</w:t>
            </w:r>
          </w:p>
        </w:tc>
        <w:tc>
          <w:tcPr>
            <w:tcW w:w="3838" w:type="dxa"/>
          </w:tcPr>
          <w:p w:rsidR="00B27BE5" w:rsidRPr="00B27BE5" w:rsidRDefault="00B27BE5" w:rsidP="00B27BE5">
            <w:r w:rsidRPr="00883125">
              <w:t>Reflects current conditions to the extent that recent data is used. Different studies span various time periods.</w:t>
            </w:r>
          </w:p>
        </w:tc>
      </w:tr>
    </w:tbl>
    <w:p w:rsidR="00B27BE5" w:rsidRPr="00883125" w:rsidRDefault="00B27BE5" w:rsidP="00B27BE5">
      <w:pPr>
        <w:pStyle w:val="Caption"/>
      </w:pPr>
      <w:bookmarkStart w:id="159" w:name="_Ref415046112"/>
      <w:r w:rsidRPr="00883125">
        <w:t xml:space="preserve">Table </w:t>
      </w:r>
      <w:r w:rsidR="004B4BF3">
        <w:fldChar w:fldCharType="begin"/>
      </w:r>
      <w:r w:rsidR="004B4BF3">
        <w:instrText xml:space="preserve"> STYLEREF 1 \s </w:instrText>
      </w:r>
      <w:r w:rsidR="004B4BF3">
        <w:fldChar w:fldCharType="separate"/>
      </w:r>
      <w:r w:rsidR="00881794">
        <w:rPr>
          <w:noProof/>
        </w:rPr>
        <w:t>4</w:t>
      </w:r>
      <w:r w:rsidR="004B4BF3">
        <w:rPr>
          <w:noProof/>
        </w:rPr>
        <w:fldChar w:fldCharType="end"/>
      </w:r>
      <w:r>
        <w:noBreakHyphen/>
      </w:r>
      <w:r w:rsidR="004B4BF3">
        <w:fldChar w:fldCharType="begin"/>
      </w:r>
      <w:r w:rsidR="004B4BF3">
        <w:instrText xml:space="preserve"> SEQ Table \* ARABIC \s 1 </w:instrText>
      </w:r>
      <w:r w:rsidR="004B4BF3">
        <w:fldChar w:fldCharType="separate"/>
      </w:r>
      <w:r w:rsidR="00881794">
        <w:rPr>
          <w:noProof/>
        </w:rPr>
        <w:t>14</w:t>
      </w:r>
      <w:r w:rsidR="004B4BF3">
        <w:rPr>
          <w:noProof/>
        </w:rPr>
        <w:fldChar w:fldCharType="end"/>
      </w:r>
      <w:bookmarkEnd w:id="159"/>
      <w:r w:rsidRPr="00883125">
        <w:tab/>
        <w:t>Application of rate of return criteria to evidence on the utilisation rate</w:t>
      </w:r>
    </w:p>
    <w:p w:rsidR="00B27BE5" w:rsidRPr="00883125" w:rsidRDefault="00B27BE5" w:rsidP="00B27BE5">
      <w:pPr>
        <w:pStyle w:val="AERtablesource"/>
      </w:pPr>
      <w:r w:rsidRPr="00883125">
        <w:t xml:space="preserve">Source: </w:t>
      </w:r>
      <w:r w:rsidRPr="00883125">
        <w:tab/>
        <w:t>AER analysis.</w:t>
      </w:r>
    </w:p>
    <w:p w:rsidR="00B27BE5" w:rsidRPr="00883125" w:rsidRDefault="00B27BE5" w:rsidP="00B27BE5">
      <w:pPr>
        <w:pStyle w:val="AERtablesource"/>
      </w:pPr>
      <w:r w:rsidRPr="00883125">
        <w:t>(a):</w:t>
      </w:r>
      <w:r w:rsidRPr="00883125">
        <w:tab/>
        <w:t>The criteria relating specifically to return on equity and return on debt quantitative models are excluded because they are not applicable.</w:t>
      </w:r>
    </w:p>
    <w:p w:rsidR="00B27BE5" w:rsidRPr="00883125" w:rsidRDefault="00B27BE5" w:rsidP="00B27BE5">
      <w:pPr>
        <w:sectPr w:rsidR="00B27BE5" w:rsidRPr="00883125" w:rsidSect="009A2DA5">
          <w:pgSz w:w="16838" w:h="11906" w:orient="landscape"/>
          <w:pgMar w:top="1440" w:right="1440" w:bottom="1440" w:left="1440" w:header="709" w:footer="709" w:gutter="0"/>
          <w:pgNumType w:chapStyle="1"/>
          <w:cols w:space="720"/>
          <w:docGrid w:linePitch="326"/>
        </w:sectPr>
      </w:pPr>
    </w:p>
    <w:p w:rsidR="00B27BE5" w:rsidRPr="00883125" w:rsidRDefault="00B27BE5" w:rsidP="00B27BE5">
      <w:pPr>
        <w:pStyle w:val="Heading8"/>
      </w:pPr>
      <w:bookmarkStart w:id="160" w:name="_Ref415049811"/>
      <w:bookmarkStart w:id="161" w:name="_Toc436049453"/>
      <w:bookmarkStart w:id="162" w:name="_Toc451928286"/>
      <w:r w:rsidRPr="00883125">
        <w:lastRenderedPageBreak/>
        <w:t>The equity ownership approach</w:t>
      </w:r>
      <w:bookmarkEnd w:id="160"/>
      <w:bookmarkEnd w:id="161"/>
      <w:bookmarkEnd w:id="162"/>
    </w:p>
    <w:p w:rsidR="00B27BE5" w:rsidRPr="00883125" w:rsidRDefault="00B27BE5" w:rsidP="00B27BE5">
      <w:pPr>
        <w:numPr>
          <w:ilvl w:val="0"/>
          <w:numId w:val="24"/>
        </w:numPr>
      </w:pPr>
      <w:r w:rsidRPr="00883125">
        <w:t>Recalling that eligible investors have a utilisation rate of 1 and ineligible investors have a utilisation rate of 0, we consider that the value-weighted proportion of domestic investors in the Australian equity market is a reasonable estimate of the utilisation rate. This is because, in general, domestic investors are eligible to utilise imputation credits and foreign investors are not. We refer to this approach as the 'equity ownership approach', and we use data from the National Accounts to estimate the domestic ownership share.</w:t>
      </w:r>
      <w:r w:rsidRPr="00883125">
        <w:rPr>
          <w:rStyle w:val="FootnoteReference"/>
        </w:rPr>
        <w:footnoteReference w:id="508"/>
      </w:r>
    </w:p>
    <w:p w:rsidR="00B27BE5" w:rsidRPr="00883125" w:rsidRDefault="00B27BE5" w:rsidP="00B27BE5">
      <w:pPr>
        <w:numPr>
          <w:ilvl w:val="0"/>
          <w:numId w:val="24"/>
        </w:numPr>
      </w:pPr>
      <w:r w:rsidRPr="00883125">
        <w:t xml:space="preserve">Our views on the equity ownership approach to estimating the utilisation rate are set out in section </w:t>
      </w:r>
      <w:r w:rsidR="000921FF">
        <w:fldChar w:fldCharType="begin"/>
      </w:r>
      <w:r w:rsidR="000921FF">
        <w:instrText xml:space="preserve"> REF _Ref451342743 \r \h </w:instrText>
      </w:r>
      <w:r w:rsidR="000921FF">
        <w:fldChar w:fldCharType="separate"/>
      </w:r>
      <w:r w:rsidR="00881794">
        <w:t>4.4</w:t>
      </w:r>
      <w:r w:rsidR="000921FF">
        <w:fldChar w:fldCharType="end"/>
      </w:r>
      <w:r w:rsidRPr="00883125">
        <w:t xml:space="preserve"> of attachment 4. In this section, we provide further detail on our application of the approach. We also compare our assessment of the approach in this </w:t>
      </w:r>
      <w:r w:rsidR="001015D0">
        <w:t>final</w:t>
      </w:r>
      <w:r w:rsidR="001015D0" w:rsidRPr="00883125">
        <w:t xml:space="preserve"> </w:t>
      </w:r>
      <w:r w:rsidRPr="00883125">
        <w:t>decision with our assessment in the Guideline.</w:t>
      </w:r>
    </w:p>
    <w:p w:rsidR="00B27BE5" w:rsidRPr="00883125" w:rsidRDefault="00B27BE5" w:rsidP="00B27BE5">
      <w:pPr>
        <w:numPr>
          <w:ilvl w:val="0"/>
          <w:numId w:val="24"/>
        </w:numPr>
      </w:pPr>
      <w:r w:rsidRPr="00883125">
        <w:t xml:space="preserve">We place significant reliance on the equity ownership approach for the reasons set out in section </w:t>
      </w:r>
      <w:r w:rsidR="000921FF">
        <w:fldChar w:fldCharType="begin"/>
      </w:r>
      <w:r w:rsidR="000921FF">
        <w:instrText xml:space="preserve"> REF _Ref451342752 \r \h </w:instrText>
      </w:r>
      <w:r w:rsidR="000921FF">
        <w:fldChar w:fldCharType="separate"/>
      </w:r>
      <w:r w:rsidR="00881794">
        <w:t>4.4</w:t>
      </w:r>
      <w:r w:rsidR="000921FF">
        <w:fldChar w:fldCharType="end"/>
      </w:r>
      <w:r w:rsidRPr="00883125">
        <w:t xml:space="preserve"> of attachment 4. We have regard also to the limitations of this approach, but we do not consider them significant:</w:t>
      </w:r>
    </w:p>
    <w:p w:rsidR="00B27BE5" w:rsidRPr="00883125" w:rsidRDefault="00B27BE5" w:rsidP="00B27BE5">
      <w:pPr>
        <w:pStyle w:val="AERbulletlistfirststyle"/>
      </w:pPr>
      <w:r w:rsidRPr="00883125">
        <w:t xml:space="preserve">The approach does not take into account the effect of the 45-day holding rule (or any other rules that can affect the eligibility of domestic investors to claim imputation credits). However, as discussed in section </w:t>
      </w:r>
      <w:r w:rsidRPr="00883125">
        <w:fldChar w:fldCharType="begin"/>
      </w:r>
      <w:r w:rsidRPr="00883125">
        <w:instrText xml:space="preserve"> REF _Ref414099389 \r \h </w:instrText>
      </w:r>
      <w:r w:rsidRPr="00883125">
        <w:fldChar w:fldCharType="separate"/>
      </w:r>
      <w:r w:rsidR="00881794">
        <w:t>A.8.3</w:t>
      </w:r>
      <w:r w:rsidRPr="00883125">
        <w:fldChar w:fldCharType="end"/>
      </w:r>
      <w:r w:rsidRPr="00883125">
        <w:t>, we do not consider that there is clear evidence as to effect that these rules have or should be expected to have. Moreover, we consider that the most relevant evidence on the effect of these rules suggest that they have a negligible effect.</w:t>
      </w:r>
    </w:p>
    <w:p w:rsidR="00B27BE5" w:rsidRPr="00883125" w:rsidRDefault="00B27BE5" w:rsidP="00B27BE5">
      <w:pPr>
        <w:pStyle w:val="AERbulletlistfirststyle"/>
      </w:pPr>
      <w:r w:rsidRPr="00883125">
        <w:t>The approach 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883125">
        <w:rPr>
          <w:rStyle w:val="FootnoteReference"/>
        </w:rPr>
        <w:footnoteReference w:id="509"/>
      </w:r>
    </w:p>
    <w:p w:rsidR="000921FF" w:rsidRDefault="00964BD5" w:rsidP="00B27BE5">
      <w:pPr>
        <w:numPr>
          <w:ilvl w:val="0"/>
          <w:numId w:val="24"/>
        </w:numPr>
      </w:pPr>
      <w:r>
        <w:t xml:space="preserve">In his latest report, </w:t>
      </w:r>
      <w:r w:rsidR="00EA25C2">
        <w:t>Lally considers the utilisation value is a weighted average over the utilisation rates for investors, equal to 1 for those who are eligible to use the credits and zero otherwise.</w:t>
      </w:r>
      <w:r w:rsidR="00EA25C2">
        <w:rPr>
          <w:rStyle w:val="FootnoteReference"/>
        </w:rPr>
        <w:footnoteReference w:id="510"/>
      </w:r>
      <w:r w:rsidR="00EA25C2">
        <w:t xml:space="preserve"> This is </w:t>
      </w:r>
      <w:r w:rsidR="00B569AB">
        <w:t xml:space="preserve">consistent with </w:t>
      </w:r>
      <w:r>
        <w:t>our</w:t>
      </w:r>
      <w:r w:rsidR="00EA25C2">
        <w:t xml:space="preserve"> equity ownership approach.</w:t>
      </w:r>
      <w:r w:rsidR="00EA25C2">
        <w:rPr>
          <w:rStyle w:val="FootnoteReference"/>
        </w:rPr>
        <w:footnoteReference w:id="511"/>
      </w:r>
    </w:p>
    <w:p w:rsidR="00B27BE5" w:rsidRPr="00883125" w:rsidRDefault="00B27BE5" w:rsidP="00164D25">
      <w:pPr>
        <w:keepNext/>
        <w:numPr>
          <w:ilvl w:val="0"/>
          <w:numId w:val="24"/>
        </w:numPr>
      </w:pPr>
      <w:r w:rsidRPr="00883125">
        <w:lastRenderedPageBreak/>
        <w:t>We consider that a reasonable estimate for the utilisation rate from the equity ownership approach is between:</w:t>
      </w:r>
    </w:p>
    <w:p w:rsidR="00B27BE5" w:rsidRPr="00883125" w:rsidRDefault="00B27BE5" w:rsidP="00164D25">
      <w:pPr>
        <w:pStyle w:val="AERbulletlistfirststyle"/>
        <w:keepNext/>
      </w:pPr>
      <w:r w:rsidRPr="00883125">
        <w:t>0.56 and 0.68, if all equity is considered, and</w:t>
      </w:r>
    </w:p>
    <w:p w:rsidR="00B27BE5" w:rsidRPr="00883125" w:rsidRDefault="00B27BE5" w:rsidP="00B27BE5">
      <w:pPr>
        <w:pStyle w:val="AERbulletlistfirststyle"/>
      </w:pPr>
      <w:r w:rsidRPr="00883125">
        <w:t>0.38 and 0.55, if only listed equity is considered.</w:t>
      </w:r>
    </w:p>
    <w:p w:rsidR="00B27BE5" w:rsidRPr="00883125" w:rsidRDefault="00B27BE5" w:rsidP="00B27BE5">
      <w:pPr>
        <w:numPr>
          <w:ilvl w:val="0"/>
          <w:numId w:val="24"/>
        </w:numPr>
      </w:pPr>
      <w:r w:rsidRPr="00883125">
        <w:t>In the Guideline, we considered that the equity ownership approach supported a utilisation rate between 0.7 and 0.8. This range was based on:</w:t>
      </w:r>
    </w:p>
    <w:p w:rsidR="00B27BE5" w:rsidRPr="00883125" w:rsidRDefault="00B27BE5" w:rsidP="00B27BE5">
      <w:pPr>
        <w:pStyle w:val="AERbulletlistfirststyle"/>
      </w:pPr>
      <w:r w:rsidRPr="00883125">
        <w:t>A 2007 feature article by the ABS, in which it was estimated using data from the National Accounts that domestic investors held 71 per cent of Australian equity.</w:t>
      </w:r>
      <w:r w:rsidRPr="00883125">
        <w:rPr>
          <w:rStyle w:val="FootnoteReference"/>
        </w:rPr>
        <w:footnoteReference w:id="512"/>
      </w:r>
    </w:p>
    <w:p w:rsidR="00B27BE5" w:rsidRPr="00883125" w:rsidRDefault="00B27BE5" w:rsidP="00B27BE5">
      <w:pPr>
        <w:pStyle w:val="AERbulletlistfirststyle"/>
      </w:pPr>
      <w:r w:rsidRPr="00883125">
        <w:t>A graph in a September 2013 report by Hathaway, which suggested that the domestic ownership share of Australian equity had fluctuated between 75 and 81 per cent over the period 1988 to 2012.</w:t>
      </w:r>
      <w:r w:rsidRPr="00883125">
        <w:rPr>
          <w:rStyle w:val="FootnoteReference"/>
        </w:rPr>
        <w:footnoteReference w:id="513"/>
      </w:r>
      <w:r w:rsidRPr="00883125">
        <w:t xml:space="preserve"> The data underlying this graph also came from the National Accounts.</w:t>
      </w:r>
    </w:p>
    <w:p w:rsidR="00B27BE5" w:rsidRPr="00883125" w:rsidRDefault="00B27BE5" w:rsidP="00B27BE5">
      <w:r w:rsidRPr="00883125">
        <w:t xml:space="preserve">Since the Guideline's publication, we have examined more closely the relevant data from the National Accounts. This has allowed us to update and refine our estimates. Moreover, we now express estimates for both all equity and only listed equity, consistent with the approach set out in section </w:t>
      </w:r>
      <w:r w:rsidR="00964BD5">
        <w:fldChar w:fldCharType="begin"/>
      </w:r>
      <w:r w:rsidR="00964BD5">
        <w:instrText xml:space="preserve"> REF _Ref451790065 \r \h </w:instrText>
      </w:r>
      <w:r w:rsidR="00964BD5">
        <w:fldChar w:fldCharType="separate"/>
      </w:r>
      <w:r w:rsidR="00881794">
        <w:t>A.9</w:t>
      </w:r>
      <w:r w:rsidR="00964BD5">
        <w:fldChar w:fldCharType="end"/>
      </w:r>
      <w:r w:rsidR="00964BD5">
        <w:t xml:space="preserve"> and </w:t>
      </w:r>
      <w:r w:rsidR="00964BD5">
        <w:fldChar w:fldCharType="begin"/>
      </w:r>
      <w:r w:rsidR="00964BD5">
        <w:instrText xml:space="preserve"> REF _Ref401133206 \r \h </w:instrText>
      </w:r>
      <w:r w:rsidR="00964BD5">
        <w:fldChar w:fldCharType="separate"/>
      </w:r>
      <w:r w:rsidR="00881794">
        <w:t>A.10</w:t>
      </w:r>
      <w:r w:rsidR="00964BD5">
        <w:fldChar w:fldCharType="end"/>
      </w:r>
      <w:r w:rsidRPr="00883125">
        <w:t>.</w:t>
      </w:r>
    </w:p>
    <w:p w:rsidR="00B27BE5" w:rsidRPr="00883125" w:rsidRDefault="00B27BE5" w:rsidP="00B27BE5">
      <w:pPr>
        <w:numPr>
          <w:ilvl w:val="0"/>
          <w:numId w:val="24"/>
        </w:numPr>
      </w:pPr>
      <w:r w:rsidRPr="00883125">
        <w:t>We consider that the equity ownership approach can be refined by filtering the National Accounts data to focus on the types of equity that we consider most relevant to the benchmark entity, and the specific classes of investor that are expected to either utilise or waste the imputation credits they receive. That is, we can:</w:t>
      </w:r>
    </w:p>
    <w:p w:rsidR="00B27BE5" w:rsidRPr="00883125" w:rsidRDefault="00B27BE5" w:rsidP="00B27BE5">
      <w:pPr>
        <w:pStyle w:val="AERbulletlistfirststyle"/>
      </w:pPr>
      <w:r w:rsidRPr="00883125">
        <w:t>Exclude from the calculation equity in entities that are wholly owned by the public sector. In the National Accounts, this is equity issued by the 'central bank', 'central borrowing authorities' and 'public non-financial corporations'.</w:t>
      </w:r>
    </w:p>
    <w:p w:rsidR="00B27BE5" w:rsidRPr="00AC2168" w:rsidRDefault="00B27BE5">
      <w:pPr>
        <w:pStyle w:val="AERbulletlistfirststyle"/>
      </w:pPr>
      <w:r w:rsidRPr="00AC2168">
        <w:t xml:space="preserve">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these classes plus 'rest of world'. In the draft decisions released in 2014, our calculation of the refined domestic ownership share effectively assumed that governments 'wasted' the imputation credits they received. We noted in the draft decisions that there was no clear case for making this assumption. In this final decision, consistent with the approach we took for the decisions we released in October and November 2015, we exclude </w:t>
      </w:r>
      <w:r w:rsidRPr="00AC2168">
        <w:lastRenderedPageBreak/>
        <w:t>government-held equity from the calculation of the refined domestic ownership share. This is because the value of imputation credits forms part of our determination of the rate of return required by private investors in the benchmark efficient entity.</w:t>
      </w:r>
      <w:r w:rsidRPr="00AC2168">
        <w:rPr>
          <w:rStyle w:val="FootnoteReference"/>
        </w:rPr>
        <w:footnoteReference w:id="514"/>
      </w:r>
      <w:r w:rsidRPr="00AC2168">
        <w:t xml:space="preserve"> In doing this we are estimating market-wide utilisation rates (for both listed and all equity) reflective of the capital invested by private investors. We do not consider this is inconsistent with other parameter estimates used for estimating the WACC and consider this will lead to an overall return that should lead to efficient investment in regulated assets.  </w:t>
      </w:r>
    </w:p>
    <w:p w:rsidR="00B27BE5" w:rsidRPr="00883125" w:rsidRDefault="00B27BE5" w:rsidP="00B27BE5">
      <w:pPr>
        <w:numPr>
          <w:ilvl w:val="0"/>
          <w:numId w:val="24"/>
        </w:numPr>
      </w:pPr>
      <w:r w:rsidRPr="00883125">
        <w:t xml:space="preserve">The </w:t>
      </w:r>
      <w:r w:rsidR="00964BD5">
        <w:t>service providers</w:t>
      </w:r>
      <w:r w:rsidRPr="00883125">
        <w:t xml:space="preserve"> have submitted that </w:t>
      </w:r>
      <w:r w:rsidR="00964BD5">
        <w:t>our</w:t>
      </w:r>
      <w:r w:rsidRPr="00883125">
        <w:t xml:space="preserve"> refinement of the data may not be complete as it is limited by the coarseness of the data and that there are a number of concerns with the quality of the data as documented by the ABS.</w:t>
      </w:r>
      <w:r w:rsidRPr="00883125">
        <w:rPr>
          <w:rStyle w:val="FootnoteReference"/>
        </w:rPr>
        <w:footnoteReference w:id="515"/>
      </w:r>
      <w:r w:rsidRPr="00883125">
        <w:t xml:space="preserve"> However, </w:t>
      </w:r>
      <w:r w:rsidR="00964BD5">
        <w:t>we</w:t>
      </w:r>
      <w:r w:rsidRPr="00883125">
        <w:t xml:space="preserve"> do not consider that the data limitations that may exist in all datasets is a valid reason not to refine data. </w:t>
      </w:r>
      <w:r w:rsidR="00964BD5">
        <w:t>We</w:t>
      </w:r>
      <w:r w:rsidRPr="00883125">
        <w:t xml:space="preserve"> consider there are valid reasons to refine the ABS data. It should be noted that </w:t>
      </w:r>
      <w:r w:rsidR="00964BD5">
        <w:t>our</w:t>
      </w:r>
      <w:r w:rsidRPr="00883125">
        <w:t xml:space="preserve"> approach to removing the government sector is conservative. Alternatively, </w:t>
      </w:r>
      <w:r w:rsidR="00964BD5">
        <w:t>we</w:t>
      </w:r>
      <w:r w:rsidRPr="00883125">
        <w:t xml:space="preserve"> could have assumed the government sector has a utilisation value of 1 given this equity is Australian owned.</w:t>
      </w:r>
    </w:p>
    <w:p w:rsidR="00B27BE5" w:rsidRPr="00883125" w:rsidRDefault="00B27BE5" w:rsidP="00B27BE5">
      <w:pPr>
        <w:numPr>
          <w:ilvl w:val="0"/>
          <w:numId w:val="24"/>
        </w:numPr>
      </w:pPr>
      <w:r w:rsidRPr="00883125">
        <w:t xml:space="preserve">Further, in response to Frontier, </w:t>
      </w:r>
      <w:r w:rsidR="004820F9">
        <w:t xml:space="preserve">we </w:t>
      </w:r>
      <w:r w:rsidRPr="00883125">
        <w:t xml:space="preserve">do not consider the refinement of the ABS data is what drives the difference between the equity ownership approach and taxation statistics. </w:t>
      </w:r>
      <w:r w:rsidR="004820F9">
        <w:t>We</w:t>
      </w:r>
      <w:r w:rsidRPr="00883125">
        <w:t xml:space="preserve"> consider the difference is primarily driven by data issues with taxation statics and other issues. This is further discussed in section </w:t>
      </w:r>
      <w:r w:rsidRPr="00883125">
        <w:fldChar w:fldCharType="begin"/>
      </w:r>
      <w:r w:rsidRPr="00883125">
        <w:instrText xml:space="preserve"> REF _Ref450299464 \r \h </w:instrText>
      </w:r>
      <w:r w:rsidRPr="00883125">
        <w:fldChar w:fldCharType="separate"/>
      </w:r>
      <w:r w:rsidR="00881794">
        <w:t>A.14</w:t>
      </w:r>
      <w:r w:rsidRPr="00883125">
        <w:fldChar w:fldCharType="end"/>
      </w:r>
      <w:r w:rsidRPr="00883125">
        <w:t>.</w:t>
      </w:r>
    </w:p>
    <w:p w:rsidR="00B27BE5" w:rsidRPr="00883125" w:rsidRDefault="00B27BE5" w:rsidP="00B27BE5">
      <w:pPr>
        <w:numPr>
          <w:ilvl w:val="0"/>
          <w:numId w:val="24"/>
        </w:numPr>
      </w:pPr>
      <w:r w:rsidRPr="00883125">
        <w:t xml:space="preserve">Our estimate ranges in this </w:t>
      </w:r>
      <w:r w:rsidR="001015D0">
        <w:t>final</w:t>
      </w:r>
      <w:r w:rsidR="001015D0" w:rsidRPr="00883125">
        <w:t xml:space="preserve"> </w:t>
      </w:r>
      <w:r w:rsidRPr="00883125">
        <w:t>decision differ from the corresponding ranges in the draft decisions released in 2014. These changes in part reflect the views of service providers, Gray (for SFG) and Handley. We discuss our consideration of these views below.</w:t>
      </w:r>
    </w:p>
    <w:p w:rsidR="00B27BE5" w:rsidRPr="00883125" w:rsidRDefault="00B27BE5" w:rsidP="00B27BE5">
      <w:r w:rsidRPr="00883125">
        <w:t>A number of service providers have submitted that we erred in our earlier decisions because:</w:t>
      </w:r>
      <w:r w:rsidRPr="00883125">
        <w:rPr>
          <w:rStyle w:val="FootnoteReference"/>
        </w:rPr>
        <w:footnoteReference w:id="516"/>
      </w:r>
    </w:p>
    <w:p w:rsidR="00B27BE5" w:rsidRPr="00883125" w:rsidRDefault="00B27BE5" w:rsidP="00B27BE5">
      <w:pPr>
        <w:pStyle w:val="AERquote"/>
      </w:pPr>
      <w:r w:rsidRPr="00883125">
        <w:t>…the ranges used by the AER for the equity ownership rate are inconsistent with the evidence in the Draft Decision.</w:t>
      </w:r>
    </w:p>
    <w:p w:rsidR="00B27BE5" w:rsidRPr="00883125" w:rsidRDefault="00B27BE5" w:rsidP="00B27BE5">
      <w:r w:rsidRPr="00883125">
        <w:t xml:space="preserve">The service providers then referred to the data presented in the draft decisions released in 2014 on the refined domestic ownership share (figures 4.4 and 4.5 of the draft decisions). </w:t>
      </w:r>
      <w:r w:rsidRPr="00883125">
        <w:lastRenderedPageBreak/>
        <w:t>However, as indicated in the draft decisions, our estimates were based on evidence across both the refined domestic ownership share (figures 4.4 and 4.5 of the draft decisions) and simple domestic ownership share (figures 4.2 and 4.3 of the draft decisions).</w:t>
      </w:r>
    </w:p>
    <w:p w:rsidR="00B27BE5" w:rsidRPr="00883125" w:rsidRDefault="00B27BE5" w:rsidP="00B27BE5">
      <w:r w:rsidRPr="00883125">
        <w:t>In his recent advice, Handley advised that, although it is reasonable to rely on both the simple and refined domestic ownership share, 'the refined share should (subject to the limitations in the data) be more relevant by construction'.</w:t>
      </w:r>
      <w:r w:rsidRPr="00883125">
        <w:rPr>
          <w:rStyle w:val="FootnoteReference"/>
        </w:rPr>
        <w:footnoteReference w:id="517"/>
      </w:r>
      <w:r w:rsidRPr="00883125">
        <w:t xml:space="preserve"> Accordingly, as we did in the decisions released in April, June, October and November 2015, in this final decision we rely only on the refined domestic ownership share.</w:t>
      </w:r>
    </w:p>
    <w:p w:rsidR="00B27BE5" w:rsidRPr="00883125" w:rsidRDefault="00B27BE5" w:rsidP="00B27BE5">
      <w:r w:rsidRPr="00883125">
        <w:t>Service providers have also submitted that only the most recent point estimates of the equity ownership share are relevant.</w:t>
      </w:r>
      <w:r w:rsidRPr="00883125">
        <w:rPr>
          <w:rStyle w:val="FootnoteReference"/>
        </w:rPr>
        <w:footnoteReference w:id="518"/>
      </w:r>
      <w:r w:rsidRPr="00883125">
        <w:t xml:space="preserve"> We disagree. Given that the series exhibits considerable volatility, we think it is reasonable to not rely solely on the most recent point estimate. Handley supported this view:</w:t>
      </w:r>
      <w:r w:rsidRPr="00883125">
        <w:rPr>
          <w:rStyle w:val="FootnoteReference"/>
        </w:rPr>
        <w:footnoteReference w:id="519"/>
      </w:r>
    </w:p>
    <w:p w:rsidR="00B27BE5" w:rsidRPr="00883125" w:rsidRDefault="00B27BE5" w:rsidP="00B27BE5">
      <w:pPr>
        <w:pStyle w:val="AERquote"/>
      </w:pPr>
      <w:r w:rsidRPr="00883125">
        <w:t>Referring to the refined data, it is apparent that there is substantial volatility in the reported ABS estimates over time. There are also residual issues with the ABS data. This suggests that more than just the most recent estimates should be taken into consideration, although the length of period to be considered is open to judgment.</w:t>
      </w:r>
    </w:p>
    <w:p w:rsidR="00EA25C2" w:rsidRDefault="00EA25C2" w:rsidP="00B27BE5">
      <w:r>
        <w:t xml:space="preserve">In determining whether to use the current </w:t>
      </w:r>
      <w:r w:rsidR="004B1848">
        <w:t xml:space="preserve">value of </w:t>
      </w:r>
      <w:r>
        <w:t>equity ownership or a historical average, Lally considers that it depends on whether the series is following a random walk or mean reversion.</w:t>
      </w:r>
      <w:r>
        <w:rPr>
          <w:rStyle w:val="FootnoteReference"/>
        </w:rPr>
        <w:footnoteReference w:id="520"/>
      </w:r>
      <w:r w:rsidR="004D52DD">
        <w:t xml:space="preserve"> Lally does not concluded whether the series is mean reverting or not and states the current observation are not unusually high or low. He suggests that even if the series are mean reverting, a reasonable point estimate for the next five years would still be approximately the latest values.</w:t>
      </w:r>
      <w:r w:rsidR="004D52DD">
        <w:rPr>
          <w:rStyle w:val="FootnoteReference"/>
        </w:rPr>
        <w:footnoteReference w:id="521"/>
      </w:r>
      <w:r w:rsidR="004D52DD">
        <w:t xml:space="preserve"> </w:t>
      </w:r>
      <w:r w:rsidR="004B1848">
        <w:t>We</w:t>
      </w:r>
      <w:r w:rsidR="004D52DD">
        <w:t xml:space="preserve"> note that Lally uses the current equity ownership rate of all equity to estimate an utilisation value of at least 0.6. In contrast </w:t>
      </w:r>
      <w:r w:rsidR="004B1848">
        <w:t>we</w:t>
      </w:r>
      <w:r w:rsidR="004D52DD">
        <w:t xml:space="preserve"> assess the utilisation value for all equity </w:t>
      </w:r>
      <w:r w:rsidR="004B1848">
        <w:t>using</w:t>
      </w:r>
      <w:r w:rsidR="004D52DD">
        <w:t xml:space="preserve"> the lowest point of the range over the last 15 years. As a result, for the equity ownership approach for all equity </w:t>
      </w:r>
      <w:r w:rsidR="004B1848">
        <w:t>our</w:t>
      </w:r>
      <w:r w:rsidR="004D52DD">
        <w:t xml:space="preserve"> approach </w:t>
      </w:r>
      <w:r w:rsidR="00B569AB">
        <w:t xml:space="preserve">of using a value towards the bottom </w:t>
      </w:r>
      <w:r w:rsidR="000029E4">
        <w:t xml:space="preserve">end </w:t>
      </w:r>
      <w:r w:rsidR="00B569AB">
        <w:t xml:space="preserve">of the range </w:t>
      </w:r>
      <w:r w:rsidR="004D52DD">
        <w:t xml:space="preserve">is conservative relative to Lally's </w:t>
      </w:r>
      <w:r w:rsidR="00B569AB">
        <w:t xml:space="preserve">use of </w:t>
      </w:r>
      <w:r w:rsidR="000029E4">
        <w:t xml:space="preserve">a value of around </w:t>
      </w:r>
      <w:r w:rsidR="00B569AB">
        <w:t>the current estimate</w:t>
      </w:r>
      <w:r w:rsidR="004D52DD">
        <w:t>.</w:t>
      </w:r>
    </w:p>
    <w:p w:rsidR="00B27BE5" w:rsidRPr="00883125" w:rsidRDefault="00B27BE5" w:rsidP="00B27BE5">
      <w:r w:rsidRPr="00883125">
        <w:lastRenderedPageBreak/>
        <w:t>On Handley's point regarding the length of period to considered, we agree with Gray's view (for SFG) that:</w:t>
      </w:r>
      <w:r w:rsidRPr="00883125">
        <w:rPr>
          <w:rStyle w:val="FootnoteReference"/>
        </w:rPr>
        <w:footnoteReference w:id="522"/>
      </w:r>
    </w:p>
    <w:p w:rsidR="00B27BE5" w:rsidRPr="00883125" w:rsidRDefault="00B27BE5" w:rsidP="00B27BE5">
      <w:pPr>
        <w:pStyle w:val="AERquote"/>
      </w:pPr>
      <w:r w:rsidRPr="00883125">
        <w:t>It is not clear why estimates of what the domestic equity ownership proportion was in the 1980s are relevant to the current determination for the forthcoming regulatory period.</w:t>
      </w:r>
    </w:p>
    <w:p w:rsidR="00B27BE5" w:rsidRPr="00883125" w:rsidRDefault="00B27BE5" w:rsidP="00B27BE5">
      <w:r w:rsidRPr="00883125">
        <w:t>We consider that the most relevant period to consider is that since July 2000, when eligible investors became entitled for a refund of excess credits. This accords with one of the periods Handley considered relevant.</w:t>
      </w:r>
      <w:r w:rsidRPr="00883125">
        <w:rPr>
          <w:rStyle w:val="FootnoteReference"/>
        </w:rPr>
        <w:footnoteReference w:id="523"/>
      </w:r>
      <w:r w:rsidRPr="00883125">
        <w:t xml:space="preserve"> It is also consistent with the service providers' proposed estimation of the value of distributed credits via SFG's dividend drop off study. This study employs data from July 2001 to October 2012.</w:t>
      </w:r>
    </w:p>
    <w:p w:rsidR="00B27BE5" w:rsidRPr="00883125" w:rsidRDefault="00B27BE5" w:rsidP="00B27BE5">
      <w:r w:rsidRPr="00883125">
        <w:t>The service providers submit that the July 2000 start date is arbitrary and that more recent events such as the GFC could provide a more appropriate start date.</w:t>
      </w:r>
      <w:r w:rsidRPr="00883125">
        <w:rPr>
          <w:rStyle w:val="FootnoteReference"/>
        </w:rPr>
        <w:footnoteReference w:id="524"/>
      </w:r>
      <w:r w:rsidRPr="00883125">
        <w:t xml:space="preserve"> However, the AER considers that the service provider have not provided any evidence why the GFC would result in a structural change in the value of imputation credits. The AER considers that the 2000 tax law change is a structural change and would be expected to increase the value of imputation credits to investors. The same cannot be said about the GFC where the impact on imputation credits is unclear.</w:t>
      </w:r>
    </w:p>
    <w:p w:rsidR="00B27BE5" w:rsidRPr="00883125" w:rsidRDefault="00B27BE5" w:rsidP="00B27BE5">
      <w:pPr>
        <w:rPr>
          <w:rStyle w:val="AERbody"/>
        </w:rPr>
      </w:pPr>
      <w:r w:rsidRPr="00883125">
        <w:rPr>
          <w:rStyle w:val="AERbody"/>
        </w:rPr>
        <w:t>Gray (for Frontier) submitted that we are incorrect to exclude from the equity ownership calculation entities that are wholly owned by the public sector and to the extent we exclude them theta will be upward biased.</w:t>
      </w:r>
      <w:r w:rsidRPr="00883125">
        <w:rPr>
          <w:rStyle w:val="FootnoteReference"/>
        </w:rPr>
        <w:footnoteReference w:id="525"/>
      </w:r>
      <w:r w:rsidRPr="00883125">
        <w:rPr>
          <w:rStyle w:val="AERbody"/>
        </w:rPr>
        <w:t xml:space="preserve"> We disagree for the reasons stated above as set out in our April and June 2015 decisions. We consider that the Vanilla WACC framework as embedded in the rules is aimed at ensuring private investors are fairly compensated. This should ensure efficient investment and use of regulated network infrastructure. We consider an estimate of gamma reduced due to government entities being assumed to not redeem credits is not appropriate. </w:t>
      </w:r>
    </w:p>
    <w:p w:rsidR="000921FF" w:rsidRDefault="00B27BE5" w:rsidP="00B27BE5">
      <w:r w:rsidRPr="00883125">
        <w:rPr>
          <w:rStyle w:val="AERbody"/>
        </w:rPr>
        <w:t xml:space="preserve">United Energy has submitted that the Tribunal found that the </w:t>
      </w:r>
      <w:r w:rsidRPr="00883125">
        <w:t xml:space="preserve">equity ownership approach overstates the redemption rates and would only be useful as a further check on other </w:t>
      </w:r>
      <w:r w:rsidRPr="00883125">
        <w:lastRenderedPageBreak/>
        <w:t>estimates.</w:t>
      </w:r>
      <w:r w:rsidRPr="00883125">
        <w:rPr>
          <w:rStyle w:val="FootnoteReference"/>
        </w:rPr>
        <w:footnoteReference w:id="526"/>
      </w:r>
      <w:r w:rsidRPr="00883125">
        <w:t xml:space="preserve"> In this decision the Tribunal also indicated that since the equity ownership approach utilisation value is higher than the tax statistics this implies that there are investors who the AER assumes are eligible to redeem imputation credits but, for whatever reasons, either cannot redeem them or attribute so little value to the credits that they do not utilise them.</w:t>
      </w:r>
      <w:r w:rsidRPr="00883125">
        <w:rPr>
          <w:rStyle w:val="FootnoteReference"/>
        </w:rPr>
        <w:footnoteReference w:id="527"/>
      </w:r>
      <w:r w:rsidRPr="00883125">
        <w:t xml:space="preserve"> </w:t>
      </w:r>
      <w:r w:rsidR="004B1848">
        <w:t>We have</w:t>
      </w:r>
      <w:r w:rsidR="000921FF" w:rsidRPr="00883125">
        <w:t xml:space="preserve"> carefully considered the Tribunal reasoning and remain of the view that the equity ownership approach can be used as a point estimate for the utilisation value.</w:t>
      </w:r>
      <w:r w:rsidR="00EA25C2">
        <w:t xml:space="preserve"> Lally supports this view by noting the equity ownership approach is not an upper bound on the utilisation value but an unbiased estimate.</w:t>
      </w:r>
      <w:r w:rsidR="00EA25C2" w:rsidRPr="00EA25C2">
        <w:rPr>
          <w:rStyle w:val="FootnoteReference"/>
        </w:rPr>
        <w:t xml:space="preserve"> </w:t>
      </w:r>
      <w:r w:rsidR="00EA25C2">
        <w:rPr>
          <w:rStyle w:val="FootnoteReference"/>
        </w:rPr>
        <w:footnoteReference w:id="528"/>
      </w:r>
    </w:p>
    <w:p w:rsidR="00B27BE5" w:rsidRPr="00883125" w:rsidRDefault="00B27BE5" w:rsidP="00B27BE5">
      <w:pPr>
        <w:rPr>
          <w:rStyle w:val="AERbody"/>
        </w:rPr>
      </w:pPr>
      <w:r w:rsidRPr="00883125">
        <w:t>United Energy also submitted that the Tribunal found that the AER is effectively redefining the utilisation value as the proportion of distributed imputation credits available for redemption, and this is inconsistent with the concept of gamma in the Office Framework for the WACC.</w:t>
      </w:r>
      <w:r w:rsidRPr="00883125">
        <w:rPr>
          <w:rStyle w:val="FootnoteReference"/>
        </w:rPr>
        <w:footnoteReference w:id="529"/>
      </w:r>
      <w:r w:rsidRPr="00883125">
        <w:t xml:space="preserve"> </w:t>
      </w:r>
      <w:r w:rsidR="004820F9">
        <w:t>As set out in section</w:t>
      </w:r>
      <w:r w:rsidR="00270C63">
        <w:t>s</w:t>
      </w:r>
      <w:r w:rsidR="004820F9">
        <w:t xml:space="preserve"> </w:t>
      </w:r>
      <w:r w:rsidR="00270C63">
        <w:fldChar w:fldCharType="begin"/>
      </w:r>
      <w:r w:rsidR="00270C63">
        <w:instrText xml:space="preserve"> REF _Ref415144114 \r \h </w:instrText>
      </w:r>
      <w:r w:rsidR="00270C63">
        <w:fldChar w:fldCharType="separate"/>
      </w:r>
      <w:r w:rsidR="00881794">
        <w:t>A.5</w:t>
      </w:r>
      <w:r w:rsidR="00270C63">
        <w:fldChar w:fldCharType="end"/>
      </w:r>
      <w:r w:rsidR="00270C63">
        <w:t xml:space="preserve">, </w:t>
      </w:r>
      <w:r w:rsidR="004820F9">
        <w:fldChar w:fldCharType="begin"/>
      </w:r>
      <w:r w:rsidR="004820F9">
        <w:instrText xml:space="preserve"> REF _Ref451826492 \r \h </w:instrText>
      </w:r>
      <w:r w:rsidR="004820F9">
        <w:fldChar w:fldCharType="separate"/>
      </w:r>
      <w:r w:rsidR="00881794">
        <w:t>A.6</w:t>
      </w:r>
      <w:r w:rsidR="004820F9">
        <w:fldChar w:fldCharType="end"/>
      </w:r>
      <w:r w:rsidR="00270C63">
        <w:t xml:space="preserve"> and </w:t>
      </w:r>
      <w:r w:rsidR="00270C63">
        <w:fldChar w:fldCharType="begin"/>
      </w:r>
      <w:r w:rsidR="00270C63">
        <w:instrText xml:space="preserve"> REF _Ref451849752 \r \h </w:instrText>
      </w:r>
      <w:r w:rsidR="00270C63">
        <w:fldChar w:fldCharType="separate"/>
      </w:r>
      <w:r w:rsidR="00881794">
        <w:t>A.7</w:t>
      </w:r>
      <w:r w:rsidR="00270C63">
        <w:fldChar w:fldCharType="end"/>
      </w:r>
      <w:r w:rsidR="004820F9">
        <w:t>, we</w:t>
      </w:r>
      <w:r w:rsidRPr="00883125">
        <w:t xml:space="preserve"> consider </w:t>
      </w:r>
      <w:r w:rsidR="004820F9">
        <w:t>our</w:t>
      </w:r>
      <w:r w:rsidRPr="00883125">
        <w:t xml:space="preserve"> approach is consistent with the post-tax Officer Framework for the WACC. </w:t>
      </w:r>
      <w:r w:rsidR="004820F9">
        <w:t>We</w:t>
      </w:r>
      <w:r w:rsidRPr="00883125">
        <w:t xml:space="preserve"> consider the face value of imputation credits is the post</w:t>
      </w:r>
      <w:r>
        <w:t>-</w:t>
      </w:r>
      <w:r w:rsidRPr="00883125">
        <w:t>tax (pre-personal tax) value of imputation credits and reflects the cost of imputation credits to the regulated businesses</w:t>
      </w:r>
      <w:r>
        <w:t xml:space="preserve">. The face value of distributed imputation credits also reflects </w:t>
      </w:r>
      <w:r w:rsidRPr="00883125">
        <w:t>the post</w:t>
      </w:r>
      <w:r>
        <w:t>-</w:t>
      </w:r>
      <w:r w:rsidRPr="00883125">
        <w:t xml:space="preserve">tax value of </w:t>
      </w:r>
      <w:r>
        <w:t xml:space="preserve">distributed </w:t>
      </w:r>
      <w:r w:rsidRPr="00883125">
        <w:t xml:space="preserve">imputation credits to equity investors. </w:t>
      </w:r>
    </w:p>
    <w:p w:rsidR="00B27BE5" w:rsidRPr="00883125" w:rsidRDefault="00B27BE5" w:rsidP="00B27BE5">
      <w:r w:rsidRPr="00883125">
        <w:rPr>
          <w:rStyle w:val="AERbody"/>
        </w:rPr>
        <w:t>With</w:t>
      </w:r>
      <w:r w:rsidRPr="00883125">
        <w:t xml:space="preserve"> regard to these considerations, the relevant data is shown in </w:t>
      </w:r>
      <w:r w:rsidRPr="00883125">
        <w:fldChar w:fldCharType="begin"/>
      </w:r>
      <w:r w:rsidRPr="00883125">
        <w:instrText xml:space="preserve"> REF  _Ref414273399 \* Lower \h </w:instrText>
      </w:r>
      <w:r w:rsidRPr="00883125">
        <w:fldChar w:fldCharType="separate"/>
      </w:r>
      <w:r w:rsidR="00881794" w:rsidRPr="00883125">
        <w:t xml:space="preserve">figure </w:t>
      </w:r>
      <w:r w:rsidR="00881794">
        <w:rPr>
          <w:noProof/>
        </w:rPr>
        <w:t>4</w:t>
      </w:r>
      <w:r w:rsidR="00881794" w:rsidRPr="00883125">
        <w:t>.</w:t>
      </w:r>
      <w:r w:rsidR="00881794">
        <w:rPr>
          <w:noProof/>
        </w:rPr>
        <w:t>3</w:t>
      </w:r>
      <w:r w:rsidRPr="00883125">
        <w:fldChar w:fldCharType="end"/>
      </w:r>
      <w:r w:rsidRPr="00883125">
        <w:t>.</w:t>
      </w:r>
    </w:p>
    <w:p w:rsidR="00B27BE5" w:rsidRPr="00883125" w:rsidRDefault="00B27BE5" w:rsidP="00B27BE5">
      <w:pPr>
        <w:pStyle w:val="Caption"/>
      </w:pPr>
      <w:bookmarkStart w:id="163" w:name="_Ref414273399"/>
      <w:r w:rsidRPr="00883125">
        <w:lastRenderedPageBreak/>
        <w:t xml:space="preserve">Figure </w:t>
      </w:r>
      <w:r w:rsidRPr="00B27BE5">
        <w:fldChar w:fldCharType="begin"/>
      </w:r>
      <w:r>
        <w:instrText xml:space="preserve"> STYLEREF 1 \s </w:instrText>
      </w:r>
      <w:r w:rsidRPr="00B27BE5">
        <w:fldChar w:fldCharType="separate"/>
      </w:r>
      <w:r w:rsidR="00881794">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881794">
        <w:rPr>
          <w:noProof/>
        </w:rPr>
        <w:t>3</w:t>
      </w:r>
      <w:r w:rsidRPr="00B27BE5">
        <w:fldChar w:fldCharType="end"/>
      </w:r>
      <w:bookmarkEnd w:id="163"/>
      <w:r w:rsidRPr="00883125">
        <w:tab/>
        <w:t>Refined domestic ownership share of Australian equity</w:t>
      </w:r>
    </w:p>
    <w:p w:rsidR="00B27BE5" w:rsidRPr="00883125" w:rsidRDefault="00B27BE5" w:rsidP="00B27BE5">
      <w:r w:rsidRPr="00B27BE5">
        <w:rPr>
          <w:noProof/>
          <w:lang w:eastAsia="en-AU"/>
        </w:rPr>
        <w:drawing>
          <wp:inline distT="0" distB="0" distL="0" distR="0" wp14:anchorId="2F961E0B" wp14:editId="2D0B6024">
            <wp:extent cx="5382895" cy="3505200"/>
            <wp:effectExtent l="0" t="0" r="825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27BE5" w:rsidRPr="00883125" w:rsidRDefault="00B27BE5" w:rsidP="00B27BE5">
      <w:pPr>
        <w:pStyle w:val="AERtablesource"/>
      </w:pPr>
      <w:r w:rsidRPr="00883125">
        <w:t xml:space="preserve">Source: </w:t>
      </w:r>
      <w:r w:rsidRPr="00883125">
        <w:tab/>
        <w:t>Australian National Accounts: Finance and Wealth (ABS cat. 5232.0), tables 47 and 48.</w:t>
      </w:r>
    </w:p>
    <w:p w:rsidR="00B27BE5" w:rsidRPr="00883125" w:rsidRDefault="00B27BE5" w:rsidP="00B27BE5">
      <w:r w:rsidRPr="00883125">
        <w:fldChar w:fldCharType="begin"/>
      </w:r>
      <w:r w:rsidRPr="00883125">
        <w:instrText xml:space="preserve"> REF _Ref414273399 \h </w:instrText>
      </w:r>
      <w:r w:rsidRPr="00883125">
        <w:fldChar w:fldCharType="separate"/>
      </w:r>
      <w:r w:rsidR="00881794" w:rsidRPr="00883125">
        <w:t xml:space="preserve">Figure </w:t>
      </w:r>
      <w:r w:rsidR="00881794">
        <w:rPr>
          <w:noProof/>
        </w:rPr>
        <w:t>4</w:t>
      </w:r>
      <w:r w:rsidR="00881794" w:rsidRPr="00883125">
        <w:t>.</w:t>
      </w:r>
      <w:r w:rsidR="00881794">
        <w:rPr>
          <w:noProof/>
        </w:rPr>
        <w:t>3</w:t>
      </w:r>
      <w:r w:rsidRPr="00883125">
        <w:fldChar w:fldCharType="end"/>
      </w:r>
      <w:r w:rsidRPr="00883125">
        <w:t xml:space="preserve"> indicates that the refined domestic ownership share of total equity has ranged from 0.56 to 0.68 over the relevant period, while the refined domestic ownership share of only listed equity has ranged from 0.38 to 0.55.</w:t>
      </w:r>
    </w:p>
    <w:p w:rsidR="00B27BE5" w:rsidRPr="00883125" w:rsidRDefault="00B27BE5" w:rsidP="00B27BE5">
      <w:pPr>
        <w:pStyle w:val="Heading8"/>
      </w:pPr>
      <w:bookmarkStart w:id="164" w:name="_Ref402179420"/>
      <w:bookmarkStart w:id="165" w:name="_Toc436049454"/>
      <w:bookmarkStart w:id="166" w:name="_Toc451928287"/>
      <w:r w:rsidRPr="00883125">
        <w:t>Tax statistics</w:t>
      </w:r>
      <w:bookmarkEnd w:id="164"/>
      <w:bookmarkEnd w:id="165"/>
      <w:bookmarkEnd w:id="166"/>
    </w:p>
    <w:p w:rsidR="00B27BE5" w:rsidRPr="00883125" w:rsidRDefault="00B27BE5" w:rsidP="00B27BE5">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530"/>
      </w:r>
      <w:r w:rsidRPr="00883125">
        <w:t xml:space="preserve">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that the reported value of credits utilised divided by the reported value of credits distributed is a reasonable estimate of the utilisation rate.</w:t>
      </w:r>
    </w:p>
    <w:p w:rsidR="00B27BE5" w:rsidRPr="00883125" w:rsidRDefault="00B27BE5" w:rsidP="00B27BE5">
      <w:pPr>
        <w:numPr>
          <w:ilvl w:val="0"/>
          <w:numId w:val="24"/>
        </w:numPr>
      </w:pPr>
      <w:r w:rsidRPr="00883125">
        <w:lastRenderedPageBreak/>
        <w:t xml:space="preserve">Our position on the use of tax statistics to estimate the utilisation rate is set out in section </w:t>
      </w:r>
      <w:r w:rsidR="00EE2A38">
        <w:fldChar w:fldCharType="begin"/>
      </w:r>
      <w:r w:rsidR="00EE2A38">
        <w:instrText xml:space="preserve"> REF _Ref451347585 \r \h </w:instrText>
      </w:r>
      <w:r w:rsidR="00EE2A38">
        <w:fldChar w:fldCharType="separate"/>
      </w:r>
      <w:r w:rsidR="00881794">
        <w:t>4.4</w:t>
      </w:r>
      <w:r w:rsidR="00EE2A38">
        <w:fldChar w:fldCharType="end"/>
      </w:r>
      <w:r w:rsidRPr="00883125">
        <w:t xml:space="preserve"> of attachment 4. In this section, we explain how our position has changed compared to that in the Guideline.</w:t>
      </w:r>
    </w:p>
    <w:p w:rsidR="00B27BE5" w:rsidRPr="00883125" w:rsidRDefault="00B27BE5" w:rsidP="00B27BE5">
      <w:pPr>
        <w:numPr>
          <w:ilvl w:val="0"/>
          <w:numId w:val="24"/>
        </w:numPr>
      </w:pPr>
      <w:r w:rsidRPr="00883125">
        <w:t>In the Guideline, we considered that tax statistics supported a utilisation rate between 0.4 and 0.8. This was based on:</w:t>
      </w:r>
    </w:p>
    <w:p w:rsidR="00B27BE5" w:rsidRPr="00883125" w:rsidRDefault="00B27BE5" w:rsidP="00B27BE5">
      <w:pPr>
        <w:pStyle w:val="AERbulletlistfirststyle"/>
      </w:pPr>
      <w:r w:rsidRPr="00883125">
        <w:t>A 2013 report by Hathaway, which sought to estimate the proportion of distributed credits that have been utilised. This report produced two estimates for the period 2004 to 2011: 0.43 and 0.61.</w:t>
      </w:r>
      <w:r w:rsidR="005F06A5" w:rsidRPr="00883125" w:rsidDel="005F06A5">
        <w:t xml:space="preserve"> </w:t>
      </w:r>
      <w:r w:rsidRPr="00883125">
        <w:t xml:space="preserve"> The two estimates reflect two alternative measures of the value of credits distributed, which in turn imply two alternative estimates of the distribution rate (as discussed in section </w:t>
      </w:r>
      <w:r w:rsidRPr="00883125">
        <w:fldChar w:fldCharType="begin"/>
      </w:r>
      <w:r w:rsidRPr="00883125">
        <w:instrText xml:space="preserve"> REF _Ref401133206 \r \h </w:instrText>
      </w:r>
      <w:r w:rsidRPr="00883125">
        <w:fldChar w:fldCharType="separate"/>
      </w:r>
      <w:r w:rsidR="00881794">
        <w:t>A.10</w:t>
      </w:r>
      <w:r w:rsidRPr="00883125">
        <w:fldChar w:fldCharType="end"/>
      </w:r>
      <w:r w:rsidRPr="00883125">
        <w:t>). The 0.43 and 0.61 estimates of the utilisation rate correspond to estimates of the distribution rate of around 0.7 and 0.5 respectively.</w:t>
      </w:r>
      <w:r w:rsidRPr="00883125">
        <w:rPr>
          <w:rStyle w:val="FootnoteReference"/>
        </w:rPr>
        <w:footnoteReference w:id="531"/>
      </w:r>
      <w:r w:rsidRPr="00883125">
        <w:t xml:space="preserve"> </w:t>
      </w:r>
    </w:p>
    <w:p w:rsidR="00B27BE5" w:rsidRPr="00883125" w:rsidRDefault="00B27BE5" w:rsidP="00B27BE5">
      <w:pPr>
        <w:pStyle w:val="AERbulletlistfirststyle"/>
      </w:pPr>
      <w:r w:rsidRPr="00883125">
        <w:t>A 2004 paper by Handley and Maheswaran, which sought to estimate the proportion of distributed credits that were used to reduce investors' tax liabilities. This paper produced an estimate for the period 2001 to 2004 of 0.81.</w:t>
      </w:r>
    </w:p>
    <w:p w:rsidR="00B27BE5" w:rsidRPr="00883125" w:rsidRDefault="00B27BE5" w:rsidP="00B27BE5">
      <w:pPr>
        <w:numPr>
          <w:ilvl w:val="0"/>
          <w:numId w:val="24"/>
        </w:numPr>
      </w:pPr>
      <w:r w:rsidRPr="00883125">
        <w:t xml:space="preserve">Since the Guideline we have continued to examine this evidence. We now consider that </w:t>
      </w:r>
      <w:r w:rsidR="00C43CF0">
        <w:t>greater reliance should be placed up</w:t>
      </w:r>
      <w:r w:rsidRPr="00883125">
        <w:t>on estimates that are:</w:t>
      </w:r>
    </w:p>
    <w:p w:rsidR="00B27BE5" w:rsidRPr="00883125" w:rsidRDefault="00B27BE5" w:rsidP="00B27BE5">
      <w:pPr>
        <w:pStyle w:val="AERbulletlistfirststyle"/>
      </w:pPr>
      <w:r w:rsidRPr="00883125">
        <w:t>derived from post-2004 data, consistent with Hathaway's findings that the ATO statistics are subject to a number of issues prior to 2004,</w:t>
      </w:r>
      <w:r w:rsidRPr="00883125">
        <w:rPr>
          <w:rStyle w:val="FootnoteReference"/>
        </w:rPr>
        <w:footnoteReference w:id="532"/>
      </w:r>
      <w:r w:rsidRPr="00883125">
        <w:t xml:space="preserve"> and</w:t>
      </w:r>
    </w:p>
    <w:p w:rsidR="00C43CF0" w:rsidRPr="00C43CF0" w:rsidRDefault="00B27BE5" w:rsidP="00C43CF0">
      <w:pPr>
        <w:pStyle w:val="AERbulletlistfirststyle"/>
      </w:pPr>
      <w:r w:rsidRPr="00883125">
        <w:t>consistent with our preferred estimates of the distribution rate</w:t>
      </w:r>
      <w:r w:rsidR="00C43CF0">
        <w:t xml:space="preserve"> estimated </w:t>
      </w:r>
      <w:r w:rsidR="00C43CF0" w:rsidRPr="00C43CF0">
        <w:t xml:space="preserve">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  </w:t>
      </w:r>
    </w:p>
    <w:p w:rsidR="00B27BE5" w:rsidRPr="00883125" w:rsidRDefault="00B27BE5" w:rsidP="00B27BE5">
      <w:pPr>
        <w:numPr>
          <w:ilvl w:val="0"/>
          <w:numId w:val="24"/>
        </w:numPr>
      </w:pPr>
      <w:r w:rsidRPr="00883125">
        <w:t>Applying these considerations, in our prior decisions</w:t>
      </w:r>
      <w:r w:rsidR="00F36BB5">
        <w:t>,</w:t>
      </w:r>
      <w:r w:rsidRPr="00883125">
        <w:t xml:space="preserve"> we did not rely on:</w:t>
      </w:r>
    </w:p>
    <w:p w:rsidR="00B27BE5" w:rsidRPr="00883125" w:rsidRDefault="00B27BE5" w:rsidP="00B27BE5">
      <w:pPr>
        <w:pStyle w:val="AERbulletlistfirststyle"/>
      </w:pPr>
      <w:r w:rsidRPr="00883125">
        <w:t>Handley and Maheswaran's estimate of 0.81, because this is (predominantly) derived from pre-2004 data.</w:t>
      </w:r>
    </w:p>
    <w:p w:rsidR="00B27BE5" w:rsidRPr="00883125" w:rsidRDefault="00B27BE5" w:rsidP="00B27BE5">
      <w:pPr>
        <w:pStyle w:val="AERbulletlistfirststyle"/>
      </w:pPr>
      <w:r w:rsidRPr="00883125">
        <w:t>Hathaway's estimate of 0.61, because this corresponds to an estimate of the distribution rate of around 0.5 whereas we adopt an estimate of the distribution rate over all equity of 0.7.</w:t>
      </w:r>
      <w:r w:rsidR="005F06A5">
        <w:t xml:space="preserve"> </w:t>
      </w:r>
      <w:r w:rsidR="00F36BB5">
        <w:t>We note t</w:t>
      </w:r>
      <w:r w:rsidR="00506F9B">
        <w:t>his does not apply to L</w:t>
      </w:r>
      <w:r w:rsidR="00713C22">
        <w:t xml:space="preserve">ally's </w:t>
      </w:r>
      <w:r w:rsidR="00F36BB5">
        <w:t xml:space="preserve">latest </w:t>
      </w:r>
      <w:r w:rsidR="00713C22">
        <w:t>analysis</w:t>
      </w:r>
      <w:r w:rsidR="00F36BB5">
        <w:t>,</w:t>
      </w:r>
      <w:r w:rsidR="00713C22">
        <w:t xml:space="preserve"> as he determines</w:t>
      </w:r>
      <w:r w:rsidR="00506F9B">
        <w:t xml:space="preserve"> the distribution rate from annual reports and not tax statistics. </w:t>
      </w:r>
      <w:r w:rsidR="005F06A5">
        <w:t xml:space="preserve">Lally considers that the </w:t>
      </w:r>
      <w:r w:rsidR="005F06A5">
        <w:lastRenderedPageBreak/>
        <w:t>difference between the two Hathaway's</w:t>
      </w:r>
      <w:r w:rsidR="00506F9B">
        <w:t xml:space="preserve"> utilisation rate estimates demonstrates the unreliability of tax statistics data.</w:t>
      </w:r>
      <w:r w:rsidR="00506F9B">
        <w:rPr>
          <w:rStyle w:val="FootnoteReference"/>
        </w:rPr>
        <w:footnoteReference w:id="533"/>
      </w:r>
      <w:r w:rsidR="00DD53DA">
        <w:t xml:space="preserve"> </w:t>
      </w:r>
    </w:p>
    <w:p w:rsidR="00CC0743" w:rsidRDefault="00B27BE5" w:rsidP="00B27BE5">
      <w:r w:rsidRPr="00883125">
        <w:t xml:space="preserve">NERA updated analysis of the ATO data to the 2012 tax year </w:t>
      </w:r>
      <w:r>
        <w:t>and</w:t>
      </w:r>
      <w:r w:rsidRPr="00883125">
        <w:t xml:space="preserve"> f</w:t>
      </w:r>
      <w:r>
        <w:t>ound</w:t>
      </w:r>
      <w:r w:rsidRPr="00883125">
        <w:t xml:space="preserve"> a</w:t>
      </w:r>
      <w:r>
        <w:t>n estimated</w:t>
      </w:r>
      <w:r w:rsidRPr="00883125">
        <w:t xml:space="preserve"> utilisation rate of 0.45.</w:t>
      </w:r>
      <w:r w:rsidRPr="00883125">
        <w:rPr>
          <w:rStyle w:val="FootnoteReference"/>
        </w:rPr>
        <w:footnoteReference w:id="534"/>
      </w:r>
      <w:r w:rsidRPr="00883125">
        <w:t xml:space="preserve"> This analysis </w:t>
      </w:r>
      <w:r>
        <w:t>was subsequently</w:t>
      </w:r>
      <w:r w:rsidRPr="00883125">
        <w:t xml:space="preserve"> update</w:t>
      </w:r>
      <w:r>
        <w:t>d</w:t>
      </w:r>
      <w:r w:rsidRPr="00883125">
        <w:t xml:space="preserve"> by Frontier to the 2013 tax year which f</w:t>
      </w:r>
      <w:r>
        <w:t>ound</w:t>
      </w:r>
      <w:r w:rsidRPr="00883125">
        <w:t xml:space="preserve"> a</w:t>
      </w:r>
      <w:r>
        <w:t>n estimated</w:t>
      </w:r>
      <w:r w:rsidRPr="00883125">
        <w:t xml:space="preserve"> utilisation rate of 0.46.</w:t>
      </w:r>
      <w:r w:rsidRPr="00883125">
        <w:rPr>
          <w:rStyle w:val="FootnoteReference"/>
        </w:rPr>
        <w:footnoteReference w:id="535"/>
      </w:r>
      <w:r w:rsidRPr="00883125">
        <w:t xml:space="preserve"> </w:t>
      </w:r>
      <w:r w:rsidR="00F36BB5">
        <w:t>We</w:t>
      </w:r>
      <w:r w:rsidRPr="00883125">
        <w:t xml:space="preserve"> further updated </w:t>
      </w:r>
      <w:r>
        <w:t xml:space="preserve">the estimate using </w:t>
      </w:r>
      <w:r w:rsidRPr="00883125">
        <w:t xml:space="preserve">tax statistics to the 2014 </w:t>
      </w:r>
      <w:r>
        <w:t xml:space="preserve">tax year </w:t>
      </w:r>
      <w:r w:rsidRPr="00883125">
        <w:t>and f</w:t>
      </w:r>
      <w:r>
        <w:t>ound</w:t>
      </w:r>
      <w:r w:rsidRPr="00883125">
        <w:t xml:space="preserve"> a utilisation value of 0.48. </w:t>
      </w:r>
    </w:p>
    <w:p w:rsidR="00B27BE5" w:rsidRPr="00883125" w:rsidRDefault="00B27BE5" w:rsidP="00B27BE5">
      <w:r w:rsidRPr="00883125">
        <w:t xml:space="preserve">As discussed in section </w:t>
      </w:r>
      <w:r w:rsidRPr="00883125">
        <w:fldChar w:fldCharType="begin"/>
      </w:r>
      <w:r w:rsidRPr="00883125">
        <w:instrText xml:space="preserve"> REF _Ref401133206 \r \h </w:instrText>
      </w:r>
      <w:r w:rsidRPr="00883125">
        <w:fldChar w:fldCharType="separate"/>
      </w:r>
      <w:r w:rsidR="00881794">
        <w:t>A.10</w:t>
      </w:r>
      <w:r w:rsidRPr="00883125">
        <w:fldChar w:fldCharType="end"/>
      </w:r>
      <w:r w:rsidRPr="00883125">
        <w:t>, for this decision we place no reliance on Hathaway's new report and therefore it does not change our conclusions regarding the utilisation rate indicated by tax statistics.</w:t>
      </w:r>
    </w:p>
    <w:p w:rsidR="00B27BE5" w:rsidRDefault="00B27BE5" w:rsidP="00B27BE5">
      <w:r w:rsidRPr="00883125">
        <w:t>As noted above, United Energy has submitted that the Tribunal considers that tax statistics can only provide an upper bound on the estimate of theta.</w:t>
      </w:r>
      <w:r w:rsidRPr="00883125">
        <w:rPr>
          <w:rStyle w:val="FootnoteReference"/>
        </w:rPr>
        <w:footnoteReference w:id="536"/>
      </w:r>
      <w:r w:rsidRPr="00883125">
        <w:t xml:space="preserve"> </w:t>
      </w:r>
      <w:r w:rsidR="004635C5">
        <w:t>We</w:t>
      </w:r>
      <w:r w:rsidRPr="00883125">
        <w:t xml:space="preserve"> remain of the view that tax statistics can be used as point estimate for the utilisation value</w:t>
      </w:r>
      <w:r w:rsidR="004635C5">
        <w:t xml:space="preserve"> (see section </w:t>
      </w:r>
      <w:r w:rsidR="004635C5">
        <w:fldChar w:fldCharType="begin"/>
      </w:r>
      <w:r w:rsidR="004635C5">
        <w:instrText xml:space="preserve"> REF _Ref450761230 \r \h </w:instrText>
      </w:r>
      <w:r w:rsidR="004635C5">
        <w:fldChar w:fldCharType="separate"/>
      </w:r>
      <w:r w:rsidR="00881794">
        <w:t>4.4.1</w:t>
      </w:r>
      <w:r w:rsidR="004635C5">
        <w:fldChar w:fldCharType="end"/>
      </w:r>
      <w:r w:rsidR="004635C5">
        <w:t xml:space="preserve"> and our reasoning below)</w:t>
      </w:r>
      <w:r w:rsidRPr="00883125">
        <w:t xml:space="preserve">. </w:t>
      </w:r>
    </w:p>
    <w:p w:rsidR="004635C5" w:rsidRDefault="004635C5" w:rsidP="00B27BE5">
      <w:r>
        <w:t xml:space="preserve">We consider tax statistics produce estimates of the utilisation rate. These estimates are uncertain and dependent on the quality of the underlying data (which is an issue for tax statistics, as shown in section </w:t>
      </w:r>
      <w:r>
        <w:fldChar w:fldCharType="begin"/>
      </w:r>
      <w:r>
        <w:instrText xml:space="preserve"> REF _Ref450761230 \r \h </w:instrText>
      </w:r>
      <w:r>
        <w:fldChar w:fldCharType="separate"/>
      </w:r>
      <w:r w:rsidR="00881794">
        <w:t>4.4.1</w:t>
      </w:r>
      <w:r>
        <w:fldChar w:fldCharType="end"/>
      </w:r>
      <w:r>
        <w:t xml:space="preserve">). As such, </w:t>
      </w:r>
      <w:r w:rsidRPr="00883125">
        <w:t>the true (unknown) value could be higher or lower.</w:t>
      </w:r>
      <w:r>
        <w:t xml:space="preserve"> We consider this cannot constitute an upper bound for the true utilisation rate.</w:t>
      </w:r>
    </w:p>
    <w:p w:rsidR="00EE2A38" w:rsidRPr="00883125" w:rsidRDefault="004635C5" w:rsidP="00B27BE5">
      <w:r>
        <w:t xml:space="preserve">Also, </w:t>
      </w:r>
      <w:r w:rsidR="003246F2">
        <w:t>Lally considers that the correctly measured tax statistics provides an upward biased estimate for the utilisation value.</w:t>
      </w:r>
      <w:r w:rsidR="003246F2">
        <w:rPr>
          <w:rStyle w:val="FootnoteReference"/>
        </w:rPr>
        <w:footnoteReference w:id="537"/>
      </w:r>
      <w:r w:rsidR="003246F2">
        <w:t xml:space="preserve"> This is because local investors tilt their shareholding to stocks with higher imputation credit yields. However, Lally </w:t>
      </w:r>
      <w:r w:rsidR="00F36BB5">
        <w:t>considers</w:t>
      </w:r>
      <w:r w:rsidR="003246F2">
        <w:t xml:space="preserve"> </w:t>
      </w:r>
      <w:r w:rsidR="00F36BB5">
        <w:t>our</w:t>
      </w:r>
      <w:r w:rsidR="003246F2">
        <w:t xml:space="preserve"> estimate of 0.45</w:t>
      </w:r>
      <w:r w:rsidR="00F36BB5">
        <w:t xml:space="preserve"> (updated to 0.48 in this decision)</w:t>
      </w:r>
      <w:r w:rsidR="003246F2">
        <w:t xml:space="preserve"> is not an upper bound as tax statistics are unreliable and </w:t>
      </w:r>
      <w:r w:rsidR="00F36BB5">
        <w:t>we</w:t>
      </w:r>
      <w:r w:rsidR="003246F2">
        <w:t xml:space="preserve"> use the lower of two possible tax statistics estimates</w:t>
      </w:r>
      <w:r w:rsidR="00E83262">
        <w:t xml:space="preserve"> for the utilisation rate</w:t>
      </w:r>
      <w:r w:rsidR="003246F2">
        <w:t>.</w:t>
      </w:r>
      <w:r w:rsidR="003246F2">
        <w:rPr>
          <w:rStyle w:val="FootnoteReference"/>
        </w:rPr>
        <w:footnoteReference w:id="538"/>
      </w:r>
      <w:r w:rsidR="00EA5224" w:rsidRPr="00EA5224">
        <w:t xml:space="preserve"> </w:t>
      </w:r>
      <w:r>
        <w:t>U</w:t>
      </w:r>
      <w:r w:rsidR="00F36BB5">
        <w:t>ltimately</w:t>
      </w:r>
      <w:r>
        <w:t>, as set out above,</w:t>
      </w:r>
      <w:r w:rsidR="00F36BB5">
        <w:t xml:space="preserve"> w</w:t>
      </w:r>
      <w:r w:rsidR="00EA5224" w:rsidRPr="00EA5224">
        <w:t xml:space="preserve">e consider any uncertain estimate is not an upper bound. Given the uncertainty </w:t>
      </w:r>
      <w:r>
        <w:t xml:space="preserve">associated </w:t>
      </w:r>
      <w:r w:rsidR="00EA5224" w:rsidRPr="00EA5224">
        <w:t>with the utilisation rate estimate, we also do not consider the tax statistics would be inconsistent with a higher estimate of gamma than 0.4 for the benchmark efficient entity.</w:t>
      </w:r>
      <w:r>
        <w:t xml:space="preserve"> In particular, we note</w:t>
      </w:r>
      <w:r w:rsidRPr="004635C5">
        <w:t xml:space="preserve"> an estimate of gamma of approximately 0.4 is obtained when combining a utilisation rate of 0.48 (</w:t>
      </w:r>
      <w:r w:rsidR="00BD3F81">
        <w:t xml:space="preserve">consistent with </w:t>
      </w:r>
      <w:r w:rsidRPr="004635C5">
        <w:t>FAB data) with Lally's preferred estimate of the distribution rate for a benchmark efficient entity of 0.83.</w:t>
      </w:r>
      <w:r>
        <w:rPr>
          <w:rStyle w:val="FootnoteReference"/>
        </w:rPr>
        <w:footnoteReference w:id="539"/>
      </w:r>
    </w:p>
    <w:p w:rsidR="00B27BE5" w:rsidRPr="00883125" w:rsidRDefault="00B27BE5" w:rsidP="00B27BE5">
      <w:r w:rsidRPr="00883125">
        <w:lastRenderedPageBreak/>
        <w:t xml:space="preserve">Given the concerns with tax statistics data, </w:t>
      </w:r>
      <w:r w:rsidR="004635C5">
        <w:t>we</w:t>
      </w:r>
      <w:r w:rsidRPr="00883125">
        <w:t xml:space="preserve"> consider the equity ownership approach provides </w:t>
      </w:r>
      <w:r>
        <w:t>the best</w:t>
      </w:r>
      <w:r w:rsidRPr="00883125">
        <w:t xml:space="preserve"> point estimate for the utilisation value</w:t>
      </w:r>
      <w:r>
        <w:t xml:space="preserve"> currently available</w:t>
      </w:r>
      <w:r w:rsidRPr="00883125">
        <w:t xml:space="preserve">. This is due to the value of imputation credits being equal to face value on a pre-personal tax and pre-personal cost basis. Given the 45 day holding rule should not be having a material impact on the utilisation of imputation credits (see section </w:t>
      </w:r>
      <w:r w:rsidR="004635C5">
        <w:fldChar w:fldCharType="begin"/>
      </w:r>
      <w:r w:rsidR="004635C5">
        <w:instrText xml:space="preserve"> REF _Ref414099389 \r \h </w:instrText>
      </w:r>
      <w:r w:rsidR="004635C5">
        <w:fldChar w:fldCharType="separate"/>
      </w:r>
      <w:r w:rsidR="00881794">
        <w:t>A.8.3</w:t>
      </w:r>
      <w:r w:rsidR="004635C5">
        <w:fldChar w:fldCharType="end"/>
      </w:r>
      <w:r w:rsidRPr="00883125">
        <w:t xml:space="preserve">), </w:t>
      </w:r>
      <w:r w:rsidR="00EE2A38">
        <w:t>w</w:t>
      </w:r>
      <w:r w:rsidRPr="00883125">
        <w:t>e consider the proportion of local investor in the equity markets is a</w:t>
      </w:r>
      <w:r w:rsidR="00C43CF0">
        <w:t xml:space="preserve"> reasonable point</w:t>
      </w:r>
      <w:r w:rsidR="00EE2A38">
        <w:t xml:space="preserve"> estimate of the utilisation value.</w:t>
      </w:r>
      <w:r w:rsidR="00EE2A38" w:rsidRPr="00883125" w:rsidDel="00EE2A38">
        <w:t xml:space="preserve"> </w:t>
      </w:r>
    </w:p>
    <w:p w:rsidR="00B27BE5" w:rsidRPr="00883125" w:rsidRDefault="00B27BE5" w:rsidP="00B27BE5">
      <w:r w:rsidRPr="00883125">
        <w:t xml:space="preserve">In comparison to tax statistics market studies do not provide as appropriate an estimate of the utilisation value as they are determined by the marginal investor and the not aggregate investors. As a result, we consider market studies do not provide as good an estimate of the value of distributed imputation credits as estimates from the equity ownership approach and tax statistics. Market studies are also influenced by differential personal tax and personal cost factors </w:t>
      </w:r>
      <w:r>
        <w:t xml:space="preserve">and do not reflect a post-tax (pre-personal) rate of imputation credits under our post-tax framework </w:t>
      </w:r>
      <w:r w:rsidRPr="00883125">
        <w:t xml:space="preserve">(see section </w:t>
      </w:r>
      <w:r w:rsidRPr="00883125">
        <w:fldChar w:fldCharType="begin"/>
      </w:r>
      <w:r w:rsidRPr="00883125">
        <w:instrText xml:space="preserve"> REF _Ref435171205 \r \h </w:instrText>
      </w:r>
      <w:r w:rsidRPr="00883125">
        <w:fldChar w:fldCharType="separate"/>
      </w:r>
      <w:r w:rsidR="00881794">
        <w:t>A.15.3</w:t>
      </w:r>
      <w:r w:rsidRPr="00883125">
        <w:fldChar w:fldCharType="end"/>
      </w:r>
      <w:r w:rsidRPr="00883125">
        <w:t>). For these reasons we provide them relatively less weight.</w:t>
      </w:r>
    </w:p>
    <w:p w:rsidR="00B27BE5" w:rsidRPr="00883125" w:rsidRDefault="00B27BE5" w:rsidP="00B27BE5">
      <w:pPr>
        <w:pStyle w:val="Heading8"/>
      </w:pPr>
      <w:bookmarkStart w:id="167" w:name="_Ref450298682"/>
      <w:bookmarkStart w:id="168" w:name="_Ref450299464"/>
      <w:bookmarkStart w:id="169" w:name="_Toc451928288"/>
      <w:bookmarkStart w:id="170" w:name="_Ref401080753"/>
      <w:bookmarkStart w:id="171" w:name="_Toc436049455"/>
      <w:r w:rsidRPr="00883125">
        <w:t>Difference between equity ownership approach and tax statistics</w:t>
      </w:r>
      <w:bookmarkEnd w:id="167"/>
      <w:bookmarkEnd w:id="168"/>
      <w:bookmarkEnd w:id="169"/>
    </w:p>
    <w:p w:rsidR="00B27BE5" w:rsidRPr="00883125" w:rsidRDefault="00B27BE5" w:rsidP="00B27BE5">
      <w:r w:rsidRPr="00883125">
        <w:t xml:space="preserve">In </w:t>
      </w:r>
      <w:r w:rsidR="009A225F">
        <w:t>its</w:t>
      </w:r>
      <w:r w:rsidRPr="00883125">
        <w:t xml:space="preserve"> decision</w:t>
      </w:r>
      <w:r w:rsidR="004635C5">
        <w:t>s</w:t>
      </w:r>
      <w:r w:rsidRPr="00883125">
        <w:t>, the Tribunal considered it is apparent that there are investors who the AER assumes are eligible to redeem imputation credits but, for whatever reasons, either cannot redeem them or attribute so little value to the credits that they do not utilise them.</w:t>
      </w:r>
      <w:r w:rsidRPr="00883125">
        <w:rPr>
          <w:rStyle w:val="FootnoteReference"/>
        </w:rPr>
        <w:footnoteReference w:id="540"/>
      </w:r>
      <w:r w:rsidRPr="00883125">
        <w:t xml:space="preserve"> This is due to the equity ownership approach indicating</w:t>
      </w:r>
      <w:r w:rsidR="009A225F">
        <w:t xml:space="preserve"> the</w:t>
      </w:r>
      <w:r w:rsidRPr="00883125">
        <w:t xml:space="preserve"> utilisation</w:t>
      </w:r>
      <w:r w:rsidR="009A225F">
        <w:t xml:space="preserve"> rate</w:t>
      </w:r>
      <w:r w:rsidRPr="00883125">
        <w:t xml:space="preserve"> is above the </w:t>
      </w:r>
      <w:r w:rsidR="009A225F">
        <w:t>estimate</w:t>
      </w:r>
      <w:r w:rsidR="009A225F" w:rsidRPr="00883125">
        <w:t xml:space="preserve"> </w:t>
      </w:r>
      <w:r w:rsidRPr="00883125">
        <w:t>specified through tax statistics. Further, the Tribunal considered the value of the utilisation value produced by taxation statistics is evidence that Australian investors do not value imputation credits at their face value, because they may be unable to use them.</w:t>
      </w:r>
      <w:r w:rsidRPr="00883125">
        <w:rPr>
          <w:rStyle w:val="FootnoteReference"/>
        </w:rPr>
        <w:footnoteReference w:id="541"/>
      </w:r>
    </w:p>
    <w:p w:rsidR="00C20CE6" w:rsidRDefault="009A225F" w:rsidP="00B27BE5">
      <w:r>
        <w:t>We have</w:t>
      </w:r>
      <w:r w:rsidR="00B27BE5" w:rsidRPr="00883125">
        <w:t xml:space="preserve"> considered the Tribunal's reasoning and consider there is no reason to </w:t>
      </w:r>
      <w:r>
        <w:t>expect</w:t>
      </w:r>
      <w:r w:rsidRPr="00883125">
        <w:t xml:space="preserve"> </w:t>
      </w:r>
      <w:r w:rsidR="00B27BE5" w:rsidRPr="00883125">
        <w:t xml:space="preserve">that the equity ownership approach and the taxation statistics should result in the same utilisation value. </w:t>
      </w:r>
      <w:r>
        <w:t>We</w:t>
      </w:r>
      <w:r w:rsidR="00B27BE5" w:rsidRPr="00883125">
        <w:t xml:space="preserve"> do not consider the difference is likely to be driven either by the 45 day holding rule or by investors valuing imputation credits at less than face value because they may be unable to use them. We </w:t>
      </w:r>
      <w:r>
        <w:t>consider</w:t>
      </w:r>
      <w:r w:rsidRPr="00883125">
        <w:t xml:space="preserve"> </w:t>
      </w:r>
      <w:r w:rsidR="00B27BE5" w:rsidRPr="00883125">
        <w:t xml:space="preserve">the difference between the equity ownership approach and tax statistics is likely driven primarily by data issues </w:t>
      </w:r>
      <w:r>
        <w:t xml:space="preserve">associated </w:t>
      </w:r>
      <w:r w:rsidR="00B27BE5" w:rsidRPr="00883125">
        <w:t>with the tax statistics. The data issues with tax statistics was recognised by the Tribunal.</w:t>
      </w:r>
      <w:r w:rsidR="00B27BE5" w:rsidRPr="00883125">
        <w:rPr>
          <w:rStyle w:val="FootnoteReference"/>
        </w:rPr>
        <w:footnoteReference w:id="542"/>
      </w:r>
      <w:r w:rsidR="00B27BE5" w:rsidRPr="00883125">
        <w:t xml:space="preserve"> </w:t>
      </w:r>
      <w:r w:rsidR="00C20CE6">
        <w:t>Lally support</w:t>
      </w:r>
      <w:r w:rsidR="00EC0FB7">
        <w:t>s</w:t>
      </w:r>
      <w:r w:rsidR="00C20CE6">
        <w:t xml:space="preserve"> this view by noting that the most obvious explanation for the difference between the equity ownership and tax statistics is explained by </w:t>
      </w:r>
      <w:r>
        <w:t>our</w:t>
      </w:r>
      <w:r w:rsidR="00C20CE6">
        <w:t xml:space="preserve"> tax statistics </w:t>
      </w:r>
      <w:r>
        <w:t xml:space="preserve">estimate </w:t>
      </w:r>
      <w:r w:rsidR="00C20CE6">
        <w:t>being too low.</w:t>
      </w:r>
      <w:r w:rsidR="00C20CE6">
        <w:rPr>
          <w:rStyle w:val="FootnoteReference"/>
        </w:rPr>
        <w:footnoteReference w:id="543"/>
      </w:r>
      <w:r>
        <w:t xml:space="preserve"> </w:t>
      </w:r>
      <w:r w:rsidR="00645287">
        <w:t xml:space="preserve">Although, we </w:t>
      </w:r>
      <w:r w:rsidR="00645287">
        <w:lastRenderedPageBreak/>
        <w:t xml:space="preserve">note that </w:t>
      </w:r>
      <w:r w:rsidR="00645287" w:rsidRPr="00645287">
        <w:t xml:space="preserve">an estimate of gamma of approximately 0.4 </w:t>
      </w:r>
      <w:r w:rsidR="00645287">
        <w:t>is be</w:t>
      </w:r>
      <w:r w:rsidR="00645287" w:rsidRPr="00645287">
        <w:t xml:space="preserve"> obtained when combining a utilisation rate of 0.48 (</w:t>
      </w:r>
      <w:r w:rsidR="00DD1139">
        <w:t>consistent with</w:t>
      </w:r>
      <w:r w:rsidR="00645287" w:rsidRPr="00645287">
        <w:t xml:space="preserve"> </w:t>
      </w:r>
      <w:r w:rsidR="00645287">
        <w:t xml:space="preserve">tax statistics, </w:t>
      </w:r>
      <w:r w:rsidR="00645287" w:rsidRPr="00645287">
        <w:t>FAB data) with Lally's preferred estimate of the distribution rate for a benchmark efficient entity of 0.83.</w:t>
      </w:r>
      <w:r w:rsidR="00645287">
        <w:rPr>
          <w:rStyle w:val="FootnoteReference"/>
        </w:rPr>
        <w:footnoteReference w:id="544"/>
      </w:r>
    </w:p>
    <w:p w:rsidR="00B27BE5" w:rsidRPr="00883125" w:rsidRDefault="00C20CE6" w:rsidP="00B27BE5">
      <w:r>
        <w:t>Further, w</w:t>
      </w:r>
      <w:r w:rsidRPr="00883125">
        <w:t xml:space="preserve">e </w:t>
      </w:r>
      <w:r w:rsidR="00B27BE5" w:rsidRPr="00883125">
        <w:t xml:space="preserve">note there is no compelling evidence before </w:t>
      </w:r>
      <w:r w:rsidR="009A225F">
        <w:t>us</w:t>
      </w:r>
      <w:r w:rsidR="00B27BE5" w:rsidRPr="00883125">
        <w:t xml:space="preserve"> that the 45 day rule is having a material impact, or that investors are valuing imputation credits at less than their face value because they may be unable to use them. As noted earlier, the estimate from tax </w:t>
      </w:r>
      <w:r w:rsidRPr="00883125">
        <w:t>statistics</w:t>
      </w:r>
      <w:r>
        <w:t xml:space="preserve"> that we rely upon </w:t>
      </w:r>
      <w:r w:rsidR="00B27BE5" w:rsidRPr="00883125">
        <w:t>is not an upper bound on the utilisation value.</w:t>
      </w:r>
      <w:r w:rsidRPr="00C20CE6">
        <w:rPr>
          <w:rStyle w:val="FootnoteReference"/>
        </w:rPr>
        <w:t xml:space="preserve"> </w:t>
      </w:r>
      <w:r>
        <w:rPr>
          <w:rStyle w:val="FootnoteReference"/>
        </w:rPr>
        <w:footnoteReference w:id="545"/>
      </w:r>
    </w:p>
    <w:p w:rsidR="00B27BE5" w:rsidRPr="00883125" w:rsidRDefault="00B27BE5" w:rsidP="00B27BE5">
      <w:r w:rsidRPr="00883125">
        <w:t xml:space="preserve">Finally we note that even if the data was </w:t>
      </w:r>
      <w:r w:rsidR="009A225F">
        <w:t xml:space="preserve">highly </w:t>
      </w:r>
      <w:r w:rsidRPr="00883125">
        <w:t>reliable</w:t>
      </w:r>
      <w:r w:rsidR="009A225F">
        <w:t>,</w:t>
      </w:r>
      <w:r w:rsidRPr="00883125">
        <w:t xml:space="preserve"> the equity ownership approach and taxation statistics are </w:t>
      </w:r>
      <w:r w:rsidR="00CB38D8">
        <w:t xml:space="preserve">a </w:t>
      </w:r>
      <w:r w:rsidRPr="00883125">
        <w:t>slight</w:t>
      </w:r>
      <w:r w:rsidR="009A225F">
        <w:t>ly</w:t>
      </w:r>
      <w:r w:rsidRPr="00883125">
        <w:t xml:space="preserve"> different measures based on different data sets and methodologies</w:t>
      </w:r>
      <w:r w:rsidR="009A225F">
        <w:t>. Therefore,</w:t>
      </w:r>
      <w:r w:rsidRPr="00883125">
        <w:t xml:space="preserve"> there should be no expectation that both measures should yield exactly the same estimates of the utilisation value. </w:t>
      </w:r>
      <w:r w:rsidR="009A225F">
        <w:t>We</w:t>
      </w:r>
      <w:r w:rsidRPr="00883125">
        <w:t xml:space="preserve"> consider both measure are relevant in determining gamma. However, </w:t>
      </w:r>
      <w:r w:rsidR="009A225F">
        <w:t>we</w:t>
      </w:r>
      <w:r w:rsidRPr="00883125">
        <w:t xml:space="preserve"> place more reliance on the equity ownership approach given </w:t>
      </w:r>
      <w:r w:rsidR="006A34F8">
        <w:t>they are conceptually more correct</w:t>
      </w:r>
      <w:r w:rsidR="009A225F">
        <w:t xml:space="preserve"> (see section </w:t>
      </w:r>
      <w:r w:rsidR="009A225F">
        <w:fldChar w:fldCharType="begin"/>
      </w:r>
      <w:r w:rsidR="009A225F">
        <w:instrText xml:space="preserve"> REF _Ref415049811 \r \h </w:instrText>
      </w:r>
      <w:r w:rsidR="009A225F">
        <w:fldChar w:fldCharType="separate"/>
      </w:r>
      <w:r w:rsidR="00881794">
        <w:t>A.12</w:t>
      </w:r>
      <w:r w:rsidR="009A225F">
        <w:fldChar w:fldCharType="end"/>
      </w:r>
      <w:r w:rsidR="009A225F">
        <w:t>)</w:t>
      </w:r>
      <w:r w:rsidR="006A34F8">
        <w:t xml:space="preserve"> and </w:t>
      </w:r>
      <w:r w:rsidR="009A225F">
        <w:t>there are</w:t>
      </w:r>
      <w:r w:rsidRPr="00883125">
        <w:t xml:space="preserve"> data issue</w:t>
      </w:r>
      <w:r w:rsidR="009A225F">
        <w:t>s associated</w:t>
      </w:r>
      <w:r w:rsidRPr="00883125">
        <w:t xml:space="preserve"> with tax statistics. The Tribunal itself has acknowledged these data issues in its latest decision.</w:t>
      </w:r>
      <w:r w:rsidRPr="00883125">
        <w:rPr>
          <w:rStyle w:val="FootnoteReference"/>
        </w:rPr>
        <w:footnoteReference w:id="546"/>
      </w:r>
      <w:r w:rsidRPr="00883125">
        <w:t xml:space="preserve"> In light of the Tribunals acknowledgement of the data issues, </w:t>
      </w:r>
      <w:r w:rsidR="009A225F">
        <w:t xml:space="preserve">we consider </w:t>
      </w:r>
      <w:r w:rsidRPr="00883125">
        <w:t>taxation statistics cannot be used to infer the upper bound for theta</w:t>
      </w:r>
      <w:r w:rsidR="009A225F">
        <w:t xml:space="preserve"> (see section </w:t>
      </w:r>
      <w:r w:rsidR="009A225F">
        <w:fldChar w:fldCharType="begin"/>
      </w:r>
      <w:r w:rsidR="009A225F">
        <w:instrText xml:space="preserve"> REF _Ref402179420 \r \h </w:instrText>
      </w:r>
      <w:r w:rsidR="009A225F">
        <w:fldChar w:fldCharType="separate"/>
      </w:r>
      <w:r w:rsidR="00881794">
        <w:t>A.13</w:t>
      </w:r>
      <w:r w:rsidR="009A225F">
        <w:fldChar w:fldCharType="end"/>
      </w:r>
      <w:r w:rsidR="009A225F">
        <w:t>)</w:t>
      </w:r>
      <w:r w:rsidRPr="00883125">
        <w:t>.</w:t>
      </w:r>
      <w:r w:rsidR="009A225F">
        <w:t xml:space="preserve"> Moreover, h</w:t>
      </w:r>
      <w:r w:rsidR="009A225F" w:rsidRPr="009A225F">
        <w:t xml:space="preserve">aving regard to the potential data limitations and alternate estimates, </w:t>
      </w:r>
      <w:r w:rsidR="009A225F">
        <w:t xml:space="preserve">we consider </w:t>
      </w:r>
      <w:r w:rsidR="009A225F" w:rsidRPr="009A225F">
        <w:t>the evidence from tax statistics is not inconsistent with the evidence from the equity ownership approach</w:t>
      </w:r>
      <w:r w:rsidR="009A225F">
        <w:t>.</w:t>
      </w:r>
      <w:r w:rsidRPr="00883125">
        <w:t xml:space="preserve"> </w:t>
      </w:r>
    </w:p>
    <w:p w:rsidR="00B27BE5" w:rsidRPr="00883125" w:rsidRDefault="00B27BE5" w:rsidP="00B27BE5">
      <w:pPr>
        <w:pStyle w:val="Heading8"/>
      </w:pPr>
      <w:bookmarkStart w:id="172" w:name="_Ref451184082"/>
      <w:bookmarkStart w:id="173" w:name="_Ref451186079"/>
      <w:bookmarkStart w:id="174" w:name="_Ref451242641"/>
      <w:bookmarkStart w:id="175" w:name="_Ref451266265"/>
      <w:bookmarkStart w:id="176" w:name="_Ref451267181"/>
      <w:bookmarkStart w:id="177" w:name="_Ref451267267"/>
      <w:bookmarkStart w:id="178" w:name="_Ref451267696"/>
      <w:bookmarkStart w:id="179" w:name="_Ref451267729"/>
      <w:bookmarkStart w:id="180" w:name="_Ref451267750"/>
      <w:bookmarkStart w:id="181" w:name="_Toc451928289"/>
      <w:r w:rsidRPr="00883125">
        <w:t>Implied market value studies</w:t>
      </w:r>
      <w:bookmarkEnd w:id="170"/>
      <w:bookmarkEnd w:id="171"/>
      <w:bookmarkEnd w:id="172"/>
      <w:bookmarkEnd w:id="173"/>
      <w:bookmarkEnd w:id="174"/>
      <w:bookmarkEnd w:id="175"/>
      <w:bookmarkEnd w:id="176"/>
      <w:bookmarkEnd w:id="177"/>
      <w:bookmarkEnd w:id="178"/>
      <w:bookmarkEnd w:id="179"/>
      <w:bookmarkEnd w:id="180"/>
      <w:bookmarkEnd w:id="181"/>
    </w:p>
    <w:p w:rsidR="00B27BE5" w:rsidRPr="00883125" w:rsidRDefault="00B27BE5" w:rsidP="00B27BE5">
      <w:pPr>
        <w:numPr>
          <w:ilvl w:val="0"/>
          <w:numId w:val="24"/>
        </w:numPr>
      </w:pPr>
      <w:r w:rsidRPr="00883125">
        <w:t xml:space="preserve">Implied market value studies seek to infer from market prices the value of distributed imputation credits. Our position on the use of implied market value studies to estimate the utilisation rate is set out in section </w:t>
      </w:r>
      <w:r w:rsidR="00C20CE6">
        <w:fldChar w:fldCharType="begin"/>
      </w:r>
      <w:r w:rsidR="00C20CE6">
        <w:instrText xml:space="preserve"> REF _Ref451350649 \r \h </w:instrText>
      </w:r>
      <w:r w:rsidR="00C20CE6">
        <w:fldChar w:fldCharType="separate"/>
      </w:r>
      <w:r w:rsidR="00881794">
        <w:t>4.4</w:t>
      </w:r>
      <w:r w:rsidR="00C20CE6">
        <w:fldChar w:fldCharType="end"/>
      </w:r>
      <w:r w:rsidRPr="00883125">
        <w:t xml:space="preserve"> of attachment 4. </w:t>
      </w:r>
    </w:p>
    <w:p w:rsidR="00B27BE5" w:rsidRPr="00883125" w:rsidRDefault="00B27BE5" w:rsidP="00B27BE5">
      <w:pPr>
        <w:numPr>
          <w:ilvl w:val="0"/>
          <w:numId w:val="24"/>
        </w:numPr>
      </w:pPr>
      <w:r w:rsidRPr="00883125">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C20CE6">
        <w:fldChar w:fldCharType="begin"/>
      </w:r>
      <w:r w:rsidR="00C20CE6">
        <w:instrText xml:space="preserve"> REF _Ref451350656 \r \h </w:instrText>
      </w:r>
      <w:r w:rsidR="00C20CE6">
        <w:fldChar w:fldCharType="separate"/>
      </w:r>
      <w:r w:rsidR="00881794">
        <w:t>4.4</w:t>
      </w:r>
      <w:r w:rsidR="00C20CE6">
        <w:fldChar w:fldCharType="end"/>
      </w:r>
      <w:r w:rsidRPr="00883125">
        <w:t xml:space="preserve"> of attachment 4, the level of reliance we place on implied market value studies reflects the limitations of these studies. We discuss the limitations of the most common type of implied market value study, dividend drop off studies, in sections </w:t>
      </w:r>
      <w:r w:rsidRPr="00883125">
        <w:fldChar w:fldCharType="begin"/>
      </w:r>
      <w:r w:rsidRPr="00883125">
        <w:instrText xml:space="preserve"> REF _Ref414624721 \r \h </w:instrText>
      </w:r>
      <w:r w:rsidRPr="00883125">
        <w:fldChar w:fldCharType="separate"/>
      </w:r>
      <w:r w:rsidR="00881794">
        <w:t>A.15.5</w:t>
      </w:r>
      <w:r w:rsidRPr="00883125">
        <w:fldChar w:fldCharType="end"/>
      </w:r>
      <w:r w:rsidRPr="00883125">
        <w:t>.</w:t>
      </w:r>
    </w:p>
    <w:p w:rsidR="00B27BE5" w:rsidRPr="00883125" w:rsidRDefault="00B27BE5" w:rsidP="00B27BE5">
      <w:pPr>
        <w:pStyle w:val="Heading9"/>
      </w:pPr>
      <w:bookmarkStart w:id="182" w:name="_Ref402791521"/>
      <w:r w:rsidRPr="00883125">
        <w:t>Types of implied market value studies</w:t>
      </w:r>
      <w:bookmarkEnd w:id="182"/>
    </w:p>
    <w:p w:rsidR="00B27BE5" w:rsidRPr="00883125" w:rsidRDefault="00B27BE5" w:rsidP="00B27BE5">
      <w:pPr>
        <w:numPr>
          <w:ilvl w:val="0"/>
          <w:numId w:val="24"/>
        </w:numPr>
      </w:pPr>
      <w:r w:rsidRPr="00883125">
        <w:t>In this section, we describe the key characteristics of dividend drop off studies and other implied market value studies.</w:t>
      </w:r>
    </w:p>
    <w:p w:rsidR="00B27BE5" w:rsidRPr="00883125" w:rsidRDefault="00B27BE5" w:rsidP="00B27BE5">
      <w:pPr>
        <w:pStyle w:val="HeadingBoldBlue"/>
        <w:numPr>
          <w:ilvl w:val="0"/>
          <w:numId w:val="24"/>
        </w:numPr>
      </w:pPr>
      <w:r w:rsidRPr="00883125">
        <w:lastRenderedPageBreak/>
        <w:t>Dividend drop off studies</w:t>
      </w:r>
    </w:p>
    <w:p w:rsidR="00B27BE5" w:rsidRPr="00883125" w:rsidRDefault="00B27BE5" w:rsidP="00B27BE5">
      <w:pPr>
        <w:numPr>
          <w:ilvl w:val="0"/>
          <w:numId w:val="24"/>
        </w:numPr>
      </w:pPr>
      <w:r w:rsidRPr="00883125">
        <w:t>Dividend drop off studies are the most common type of implied market value study. These studies involve comparing share prices between:</w:t>
      </w:r>
    </w:p>
    <w:p w:rsidR="00B27BE5" w:rsidRPr="00883125" w:rsidRDefault="00B27BE5" w:rsidP="00B27BE5">
      <w:pPr>
        <w:pStyle w:val="AERbulletlistfirststyle"/>
      </w:pPr>
      <w:r w:rsidRPr="00883125">
        <w:t>the cum-dividend date—the last day on which investors owning shares will be eligible to receive dividends and the attached imputation credits, and</w:t>
      </w:r>
    </w:p>
    <w:p w:rsidR="00B27BE5" w:rsidRPr="00883125" w:rsidRDefault="00B27BE5" w:rsidP="00B27BE5">
      <w:pPr>
        <w:pStyle w:val="AERbulletlistfirststyle"/>
      </w:pPr>
      <w:r w:rsidRPr="00883125">
        <w:t>the ex-dividend date—the first day on which investors owning shares will not be eligible to receive dividends and attached imputation credits.</w:t>
      </w:r>
    </w:p>
    <w:p w:rsidR="00B27BE5" w:rsidRPr="00883125" w:rsidRDefault="00B27BE5" w:rsidP="00B27BE5">
      <w:pPr>
        <w:numPr>
          <w:ilvl w:val="0"/>
          <w:numId w:val="24"/>
        </w:numPr>
      </w:pPr>
      <w:r w:rsidRPr="00883125">
        <w:t>That is, an investor that buys a share on the cum-dividend date will be eligible to receive a dividend from that company. An investor who buys a share on the ex-dividend date will not. The difference in these prices should therefore reflect investors' valuation of the combined package of dividends and imputation credits, all other things being equal. Dividend drop off studies often will report this as a dividend drop off ratio. This is the reduction in the share price as a proportion of the face value of dividends paid out.</w:t>
      </w:r>
    </w:p>
    <w:p w:rsidR="00B27BE5" w:rsidRPr="00883125" w:rsidRDefault="00B27BE5" w:rsidP="00B27BE5">
      <w:pPr>
        <w:numPr>
          <w:ilvl w:val="0"/>
          <w:numId w:val="24"/>
        </w:numPr>
      </w:pPr>
      <w:r w:rsidRPr="00883125">
        <w:fldChar w:fldCharType="begin"/>
      </w:r>
      <w:r w:rsidRPr="00883125">
        <w:instrText xml:space="preserve"> REF _Ref401075742 \h </w:instrText>
      </w:r>
      <w:r w:rsidRPr="00883125">
        <w:fldChar w:fldCharType="separate"/>
      </w:r>
      <w:r w:rsidR="00881794" w:rsidRPr="00883125">
        <w:t xml:space="preserve">Table </w:t>
      </w:r>
      <w:r w:rsidR="00881794">
        <w:rPr>
          <w:noProof/>
        </w:rPr>
        <w:t>4</w:t>
      </w:r>
      <w:r w:rsidR="00881794">
        <w:noBreakHyphen/>
      </w:r>
      <w:r w:rsidR="00881794">
        <w:rPr>
          <w:noProof/>
        </w:rPr>
        <w:t>15</w:t>
      </w:r>
      <w:r w:rsidRPr="00883125">
        <w:fldChar w:fldCharType="end"/>
      </w:r>
      <w:r w:rsidRPr="00883125">
        <w:t xml:space="preserve"> identifies the dividend drop off studies that we are aware of, and describes the methodology of each study. The results from these studies are presented in </w:t>
      </w:r>
      <w:r w:rsidRPr="00883125">
        <w:fldChar w:fldCharType="begin"/>
      </w:r>
      <w:r w:rsidRPr="00883125">
        <w:instrText xml:space="preserve"> REF  _Ref401075676 \* Lower \h </w:instrText>
      </w:r>
      <w:r w:rsidRPr="00883125">
        <w:fldChar w:fldCharType="separate"/>
      </w:r>
      <w:r w:rsidR="00881794" w:rsidRPr="00883125">
        <w:t xml:space="preserve">table </w:t>
      </w:r>
      <w:r w:rsidR="00881794">
        <w:rPr>
          <w:noProof/>
        </w:rPr>
        <w:t>4</w:t>
      </w:r>
      <w:r w:rsidR="00881794">
        <w:noBreakHyphen/>
      </w:r>
      <w:r w:rsidR="00881794">
        <w:rPr>
          <w:noProof/>
        </w:rPr>
        <w:t>17</w:t>
      </w:r>
      <w:r w:rsidRPr="00883125">
        <w:fldChar w:fldCharType="end"/>
      </w:r>
      <w:r w:rsidRPr="00883125">
        <w:t>.</w:t>
      </w:r>
    </w:p>
    <w:p w:rsidR="00B27BE5" w:rsidRPr="00883125" w:rsidRDefault="00B27BE5" w:rsidP="00B27BE5">
      <w:pPr>
        <w:pStyle w:val="Caption"/>
      </w:pPr>
      <w:bookmarkStart w:id="183" w:name="_Ref401075742"/>
      <w:r w:rsidRPr="00883125">
        <w:t xml:space="preserve">Table </w:t>
      </w:r>
      <w:r w:rsidR="004B4BF3">
        <w:fldChar w:fldCharType="begin"/>
      </w:r>
      <w:r w:rsidR="004B4BF3">
        <w:instrText xml:space="preserve"> STYLEREF 1 \s </w:instrText>
      </w:r>
      <w:r w:rsidR="004B4BF3">
        <w:fldChar w:fldCharType="separate"/>
      </w:r>
      <w:r w:rsidR="00881794">
        <w:rPr>
          <w:noProof/>
        </w:rPr>
        <w:t>4</w:t>
      </w:r>
      <w:r w:rsidR="004B4BF3">
        <w:rPr>
          <w:noProof/>
        </w:rPr>
        <w:fldChar w:fldCharType="end"/>
      </w:r>
      <w:r>
        <w:noBreakHyphen/>
      </w:r>
      <w:r w:rsidR="004B4BF3">
        <w:fldChar w:fldCharType="begin"/>
      </w:r>
      <w:r w:rsidR="004B4BF3">
        <w:instrText xml:space="preserve"> SEQ Table \* ARABIC \s 1 </w:instrText>
      </w:r>
      <w:r w:rsidR="004B4BF3">
        <w:fldChar w:fldCharType="separate"/>
      </w:r>
      <w:r w:rsidR="00881794">
        <w:rPr>
          <w:noProof/>
        </w:rPr>
        <w:t>15</w:t>
      </w:r>
      <w:r w:rsidR="004B4BF3">
        <w:rPr>
          <w:noProof/>
        </w:rPr>
        <w:fldChar w:fldCharType="end"/>
      </w:r>
      <w:bookmarkEnd w:id="183"/>
      <w:r w:rsidRPr="00883125">
        <w:tab/>
        <w:t>Summary of available dividend drop off studies</w:t>
      </w:r>
    </w:p>
    <w:tbl>
      <w:tblPr>
        <w:tblStyle w:val="AERtable-text0"/>
        <w:tblW w:w="0" w:type="auto"/>
        <w:tblLook w:val="04A0" w:firstRow="1" w:lastRow="0" w:firstColumn="1" w:lastColumn="0" w:noHBand="0" w:noVBand="1"/>
      </w:tblPr>
      <w:tblGrid>
        <w:gridCol w:w="2518"/>
        <w:gridCol w:w="1276"/>
        <w:gridCol w:w="5448"/>
      </w:tblGrid>
      <w:tr w:rsidR="00B27BE5" w:rsidTr="00B27BE5">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rsidR="00B27BE5" w:rsidRPr="00B27BE5" w:rsidRDefault="00B27BE5" w:rsidP="00B27BE5">
            <w:r w:rsidRPr="00883125">
              <w:t>Authors</w:t>
            </w:r>
          </w:p>
        </w:tc>
        <w:tc>
          <w:tcPr>
            <w:tcW w:w="1276" w:type="dxa"/>
          </w:tcPr>
          <w:p w:rsidR="00B27BE5" w:rsidRPr="00B27BE5" w:rsidRDefault="00B27BE5" w:rsidP="00B27BE5">
            <w:r w:rsidRPr="00883125">
              <w:t>Data range</w:t>
            </w:r>
          </w:p>
        </w:tc>
        <w:tc>
          <w:tcPr>
            <w:tcW w:w="5448" w:type="dxa"/>
          </w:tcPr>
          <w:p w:rsidR="00B27BE5" w:rsidRPr="00B27BE5" w:rsidRDefault="00B27BE5" w:rsidP="00B27BE5">
            <w:r w:rsidRPr="00883125">
              <w:t>Assessment relative to other studies in that class</w:t>
            </w:r>
          </w:p>
        </w:tc>
      </w:tr>
      <w:tr w:rsidR="00B27BE5" w:rsidTr="00B27BE5">
        <w:trPr>
          <w:cantSplit/>
        </w:trPr>
        <w:tc>
          <w:tcPr>
            <w:tcW w:w="9242" w:type="dxa"/>
            <w:gridSpan w:val="3"/>
          </w:tcPr>
          <w:p w:rsidR="00B27BE5" w:rsidRPr="00883125" w:rsidRDefault="00B27BE5" w:rsidP="00B27BE5">
            <w:pPr>
              <w:numPr>
                <w:ilvl w:val="0"/>
                <w:numId w:val="24"/>
              </w:numPr>
            </w:pPr>
            <w:r w:rsidRPr="00883125">
              <w:rPr>
                <w:rStyle w:val="Strong"/>
              </w:rPr>
              <w:t>Dividend drop off study</w:t>
            </w:r>
            <w:r w:rsidRPr="00883125">
              <w:t xml:space="preserve"> – Compare share prices before and after dividend events (with and without imputation credits).</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tcW w:w="2518" w:type="dxa"/>
          </w:tcPr>
          <w:p w:rsidR="00B27BE5" w:rsidRPr="00B27BE5" w:rsidRDefault="00B27BE5" w:rsidP="00B27BE5">
            <w:r w:rsidRPr="00883125">
              <w:t>Vo et al (2013)</w:t>
            </w:r>
            <w:r w:rsidRPr="00B27BE5">
              <w:rPr>
                <w:rStyle w:val="FootnoteReference"/>
              </w:rPr>
              <w:footnoteReference w:id="547"/>
            </w:r>
          </w:p>
        </w:tc>
        <w:tc>
          <w:tcPr>
            <w:tcW w:w="1276" w:type="dxa"/>
          </w:tcPr>
          <w:p w:rsidR="00B27BE5" w:rsidRPr="00B27BE5" w:rsidRDefault="00B27BE5" w:rsidP="00B27BE5">
            <w:r w:rsidRPr="00883125">
              <w:t>2001-2012</w:t>
            </w:r>
          </w:p>
        </w:tc>
        <w:tc>
          <w:tcPr>
            <w:tcW w:w="5448" w:type="dxa"/>
          </w:tcPr>
          <w:p w:rsidR="00B27BE5" w:rsidRPr="00B27BE5" w:rsidRDefault="00B27BE5" w:rsidP="00B27BE5">
            <w:r w:rsidRPr="00883125">
              <w:t>Builds on SFG (2011), includes additional econometric permutations and sensitivity analysis.</w:t>
            </w:r>
          </w:p>
        </w:tc>
      </w:tr>
      <w:tr w:rsidR="00B27BE5" w:rsidTr="00B27BE5">
        <w:trPr>
          <w:cantSplit/>
        </w:trPr>
        <w:tc>
          <w:tcPr>
            <w:tcW w:w="2518" w:type="dxa"/>
          </w:tcPr>
          <w:p w:rsidR="00B27BE5" w:rsidRPr="00B27BE5" w:rsidRDefault="00B27BE5" w:rsidP="00B27BE5">
            <w:r w:rsidRPr="00883125">
              <w:t>SFG (2013a)</w:t>
            </w:r>
            <w:r w:rsidRPr="00B27BE5">
              <w:rPr>
                <w:rStyle w:val="FootnoteReference"/>
              </w:rPr>
              <w:footnoteReference w:id="548"/>
            </w:r>
          </w:p>
        </w:tc>
        <w:tc>
          <w:tcPr>
            <w:tcW w:w="1276" w:type="dxa"/>
          </w:tcPr>
          <w:p w:rsidR="00B27BE5" w:rsidRPr="00B27BE5" w:rsidRDefault="00B27BE5" w:rsidP="00B27BE5">
            <w:r w:rsidRPr="00883125">
              <w:t>2001-2012</w:t>
            </w:r>
          </w:p>
        </w:tc>
        <w:tc>
          <w:tcPr>
            <w:tcW w:w="5448" w:type="dxa"/>
          </w:tcPr>
          <w:p w:rsidR="00B27BE5" w:rsidRPr="00B27BE5" w:rsidRDefault="00B27BE5" w:rsidP="00B27BE5">
            <w:r w:rsidRPr="00883125">
              <w:t>Updates SFG (2011) – same author, longer data series.</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tcW w:w="2518" w:type="dxa"/>
          </w:tcPr>
          <w:p w:rsidR="00B27BE5" w:rsidRPr="00B27BE5" w:rsidRDefault="00B27BE5" w:rsidP="00B27BE5">
            <w:r w:rsidRPr="00883125">
              <w:t>SFG (2011)</w:t>
            </w:r>
            <w:r w:rsidRPr="00B27BE5">
              <w:rPr>
                <w:rStyle w:val="FootnoteReference"/>
              </w:rPr>
              <w:footnoteReference w:id="549"/>
            </w:r>
          </w:p>
        </w:tc>
        <w:tc>
          <w:tcPr>
            <w:tcW w:w="1276" w:type="dxa"/>
          </w:tcPr>
          <w:p w:rsidR="00B27BE5" w:rsidRPr="00B27BE5" w:rsidRDefault="00B27BE5" w:rsidP="00B27BE5">
            <w:r w:rsidRPr="00883125">
              <w:t>2001-2010</w:t>
            </w:r>
          </w:p>
        </w:tc>
        <w:tc>
          <w:tcPr>
            <w:tcW w:w="5448" w:type="dxa"/>
          </w:tcPr>
          <w:p w:rsidR="00B27BE5" w:rsidRPr="00B27BE5" w:rsidRDefault="00B27BE5" w:rsidP="00B27BE5">
            <w:r w:rsidRPr="00883125">
              <w:t>Study commissioned by the Australian Competition Tribunal.</w:t>
            </w:r>
          </w:p>
        </w:tc>
      </w:tr>
      <w:tr w:rsidR="00B27BE5" w:rsidTr="00B27BE5">
        <w:trPr>
          <w:cantSplit/>
        </w:trPr>
        <w:tc>
          <w:tcPr>
            <w:tcW w:w="2518" w:type="dxa"/>
          </w:tcPr>
          <w:p w:rsidR="00B27BE5" w:rsidRPr="00B27BE5" w:rsidRDefault="00B27BE5" w:rsidP="00B27BE5">
            <w:r w:rsidRPr="00883125">
              <w:t>Minney (2010)</w:t>
            </w:r>
            <w:r w:rsidRPr="00B27BE5">
              <w:rPr>
                <w:rStyle w:val="FootnoteReference"/>
              </w:rPr>
              <w:footnoteReference w:id="550"/>
            </w:r>
          </w:p>
        </w:tc>
        <w:tc>
          <w:tcPr>
            <w:tcW w:w="1276" w:type="dxa"/>
          </w:tcPr>
          <w:p w:rsidR="00B27BE5" w:rsidRPr="00B27BE5" w:rsidRDefault="00B27BE5" w:rsidP="00B27BE5">
            <w:r w:rsidRPr="00883125">
              <w:t>2001–2009</w:t>
            </w:r>
          </w:p>
        </w:tc>
        <w:tc>
          <w:tcPr>
            <w:tcW w:w="5448" w:type="dxa"/>
          </w:tcPr>
          <w:p w:rsidR="00B27BE5" w:rsidRPr="00B27BE5" w:rsidRDefault="00B27BE5" w:rsidP="00B27BE5">
            <w:r w:rsidRPr="00883125">
              <w:t xml:space="preserve">Partitions by firm size; </w:t>
            </w:r>
            <w:r w:rsidRPr="00B27BE5">
              <w:t>sub-periods 2001–2005 and 2006–2009.</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tcW w:w="2518" w:type="dxa"/>
          </w:tcPr>
          <w:p w:rsidR="00B27BE5" w:rsidRPr="00B27BE5" w:rsidRDefault="00B27BE5" w:rsidP="00B27BE5">
            <w:r w:rsidRPr="00883125">
              <w:t>Beggs and Skeels (2006)</w:t>
            </w:r>
            <w:r w:rsidRPr="00B27BE5">
              <w:rPr>
                <w:rStyle w:val="FootnoteReference"/>
              </w:rPr>
              <w:footnoteReference w:id="551"/>
            </w:r>
          </w:p>
        </w:tc>
        <w:tc>
          <w:tcPr>
            <w:tcW w:w="1276" w:type="dxa"/>
          </w:tcPr>
          <w:p w:rsidR="00B27BE5" w:rsidRPr="00B27BE5" w:rsidRDefault="00B27BE5" w:rsidP="00B27BE5">
            <w:r w:rsidRPr="00883125">
              <w:t>1986-2004</w:t>
            </w:r>
          </w:p>
        </w:tc>
        <w:tc>
          <w:tcPr>
            <w:tcW w:w="5448" w:type="dxa"/>
          </w:tcPr>
          <w:p w:rsidR="00B27BE5" w:rsidRPr="00B27BE5" w:rsidRDefault="00B27BE5" w:rsidP="00B27BE5">
            <w:r w:rsidRPr="00883125">
              <w:t>Key study in the AER's 2009 review of rate of return parameters. Data calculated yearly.</w:t>
            </w:r>
          </w:p>
        </w:tc>
      </w:tr>
      <w:tr w:rsidR="00B27BE5" w:rsidTr="00B27BE5">
        <w:trPr>
          <w:cantSplit/>
        </w:trPr>
        <w:tc>
          <w:tcPr>
            <w:tcW w:w="2518" w:type="dxa"/>
          </w:tcPr>
          <w:p w:rsidR="00B27BE5" w:rsidRPr="00B27BE5" w:rsidRDefault="00B27BE5" w:rsidP="00B27BE5">
            <w:r w:rsidRPr="00883125">
              <w:t>Hathaway and Officer (2004)</w:t>
            </w:r>
            <w:r w:rsidRPr="00B27BE5">
              <w:rPr>
                <w:rStyle w:val="FootnoteReference"/>
              </w:rPr>
              <w:footnoteReference w:id="552"/>
            </w:r>
          </w:p>
        </w:tc>
        <w:tc>
          <w:tcPr>
            <w:tcW w:w="1276" w:type="dxa"/>
          </w:tcPr>
          <w:p w:rsidR="00B27BE5" w:rsidRPr="00B27BE5" w:rsidRDefault="00B27BE5" w:rsidP="00B27BE5">
            <w:r w:rsidRPr="00883125">
              <w:t>1986-2004</w:t>
            </w:r>
          </w:p>
        </w:tc>
        <w:tc>
          <w:tcPr>
            <w:tcW w:w="5448" w:type="dxa"/>
          </w:tcPr>
          <w:p w:rsidR="00B27BE5" w:rsidRPr="00B27BE5" w:rsidRDefault="00B27BE5" w:rsidP="00B27BE5">
            <w:r w:rsidRPr="00883125">
              <w:t>Study partitions by firm size, dividend yield level.</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tcW w:w="2518" w:type="dxa"/>
          </w:tcPr>
          <w:p w:rsidR="00B27BE5" w:rsidRPr="00B27BE5" w:rsidRDefault="00B27BE5" w:rsidP="00B27BE5">
            <w:r w:rsidRPr="00883125">
              <w:lastRenderedPageBreak/>
              <w:t>Bellamy and Gray (2004)</w:t>
            </w:r>
            <w:r w:rsidRPr="00B27BE5">
              <w:rPr>
                <w:rStyle w:val="FootnoteReference"/>
              </w:rPr>
              <w:footnoteReference w:id="553"/>
            </w:r>
          </w:p>
        </w:tc>
        <w:tc>
          <w:tcPr>
            <w:tcW w:w="1276" w:type="dxa"/>
          </w:tcPr>
          <w:p w:rsidR="00B27BE5" w:rsidRPr="00B27BE5" w:rsidRDefault="00B27BE5" w:rsidP="00B27BE5">
            <w:r w:rsidRPr="00883125">
              <w:t>1995-2002</w:t>
            </w:r>
          </w:p>
        </w:tc>
        <w:tc>
          <w:tcPr>
            <w:tcW w:w="5448" w:type="dxa"/>
          </w:tcPr>
          <w:p w:rsidR="00B27BE5" w:rsidRPr="00B27BE5" w:rsidRDefault="00B27BE5" w:rsidP="00B27BE5">
            <w:r w:rsidRPr="00883125">
              <w:t>Several regression forms and sample selections. Partitions by size and time period (pre and post 45-day holding rule). Use of simulation to inform regression equation.</w:t>
            </w:r>
          </w:p>
        </w:tc>
      </w:tr>
      <w:tr w:rsidR="00B27BE5" w:rsidTr="00B27BE5">
        <w:trPr>
          <w:cantSplit/>
        </w:trPr>
        <w:tc>
          <w:tcPr>
            <w:tcW w:w="2518" w:type="dxa"/>
          </w:tcPr>
          <w:p w:rsidR="00B27BE5" w:rsidRPr="00B27BE5" w:rsidRDefault="00B27BE5" w:rsidP="00B27BE5">
            <w:r w:rsidRPr="00883125">
              <w:t>Bruckner et al (1994)</w:t>
            </w:r>
            <w:r w:rsidRPr="00B27BE5">
              <w:rPr>
                <w:rStyle w:val="FootnoteReference"/>
              </w:rPr>
              <w:footnoteReference w:id="554"/>
            </w:r>
          </w:p>
        </w:tc>
        <w:tc>
          <w:tcPr>
            <w:tcW w:w="1276" w:type="dxa"/>
          </w:tcPr>
          <w:p w:rsidR="00B27BE5" w:rsidRPr="00B27BE5" w:rsidRDefault="00B27BE5" w:rsidP="00B27BE5">
            <w:r w:rsidRPr="00883125">
              <w:t>1987-1993</w:t>
            </w:r>
          </w:p>
        </w:tc>
        <w:tc>
          <w:tcPr>
            <w:tcW w:w="5448" w:type="dxa"/>
          </w:tcPr>
          <w:p w:rsidR="00B27BE5" w:rsidRPr="00B27BE5" w:rsidRDefault="00B27BE5" w:rsidP="00B27BE5">
            <w:r w:rsidRPr="00883125">
              <w:t>Early study with limited data; sub-periods 1987–1990 and 1991–1993.</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tcW w:w="2518" w:type="dxa"/>
          </w:tcPr>
          <w:p w:rsidR="00B27BE5" w:rsidRPr="00B27BE5" w:rsidRDefault="00B27BE5" w:rsidP="00B27BE5">
            <w:r w:rsidRPr="00883125">
              <w:t>Brown and Clarke (1993)</w:t>
            </w:r>
            <w:r w:rsidRPr="00B27BE5">
              <w:rPr>
                <w:rStyle w:val="FootnoteReference"/>
              </w:rPr>
              <w:footnoteReference w:id="555"/>
            </w:r>
          </w:p>
        </w:tc>
        <w:tc>
          <w:tcPr>
            <w:tcW w:w="1276" w:type="dxa"/>
          </w:tcPr>
          <w:p w:rsidR="00B27BE5" w:rsidRPr="00B27BE5" w:rsidRDefault="00B27BE5" w:rsidP="00B27BE5">
            <w:r w:rsidRPr="00883125">
              <w:t>1973–1991</w:t>
            </w:r>
          </w:p>
        </w:tc>
        <w:tc>
          <w:tcPr>
            <w:tcW w:w="5448" w:type="dxa"/>
          </w:tcPr>
          <w:p w:rsidR="00B27BE5" w:rsidRPr="00B27BE5" w:rsidRDefault="00B27BE5" w:rsidP="00B27BE5">
            <w:r w:rsidRPr="00883125">
              <w:t>Compares dividend drop off before and after imputation; presents yearly figures and sub-periods.</w:t>
            </w:r>
          </w:p>
        </w:tc>
      </w:tr>
    </w:tbl>
    <w:p w:rsidR="00B27BE5" w:rsidRPr="00883125" w:rsidRDefault="00B27BE5" w:rsidP="00B27BE5">
      <w:pPr>
        <w:pStyle w:val="AERtablesource"/>
      </w:pPr>
      <w:r w:rsidRPr="00883125">
        <w:t xml:space="preserve">Source: </w:t>
      </w:r>
      <w:r w:rsidRPr="00883125">
        <w:tab/>
        <w:t>As specified in table.</w:t>
      </w:r>
    </w:p>
    <w:p w:rsidR="00B27BE5" w:rsidRPr="00883125" w:rsidRDefault="00B27BE5" w:rsidP="00B27BE5">
      <w:pPr>
        <w:pStyle w:val="HeadingBoldBlue"/>
        <w:numPr>
          <w:ilvl w:val="0"/>
          <w:numId w:val="24"/>
        </w:numPr>
      </w:pPr>
      <w:r w:rsidRPr="00883125">
        <w:t>Alternative implied market value studies</w:t>
      </w:r>
    </w:p>
    <w:p w:rsidR="00B27BE5" w:rsidRPr="00883125" w:rsidRDefault="00B27BE5" w:rsidP="00B27BE5">
      <w:pPr>
        <w:numPr>
          <w:ilvl w:val="0"/>
          <w:numId w:val="24"/>
        </w:numPr>
      </w:pPr>
      <w:r w:rsidRPr="00883125">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these studies typically use simultaneous price differentials that make them less affected by general market movements. That is, the differentials should more accurately reflect the implied market value of the specific dividend event. Some examples of alternative market-based valuation approaches involve:</w:t>
      </w:r>
    </w:p>
    <w:p w:rsidR="00B27BE5" w:rsidRPr="00883125" w:rsidRDefault="00B27BE5" w:rsidP="00B27BE5">
      <w:pPr>
        <w:pStyle w:val="AERbulletlistfirststyle"/>
      </w:pPr>
      <w:r w:rsidRPr="00883125">
        <w:t>Simultaneous trading of shares with and without entitlements.</w:t>
      </w:r>
    </w:p>
    <w:p w:rsidR="00B27BE5" w:rsidRPr="00883125" w:rsidRDefault="00B27BE5" w:rsidP="00B27BE5">
      <w:pPr>
        <w:pStyle w:val="AERbulletlistfirststyle"/>
      </w:pPr>
      <w:r w:rsidRPr="00883125">
        <w:t>Simultaneous trading of derivatives and futures and of their underlying shares.</w:t>
      </w:r>
    </w:p>
    <w:p w:rsidR="00B27BE5" w:rsidRPr="00883125" w:rsidRDefault="00B27BE5" w:rsidP="00B27BE5">
      <w:pPr>
        <w:pStyle w:val="AERbulletlistfirststyle"/>
      </w:pPr>
      <w:r w:rsidRPr="00883125">
        <w:t>Hybrid securities which trade with imputation credits.</w:t>
      </w:r>
    </w:p>
    <w:p w:rsidR="00B27BE5" w:rsidRPr="00883125" w:rsidRDefault="00B27BE5" w:rsidP="00B27BE5">
      <w:pPr>
        <w:pStyle w:val="AERbulletlistfirststyle"/>
      </w:pPr>
      <w:r w:rsidRPr="00883125">
        <w:t>Comparison of the capital gains and (cash) dividend returns across time.</w:t>
      </w:r>
    </w:p>
    <w:p w:rsidR="00B27BE5" w:rsidRPr="00B27BE5" w:rsidRDefault="00B27BE5" w:rsidP="00B27BE5">
      <w:pPr>
        <w:rPr>
          <w:rStyle w:val="AERbody"/>
        </w:rPr>
      </w:pPr>
      <w:r w:rsidRPr="00B27BE5">
        <w:rPr>
          <w:rStyle w:val="AERbody"/>
        </w:rPr>
        <w:fldChar w:fldCharType="begin"/>
      </w:r>
      <w:r w:rsidRPr="00B27BE5">
        <w:rPr>
          <w:rStyle w:val="AERbody"/>
        </w:rPr>
        <w:instrText xml:space="preserve"> REF _Ref401075839 \h </w:instrText>
      </w:r>
      <w:r w:rsidRPr="00883125">
        <w:rPr>
          <w:rStyle w:val="AERbody"/>
        </w:rPr>
        <w:instrText xml:space="preserve"> \* MERGEFORMAT </w:instrText>
      </w:r>
      <w:r w:rsidRPr="00B27BE5">
        <w:rPr>
          <w:rStyle w:val="AERbody"/>
        </w:rPr>
      </w:r>
      <w:r w:rsidRPr="00B27BE5">
        <w:rPr>
          <w:rStyle w:val="AERbody"/>
        </w:rPr>
        <w:fldChar w:fldCharType="separate"/>
      </w:r>
      <w:r w:rsidR="00881794" w:rsidRPr="00164D25">
        <w:rPr>
          <w:rStyle w:val="AERbody"/>
        </w:rPr>
        <w:t>Table 4</w:t>
      </w:r>
      <w:r w:rsidR="00881794" w:rsidRPr="00164D25">
        <w:rPr>
          <w:rStyle w:val="AERbody"/>
        </w:rPr>
        <w:noBreakHyphen/>
        <w:t>16</w:t>
      </w:r>
      <w:r w:rsidRPr="00B27BE5">
        <w:rPr>
          <w:rStyle w:val="AERbody"/>
        </w:rPr>
        <w:fldChar w:fldCharType="end"/>
      </w:r>
      <w:r w:rsidRPr="00B27BE5">
        <w:rPr>
          <w:rStyle w:val="AERbody"/>
        </w:rPr>
        <w:t xml:space="preserve"> identifies the alternative implied market value studies that we are aware of, and describes the methodology of each study. The results from these studies are presented in</w:t>
      </w:r>
      <w:r w:rsidRPr="00883125">
        <w:rPr>
          <w:rStyle w:val="AERbody"/>
        </w:rPr>
        <w:t xml:space="preserve"> </w:t>
      </w:r>
      <w:r w:rsidRPr="00883125">
        <w:rPr>
          <w:rStyle w:val="AERbody"/>
        </w:rPr>
        <w:fldChar w:fldCharType="begin"/>
      </w:r>
      <w:r w:rsidRPr="00883125">
        <w:rPr>
          <w:rStyle w:val="AERbody"/>
        </w:rPr>
        <w:instrText xml:space="preserve"> REF _Ref449538408 \h </w:instrText>
      </w:r>
      <w:r w:rsidRPr="00883125">
        <w:rPr>
          <w:rStyle w:val="AERbody"/>
        </w:rPr>
      </w:r>
      <w:r w:rsidRPr="00883125">
        <w:rPr>
          <w:rStyle w:val="AERbody"/>
        </w:rPr>
        <w:fldChar w:fldCharType="separate"/>
      </w:r>
      <w:r w:rsidR="00881794" w:rsidRPr="00883125">
        <w:t xml:space="preserve">Table </w:t>
      </w:r>
      <w:r w:rsidR="00881794">
        <w:rPr>
          <w:noProof/>
        </w:rPr>
        <w:t>4</w:t>
      </w:r>
      <w:r w:rsidR="00881794">
        <w:noBreakHyphen/>
      </w:r>
      <w:r w:rsidR="00881794">
        <w:rPr>
          <w:noProof/>
        </w:rPr>
        <w:t>18</w:t>
      </w:r>
      <w:r w:rsidRPr="00883125">
        <w:rPr>
          <w:rStyle w:val="AERbody"/>
        </w:rPr>
        <w:fldChar w:fldCharType="end"/>
      </w:r>
      <w:r w:rsidRPr="00883125">
        <w:rPr>
          <w:rStyle w:val="AERbody"/>
        </w:rPr>
        <w:t>.</w:t>
      </w:r>
    </w:p>
    <w:p w:rsidR="00B27BE5" w:rsidRPr="00883125" w:rsidRDefault="00B27BE5" w:rsidP="00B27BE5">
      <w:pPr>
        <w:pStyle w:val="Caption"/>
      </w:pPr>
      <w:bookmarkStart w:id="184" w:name="_Ref401075839"/>
      <w:r w:rsidRPr="00883125">
        <w:lastRenderedPageBreak/>
        <w:t xml:space="preserve">Table </w:t>
      </w:r>
      <w:r w:rsidR="004B4BF3">
        <w:fldChar w:fldCharType="begin"/>
      </w:r>
      <w:r w:rsidR="004B4BF3">
        <w:instrText xml:space="preserve"> STYLEREF 1 \s </w:instrText>
      </w:r>
      <w:r w:rsidR="004B4BF3">
        <w:fldChar w:fldCharType="separate"/>
      </w:r>
      <w:r w:rsidR="00881794">
        <w:rPr>
          <w:noProof/>
        </w:rPr>
        <w:t>4</w:t>
      </w:r>
      <w:r w:rsidR="004B4BF3">
        <w:rPr>
          <w:noProof/>
        </w:rPr>
        <w:fldChar w:fldCharType="end"/>
      </w:r>
      <w:r>
        <w:noBreakHyphen/>
      </w:r>
      <w:r w:rsidR="004B4BF3">
        <w:fldChar w:fldCharType="begin"/>
      </w:r>
      <w:r w:rsidR="004B4BF3">
        <w:instrText xml:space="preserve"> SEQ Table \* ARABIC \s 1 </w:instrText>
      </w:r>
      <w:r w:rsidR="004B4BF3">
        <w:fldChar w:fldCharType="separate"/>
      </w:r>
      <w:r w:rsidR="00881794">
        <w:rPr>
          <w:noProof/>
        </w:rPr>
        <w:t>16</w:t>
      </w:r>
      <w:r w:rsidR="004B4BF3">
        <w:rPr>
          <w:noProof/>
        </w:rPr>
        <w:fldChar w:fldCharType="end"/>
      </w:r>
      <w:bookmarkEnd w:id="184"/>
      <w:r w:rsidRPr="00883125">
        <w:tab/>
        <w:t>Summary of alternative implied market value studies</w:t>
      </w:r>
    </w:p>
    <w:tbl>
      <w:tblPr>
        <w:tblStyle w:val="AERtable-text0"/>
        <w:tblW w:w="0" w:type="auto"/>
        <w:tblLook w:val="04A0" w:firstRow="1" w:lastRow="0" w:firstColumn="1" w:lastColumn="0" w:noHBand="0" w:noVBand="1"/>
      </w:tblPr>
      <w:tblGrid>
        <w:gridCol w:w="2683"/>
        <w:gridCol w:w="1111"/>
        <w:gridCol w:w="5448"/>
      </w:tblGrid>
      <w:tr w:rsidR="00B27BE5" w:rsidTr="00B27BE5">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B27BE5" w:rsidRPr="00883125" w:rsidRDefault="00B27BE5" w:rsidP="00B27BE5">
            <w:pPr>
              <w:numPr>
                <w:ilvl w:val="0"/>
                <w:numId w:val="24"/>
              </w:numPr>
            </w:pPr>
            <w:r w:rsidRPr="00883125">
              <w:t>Authors</w:t>
            </w:r>
          </w:p>
        </w:tc>
        <w:tc>
          <w:tcPr>
            <w:tcW w:w="1111" w:type="dxa"/>
          </w:tcPr>
          <w:p w:rsidR="00B27BE5" w:rsidRPr="00883125" w:rsidRDefault="00B27BE5" w:rsidP="00B27BE5">
            <w:pPr>
              <w:numPr>
                <w:ilvl w:val="0"/>
                <w:numId w:val="24"/>
              </w:numPr>
            </w:pPr>
            <w:r w:rsidRPr="00883125">
              <w:t>Data range</w:t>
            </w:r>
          </w:p>
        </w:tc>
        <w:tc>
          <w:tcPr>
            <w:tcW w:w="5448" w:type="dxa"/>
          </w:tcPr>
          <w:p w:rsidR="00B27BE5" w:rsidRPr="00883125" w:rsidRDefault="00B27BE5" w:rsidP="00B27BE5">
            <w:pPr>
              <w:numPr>
                <w:ilvl w:val="0"/>
                <w:numId w:val="24"/>
              </w:numPr>
            </w:pPr>
            <w:r w:rsidRPr="00883125">
              <w:t>Assessment relative to other studies in that class</w:t>
            </w:r>
          </w:p>
        </w:tc>
      </w:tr>
      <w:tr w:rsidR="00B27BE5" w:rsidTr="00B27BE5">
        <w:trPr>
          <w:cantSplit/>
        </w:trPr>
        <w:tc>
          <w:tcPr>
            <w:tcW w:w="9242" w:type="dxa"/>
            <w:gridSpan w:val="3"/>
          </w:tcPr>
          <w:p w:rsidR="00B27BE5" w:rsidRPr="00883125" w:rsidRDefault="00B27BE5" w:rsidP="00B27BE5">
            <w:pPr>
              <w:numPr>
                <w:ilvl w:val="0"/>
                <w:numId w:val="24"/>
              </w:numPr>
            </w:pPr>
            <w:r w:rsidRPr="00883125">
              <w:rPr>
                <w:rStyle w:val="Strong"/>
              </w:rPr>
              <w:t>Dividend drop off using hybrids</w:t>
            </w:r>
            <w:r w:rsidRPr="00883125">
              <w:t xml:space="preserve"> – Similar to standard DDO but using debt/equity hybrid securities.</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tcW w:w="2683" w:type="dxa"/>
          </w:tcPr>
          <w:p w:rsidR="00B27BE5" w:rsidRPr="00B27BE5" w:rsidRDefault="00B27BE5" w:rsidP="00B27BE5">
            <w:r w:rsidRPr="00883125">
              <w:t>Feuerherdt et al (2010)</w:t>
            </w:r>
            <w:r w:rsidRPr="00B27BE5">
              <w:rPr>
                <w:rStyle w:val="FootnoteReference"/>
              </w:rPr>
              <w:footnoteReference w:id="556"/>
            </w:r>
          </w:p>
        </w:tc>
        <w:tc>
          <w:tcPr>
            <w:tcW w:w="1111" w:type="dxa"/>
          </w:tcPr>
          <w:p w:rsidR="00B27BE5" w:rsidRPr="00B27BE5" w:rsidRDefault="00B27BE5" w:rsidP="00B27BE5">
            <w:r w:rsidRPr="00883125">
              <w:t>1995–2002</w:t>
            </w:r>
          </w:p>
        </w:tc>
        <w:tc>
          <w:tcPr>
            <w:tcW w:w="5448" w:type="dxa"/>
          </w:tcPr>
          <w:p w:rsidR="00B27BE5" w:rsidRPr="00B27BE5" w:rsidRDefault="00B27BE5" w:rsidP="00B27BE5">
            <w:r w:rsidRPr="00883125">
              <w:t>Uses hybrid securities (such as convertible preference shares), 165 ex-dividend events for 46 securities which are primarily fully franked.</w:t>
            </w:r>
          </w:p>
        </w:tc>
      </w:tr>
      <w:tr w:rsidR="00B27BE5" w:rsidTr="00B27BE5">
        <w:trPr>
          <w:cantSplit/>
        </w:trPr>
        <w:tc>
          <w:tcPr>
            <w:tcW w:w="9242" w:type="dxa"/>
            <w:gridSpan w:val="3"/>
          </w:tcPr>
          <w:p w:rsidR="00B27BE5" w:rsidRPr="00883125" w:rsidRDefault="00B27BE5" w:rsidP="00B27BE5">
            <w:pPr>
              <w:numPr>
                <w:ilvl w:val="0"/>
                <w:numId w:val="24"/>
              </w:numPr>
            </w:pPr>
            <w:r w:rsidRPr="00883125">
              <w:rPr>
                <w:rStyle w:val="Strong"/>
              </w:rPr>
              <w:t>Futures study (using individual firms or index)</w:t>
            </w:r>
            <w:r w:rsidRPr="00883125">
              <w:t xml:space="preserve"> – Compare simultaneous prices for securities and futures contracts.</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tcW w:w="2683" w:type="dxa"/>
          </w:tcPr>
          <w:p w:rsidR="00B27BE5" w:rsidRPr="00B27BE5" w:rsidRDefault="00B27BE5" w:rsidP="00B27BE5">
            <w:r w:rsidRPr="00883125">
              <w:t>SFG (2013b)</w:t>
            </w:r>
            <w:r w:rsidRPr="00B27BE5">
              <w:rPr>
                <w:rStyle w:val="FootnoteReference"/>
              </w:rPr>
              <w:footnoteReference w:id="557"/>
            </w:r>
          </w:p>
        </w:tc>
        <w:tc>
          <w:tcPr>
            <w:tcW w:w="1111" w:type="dxa"/>
          </w:tcPr>
          <w:p w:rsidR="00B27BE5" w:rsidRPr="00B27BE5" w:rsidRDefault="00B27BE5" w:rsidP="00B27BE5">
            <w:r w:rsidRPr="00883125">
              <w:t>2000–2013</w:t>
            </w:r>
          </w:p>
        </w:tc>
        <w:tc>
          <w:tcPr>
            <w:tcW w:w="5448" w:type="dxa"/>
          </w:tcPr>
          <w:p w:rsidR="00B27BE5" w:rsidRPr="00B27BE5" w:rsidRDefault="00B27BE5" w:rsidP="00B27BE5">
            <w:r w:rsidRPr="00883125">
              <w:t>Updates Cannavan et al (2004). Compares matched trades in individual shares to futures contracts and low exercise price options for 98 firms (over 52,000 trades).</w:t>
            </w:r>
          </w:p>
        </w:tc>
      </w:tr>
      <w:tr w:rsidR="00B27BE5" w:rsidTr="00B27BE5">
        <w:trPr>
          <w:cantSplit/>
        </w:trPr>
        <w:tc>
          <w:tcPr>
            <w:tcW w:w="2683" w:type="dxa"/>
          </w:tcPr>
          <w:p w:rsidR="00B27BE5" w:rsidRPr="00B27BE5" w:rsidRDefault="00B27BE5" w:rsidP="00B27BE5">
            <w:r w:rsidRPr="00883125">
              <w:t>Cannavan et al (2004)</w:t>
            </w:r>
            <w:r w:rsidRPr="00B27BE5">
              <w:rPr>
                <w:rStyle w:val="FootnoteReference"/>
              </w:rPr>
              <w:footnoteReference w:id="558"/>
            </w:r>
          </w:p>
        </w:tc>
        <w:tc>
          <w:tcPr>
            <w:tcW w:w="1111" w:type="dxa"/>
          </w:tcPr>
          <w:p w:rsidR="00B27BE5" w:rsidRPr="00B27BE5" w:rsidRDefault="00B27BE5" w:rsidP="00B27BE5">
            <w:r w:rsidRPr="00883125">
              <w:t>1994–1999</w:t>
            </w:r>
          </w:p>
        </w:tc>
        <w:tc>
          <w:tcPr>
            <w:tcW w:w="5448" w:type="dxa"/>
          </w:tcPr>
          <w:p w:rsidR="00B27BE5" w:rsidRPr="00B27BE5" w:rsidRDefault="00B27BE5" w:rsidP="00B27BE5">
            <w:r w:rsidRPr="00883125">
              <w:t>Uses matched trades (four minute window) in individual shares and futures contracts for 19 firms (over 14,000 trades). Sub-periods 1994–1997 and 1997–1999.</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tcW w:w="2683" w:type="dxa"/>
          </w:tcPr>
          <w:p w:rsidR="00B27BE5" w:rsidRPr="00B27BE5" w:rsidRDefault="00B27BE5" w:rsidP="00B27BE5">
            <w:r w:rsidRPr="00883125">
              <w:t>Cummings and Frino (2008)</w:t>
            </w:r>
            <w:r w:rsidRPr="00B27BE5">
              <w:rPr>
                <w:rStyle w:val="FootnoteReference"/>
              </w:rPr>
              <w:footnoteReference w:id="559"/>
            </w:r>
          </w:p>
        </w:tc>
        <w:tc>
          <w:tcPr>
            <w:tcW w:w="1111" w:type="dxa"/>
          </w:tcPr>
          <w:p w:rsidR="00B27BE5" w:rsidRPr="00B27BE5" w:rsidRDefault="00B27BE5" w:rsidP="00B27BE5">
            <w:r w:rsidRPr="00883125">
              <w:t>2002-2005</w:t>
            </w:r>
          </w:p>
        </w:tc>
        <w:tc>
          <w:tcPr>
            <w:tcW w:w="5448" w:type="dxa"/>
          </w:tcPr>
          <w:p w:rsidR="00B27BE5" w:rsidRPr="00B27BE5" w:rsidRDefault="00B27BE5" w:rsidP="00B27BE5">
            <w:r w:rsidRPr="00883125">
              <w:t xml:space="preserve">Uses entire ASX200 index (rather than specific firms) and futures over the index, distinct from other studies in this class (which use individual shares). </w:t>
            </w:r>
          </w:p>
        </w:tc>
      </w:tr>
      <w:tr w:rsidR="00B27BE5" w:rsidTr="00B27BE5">
        <w:trPr>
          <w:cantSplit/>
        </w:trPr>
        <w:tc>
          <w:tcPr>
            <w:tcW w:w="9242" w:type="dxa"/>
            <w:gridSpan w:val="3"/>
          </w:tcPr>
          <w:p w:rsidR="00B27BE5" w:rsidRPr="00883125" w:rsidRDefault="00B27BE5" w:rsidP="00B27BE5">
            <w:pPr>
              <w:numPr>
                <w:ilvl w:val="0"/>
                <w:numId w:val="24"/>
              </w:numPr>
            </w:pPr>
            <w:r w:rsidRPr="00883125">
              <w:rPr>
                <w:rStyle w:val="Strong"/>
              </w:rPr>
              <w:t>Rate of return study</w:t>
            </w:r>
            <w:r w:rsidRPr="00883125">
              <w:t xml:space="preserve"> – Compare past returns (capital gains and cash dividends) or future returns (dividend forecasts).</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tcW w:w="2683" w:type="dxa"/>
          </w:tcPr>
          <w:p w:rsidR="00B27BE5" w:rsidRPr="00B27BE5" w:rsidRDefault="00B27BE5" w:rsidP="00B27BE5">
            <w:r w:rsidRPr="00883125">
              <w:t>NERA (2013b)</w:t>
            </w:r>
            <w:r w:rsidRPr="00B27BE5">
              <w:rPr>
                <w:rStyle w:val="FootnoteReference"/>
              </w:rPr>
              <w:footnoteReference w:id="560"/>
            </w:r>
          </w:p>
        </w:tc>
        <w:tc>
          <w:tcPr>
            <w:tcW w:w="1111" w:type="dxa"/>
          </w:tcPr>
          <w:p w:rsidR="00B27BE5" w:rsidRPr="00B27BE5" w:rsidRDefault="00B27BE5" w:rsidP="00B27BE5">
            <w:r w:rsidRPr="00883125">
              <w:t>1987–2012</w:t>
            </w:r>
          </w:p>
        </w:tc>
        <w:tc>
          <w:tcPr>
            <w:tcW w:w="5448" w:type="dxa"/>
          </w:tcPr>
          <w:p w:rsidR="00B27BE5" w:rsidRPr="00B27BE5" w:rsidRDefault="00B27BE5" w:rsidP="00B27BE5">
            <w:r w:rsidRPr="00883125">
              <w:t>Updates the Lajbcygier and Wheatley paper; same author and more relevant data set. Sub-period splits 1987–2000 and 2000–2012.</w:t>
            </w:r>
          </w:p>
        </w:tc>
      </w:tr>
      <w:tr w:rsidR="00B27BE5" w:rsidTr="00B27BE5">
        <w:trPr>
          <w:cantSplit/>
        </w:trPr>
        <w:tc>
          <w:tcPr>
            <w:tcW w:w="2683" w:type="dxa"/>
          </w:tcPr>
          <w:p w:rsidR="00B27BE5" w:rsidRPr="00B27BE5" w:rsidRDefault="00B27BE5" w:rsidP="00B27BE5">
            <w:r w:rsidRPr="00883125">
              <w:t>Lajbcygier and Wheatley (2012)</w:t>
            </w:r>
            <w:r w:rsidRPr="00B27BE5">
              <w:rPr>
                <w:rStyle w:val="FootnoteReference"/>
              </w:rPr>
              <w:footnoteReference w:id="561"/>
            </w:r>
          </w:p>
        </w:tc>
        <w:tc>
          <w:tcPr>
            <w:tcW w:w="1111" w:type="dxa"/>
          </w:tcPr>
          <w:p w:rsidR="00B27BE5" w:rsidRPr="00B27BE5" w:rsidRDefault="00B27BE5" w:rsidP="00B27BE5">
            <w:r w:rsidRPr="00883125">
              <w:t>1987–2009</w:t>
            </w:r>
          </w:p>
        </w:tc>
        <w:tc>
          <w:tcPr>
            <w:tcW w:w="5448" w:type="dxa"/>
          </w:tcPr>
          <w:p w:rsidR="00B27BE5" w:rsidRPr="00B27BE5" w:rsidRDefault="00B27BE5" w:rsidP="00B27BE5">
            <w:r w:rsidRPr="00883125">
              <w:t>Compares current prices to past returns from capital gains and dividends. Includes sub-periods from 1987–2000 and 2000-2009.</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tcW w:w="2683" w:type="dxa"/>
          </w:tcPr>
          <w:p w:rsidR="00B27BE5" w:rsidRPr="00B27BE5" w:rsidRDefault="00B27BE5" w:rsidP="00B27BE5">
            <w:r w:rsidRPr="00883125">
              <w:t>Siau et al (2013)</w:t>
            </w:r>
            <w:r w:rsidRPr="00B27BE5">
              <w:rPr>
                <w:rStyle w:val="FootnoteReference"/>
              </w:rPr>
              <w:footnoteReference w:id="562"/>
            </w:r>
          </w:p>
        </w:tc>
        <w:tc>
          <w:tcPr>
            <w:tcW w:w="1111" w:type="dxa"/>
          </w:tcPr>
          <w:p w:rsidR="00B27BE5" w:rsidRPr="00B27BE5" w:rsidRDefault="00B27BE5" w:rsidP="00B27BE5">
            <w:r w:rsidRPr="00883125">
              <w:t>1996–2011</w:t>
            </w:r>
          </w:p>
        </w:tc>
        <w:tc>
          <w:tcPr>
            <w:tcW w:w="5448" w:type="dxa"/>
          </w:tcPr>
          <w:p w:rsidR="00B27BE5" w:rsidRPr="00B27BE5" w:rsidRDefault="00B27BE5" w:rsidP="00B27BE5">
            <w:r w:rsidRPr="00883125">
              <w:t xml:space="preserve">Compares current prices to expected future returns. Uses ASX300 index firms and consensus analyst dividend forecasts. </w:t>
            </w:r>
          </w:p>
        </w:tc>
      </w:tr>
      <w:tr w:rsidR="00B27BE5" w:rsidTr="00B27BE5">
        <w:trPr>
          <w:cantSplit/>
        </w:trPr>
        <w:tc>
          <w:tcPr>
            <w:tcW w:w="2683" w:type="dxa"/>
          </w:tcPr>
          <w:p w:rsidR="00B27BE5" w:rsidRPr="00B27BE5" w:rsidRDefault="00B27BE5" w:rsidP="00B27BE5">
            <w:r w:rsidRPr="00883125">
              <w:t>Siau et al (2015)</w:t>
            </w:r>
            <w:r w:rsidRPr="00B27BE5">
              <w:rPr>
                <w:rStyle w:val="FootnoteReference"/>
              </w:rPr>
              <w:footnoteReference w:id="563"/>
            </w:r>
          </w:p>
        </w:tc>
        <w:tc>
          <w:tcPr>
            <w:tcW w:w="1111" w:type="dxa"/>
          </w:tcPr>
          <w:p w:rsidR="00B27BE5" w:rsidRPr="00B27BE5" w:rsidRDefault="00B27BE5" w:rsidP="00B27BE5">
            <w:r w:rsidRPr="00883125">
              <w:t>1996-2011</w:t>
            </w:r>
          </w:p>
        </w:tc>
        <w:tc>
          <w:tcPr>
            <w:tcW w:w="5448" w:type="dxa"/>
          </w:tcPr>
          <w:p w:rsidR="00B27BE5" w:rsidRPr="00B27BE5" w:rsidRDefault="00B27BE5" w:rsidP="00B27BE5">
            <w:r w:rsidRPr="00883125">
              <w:t xml:space="preserve">Journal published version of the 2013 paper by Siau et al with relatively minor editorial changes </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tcW w:w="2683" w:type="dxa"/>
          </w:tcPr>
          <w:p w:rsidR="00B27BE5" w:rsidRPr="00B27BE5" w:rsidRDefault="00B27BE5" w:rsidP="00B27BE5">
            <w:r w:rsidRPr="00883125">
              <w:t>NERA (2015)</w:t>
            </w:r>
            <w:r w:rsidRPr="00B27BE5">
              <w:rPr>
                <w:rStyle w:val="FootnoteReference"/>
              </w:rPr>
              <w:footnoteReference w:id="564"/>
            </w:r>
          </w:p>
        </w:tc>
        <w:tc>
          <w:tcPr>
            <w:tcW w:w="1111" w:type="dxa"/>
          </w:tcPr>
          <w:p w:rsidR="00B27BE5" w:rsidRPr="00B27BE5" w:rsidRDefault="00B27BE5" w:rsidP="00B27BE5">
            <w:r w:rsidRPr="00883125">
              <w:t>1987-2013</w:t>
            </w:r>
          </w:p>
        </w:tc>
        <w:tc>
          <w:tcPr>
            <w:tcW w:w="5448" w:type="dxa"/>
          </w:tcPr>
          <w:p w:rsidR="00B27BE5" w:rsidRPr="00B27BE5" w:rsidRDefault="00B27BE5" w:rsidP="00B27BE5">
            <w:r w:rsidRPr="00883125">
              <w:t>Updates the results of the Lajbcygier and Wheatley and NERA (2013) studies.</w:t>
            </w:r>
          </w:p>
        </w:tc>
      </w:tr>
      <w:tr w:rsidR="00B27BE5" w:rsidTr="00B27BE5">
        <w:trPr>
          <w:cantSplit/>
        </w:trPr>
        <w:tc>
          <w:tcPr>
            <w:tcW w:w="9242" w:type="dxa"/>
            <w:gridSpan w:val="3"/>
          </w:tcPr>
          <w:p w:rsidR="00B27BE5" w:rsidRPr="00883125" w:rsidRDefault="00B27BE5" w:rsidP="00B27BE5">
            <w:pPr>
              <w:numPr>
                <w:ilvl w:val="0"/>
                <w:numId w:val="24"/>
              </w:numPr>
            </w:pPr>
            <w:r w:rsidRPr="00883125">
              <w:rPr>
                <w:rStyle w:val="Strong"/>
              </w:rPr>
              <w:lastRenderedPageBreak/>
              <w:t>Simultaneous share trades</w:t>
            </w:r>
            <w:r w:rsidRPr="00883125">
              <w:t xml:space="preserve"> – Compare simultaneous prices for shares that are/are not entitled to imputation credits.</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tcW w:w="2683" w:type="dxa"/>
          </w:tcPr>
          <w:p w:rsidR="00B27BE5" w:rsidRPr="00B27BE5" w:rsidRDefault="00B27BE5" w:rsidP="00B27BE5">
            <w:r w:rsidRPr="00883125">
              <w:t>Chu and Partington (2008)</w:t>
            </w:r>
            <w:r w:rsidRPr="00B27BE5">
              <w:rPr>
                <w:rStyle w:val="FootnoteReference"/>
              </w:rPr>
              <w:footnoteReference w:id="565"/>
            </w:r>
          </w:p>
        </w:tc>
        <w:tc>
          <w:tcPr>
            <w:tcW w:w="1111" w:type="dxa"/>
          </w:tcPr>
          <w:p w:rsidR="00B27BE5" w:rsidRPr="00B27BE5" w:rsidRDefault="00B27BE5" w:rsidP="00B27BE5">
            <w:r w:rsidRPr="00883125">
              <w:t>1996</w:t>
            </w:r>
          </w:p>
        </w:tc>
        <w:tc>
          <w:tcPr>
            <w:tcW w:w="5448" w:type="dxa"/>
          </w:tcPr>
          <w:p w:rsidR="00B27BE5" w:rsidRPr="00B27BE5" w:rsidRDefault="00B27BE5" w:rsidP="00B27BE5">
            <w:r w:rsidRPr="00883125">
              <w:t xml:space="preserve">Uses shares trading in two forms (one with dividend, one without) as a result of the CRA bonus issue. 154 matched trades (one minute window) across 3 </w:t>
            </w:r>
            <w:r w:rsidRPr="00B27BE5">
              <w:t>months.</w:t>
            </w:r>
          </w:p>
        </w:tc>
      </w:tr>
      <w:tr w:rsidR="00B27BE5" w:rsidTr="00B27BE5">
        <w:trPr>
          <w:cantSplit/>
        </w:trPr>
        <w:tc>
          <w:tcPr>
            <w:tcW w:w="2683" w:type="dxa"/>
          </w:tcPr>
          <w:p w:rsidR="00B27BE5" w:rsidRPr="00B27BE5" w:rsidRDefault="00B27BE5" w:rsidP="00B27BE5">
            <w:r w:rsidRPr="00883125">
              <w:t>Chu and Partington (2001)</w:t>
            </w:r>
            <w:r w:rsidRPr="00B27BE5">
              <w:rPr>
                <w:rStyle w:val="FootnoteReference"/>
              </w:rPr>
              <w:footnoteReference w:id="566"/>
            </w:r>
          </w:p>
        </w:tc>
        <w:tc>
          <w:tcPr>
            <w:tcW w:w="1111" w:type="dxa"/>
          </w:tcPr>
          <w:p w:rsidR="00B27BE5" w:rsidRPr="00B27BE5" w:rsidRDefault="00B27BE5" w:rsidP="00B27BE5">
            <w:r w:rsidRPr="00883125">
              <w:t>1991–1999</w:t>
            </w:r>
          </w:p>
        </w:tc>
        <w:tc>
          <w:tcPr>
            <w:tcW w:w="5448" w:type="dxa"/>
          </w:tcPr>
          <w:p w:rsidR="00B27BE5" w:rsidRPr="00B27BE5" w:rsidDel="003D6627" w:rsidRDefault="00B27BE5" w:rsidP="00B27BE5">
            <w:r w:rsidRPr="00883125">
              <w:t>Uses shares trading simultaneously with and without dividend after certain rights issues - 3,356 trades (matched within a minute) from 26 rights issues for 23 firms.</w:t>
            </w:r>
          </w:p>
        </w:tc>
      </w:tr>
      <w:tr w:rsidR="00B27BE5" w:rsidTr="00B27BE5">
        <w:trPr>
          <w:cnfStyle w:val="000000010000" w:firstRow="0" w:lastRow="0" w:firstColumn="0" w:lastColumn="0" w:oddVBand="0" w:evenVBand="0" w:oddHBand="0" w:evenHBand="1" w:firstRowFirstColumn="0" w:firstRowLastColumn="0" w:lastRowFirstColumn="0" w:lastRowLastColumn="0"/>
          <w:cantSplit/>
        </w:trPr>
        <w:tc>
          <w:tcPr>
            <w:tcW w:w="2683" w:type="dxa"/>
          </w:tcPr>
          <w:p w:rsidR="00B27BE5" w:rsidRPr="00B27BE5" w:rsidRDefault="00B27BE5" w:rsidP="00B27BE5">
            <w:r w:rsidRPr="00883125">
              <w:t>Walker and Partington (1999)</w:t>
            </w:r>
            <w:r w:rsidRPr="00B27BE5">
              <w:rPr>
                <w:rStyle w:val="FootnoteReference"/>
              </w:rPr>
              <w:footnoteReference w:id="567"/>
            </w:r>
          </w:p>
        </w:tc>
        <w:tc>
          <w:tcPr>
            <w:tcW w:w="1111" w:type="dxa"/>
          </w:tcPr>
          <w:p w:rsidR="00B27BE5" w:rsidRPr="00B27BE5" w:rsidRDefault="00B27BE5" w:rsidP="00B27BE5">
            <w:r w:rsidRPr="00883125">
              <w:t>1995–1997</w:t>
            </w:r>
          </w:p>
        </w:tc>
        <w:tc>
          <w:tcPr>
            <w:tcW w:w="5448" w:type="dxa"/>
          </w:tcPr>
          <w:p w:rsidR="00B27BE5" w:rsidRPr="00B27BE5" w:rsidRDefault="00B27BE5" w:rsidP="00B27BE5">
            <w:r w:rsidRPr="00883125">
              <w:t>Looks at shares trading cum-dividend in the ex-dividend period. 1,015 data points (trades matched within a minute) for 93 ex-dividend events from 50 securities.</w:t>
            </w:r>
          </w:p>
        </w:tc>
      </w:tr>
    </w:tbl>
    <w:p w:rsidR="00B27BE5" w:rsidRPr="00883125" w:rsidRDefault="00B27BE5" w:rsidP="00B27BE5">
      <w:pPr>
        <w:pStyle w:val="AERtablesource"/>
      </w:pPr>
      <w:r w:rsidRPr="00883125">
        <w:t xml:space="preserve">Source: </w:t>
      </w:r>
      <w:r w:rsidRPr="00883125">
        <w:tab/>
        <w:t>As specified in table.</w:t>
      </w:r>
    </w:p>
    <w:p w:rsidR="00B27BE5" w:rsidRPr="00883125" w:rsidRDefault="00B27BE5" w:rsidP="00B27BE5">
      <w:pPr>
        <w:pStyle w:val="Heading9"/>
      </w:pPr>
      <w:bookmarkStart w:id="185" w:name="_Ref403482459"/>
      <w:r w:rsidRPr="00883125">
        <w:t>Estimates from implied market value studies</w:t>
      </w:r>
      <w:bookmarkEnd w:id="185"/>
    </w:p>
    <w:p w:rsidR="00B27BE5" w:rsidRPr="00883125" w:rsidRDefault="00B27BE5" w:rsidP="00B27BE5">
      <w:pPr>
        <w:numPr>
          <w:ilvl w:val="0"/>
          <w:numId w:val="24"/>
        </w:numPr>
      </w:pPr>
      <w:r w:rsidRPr="00883125">
        <w:t>This section presents the results from the available implied market value studies.</w:t>
      </w:r>
    </w:p>
    <w:p w:rsidR="00B27BE5" w:rsidRPr="00883125" w:rsidRDefault="00B27BE5" w:rsidP="00B27BE5">
      <w:pPr>
        <w:numPr>
          <w:ilvl w:val="0"/>
          <w:numId w:val="24"/>
        </w:numPr>
      </w:pPr>
      <w:r w:rsidRPr="00883125">
        <w:fldChar w:fldCharType="begin"/>
      </w:r>
      <w:r w:rsidRPr="00883125">
        <w:instrText xml:space="preserve"> REF _Ref401075676 \h </w:instrText>
      </w:r>
      <w:r w:rsidRPr="00883125">
        <w:fldChar w:fldCharType="separate"/>
      </w:r>
      <w:r w:rsidR="00881794" w:rsidRPr="00883125">
        <w:t xml:space="preserve">Table </w:t>
      </w:r>
      <w:r w:rsidR="00881794">
        <w:rPr>
          <w:noProof/>
        </w:rPr>
        <w:t>4</w:t>
      </w:r>
      <w:r w:rsidR="00881794">
        <w:noBreakHyphen/>
      </w:r>
      <w:r w:rsidR="00881794">
        <w:rPr>
          <w:noProof/>
        </w:rPr>
        <w:t>17</w:t>
      </w:r>
      <w:r w:rsidRPr="00883125">
        <w:fldChar w:fldCharType="end"/>
      </w:r>
      <w:r w:rsidRPr="00883125">
        <w:t xml:space="preserve"> reports estimates of the utilisation rate from the set of available dividend drop off studies. As a high level summary table, it attempts to report the single utilisation rate preferred by the authors for the scenario most relevant to our rate of return framework. The service providers consider the AER does not have regard to the estimation period for the market value studies and in particular to whether the analysis is based on pre or post 2000.</w:t>
      </w:r>
      <w:r w:rsidRPr="00883125">
        <w:rPr>
          <w:rStyle w:val="FootnoteReference"/>
        </w:rPr>
        <w:footnoteReference w:id="568"/>
      </w:r>
      <w:r w:rsidRPr="00883125">
        <w:t xml:space="preserve"> This is not true as seen in table 4.10 where the table separately reports results based on whether the underlying data is (primarily) from before or after 2000, when the change in tax law entitled eligible investors to a full refund of excess imputation credits. In the recent Tribunal decision, the Tribunal stated that the AER could have excluded earlier market based studies that were not relevant, such as the studies that were conducted on pre 2000 data.</w:t>
      </w:r>
      <w:r w:rsidRPr="00883125">
        <w:rPr>
          <w:rStyle w:val="FootnoteReference"/>
        </w:rPr>
        <w:footnoteReference w:id="569"/>
      </w:r>
    </w:p>
    <w:p w:rsidR="00B27BE5" w:rsidRPr="00883125" w:rsidRDefault="00B27BE5" w:rsidP="00B27BE5">
      <w:pPr>
        <w:numPr>
          <w:ilvl w:val="0"/>
          <w:numId w:val="24"/>
        </w:numPr>
      </w:pPr>
      <w:r w:rsidRPr="00883125">
        <w:lastRenderedPageBreak/>
        <w:t>When determining the point estimate from the range in the equity ownership approach (0.4 to 0.4</w:t>
      </w:r>
      <w:r w:rsidR="006C67CA">
        <w:t>1</w:t>
      </w:r>
      <w:r w:rsidRPr="00883125">
        <w:t xml:space="preserve">), the AER considers that studies post 2000 are more relevant, but still has regard to </w:t>
      </w:r>
      <w:r w:rsidR="006C67CA">
        <w:t xml:space="preserve"> </w:t>
      </w:r>
      <w:r w:rsidRPr="00883125">
        <w:t xml:space="preserve">pre 2000 studies. However, even if the AER was to completely disregard the pre 2000 studies this would not change the outcome of selecting the lowest point estimate in the range from the equity ownership approach. </w:t>
      </w:r>
    </w:p>
    <w:p w:rsidR="00B27BE5" w:rsidRPr="00B27BE5" w:rsidRDefault="00B27BE5" w:rsidP="00B27BE5">
      <w:r w:rsidRPr="00B27BE5">
        <w:fldChar w:fldCharType="begin"/>
      </w:r>
      <w:r w:rsidRPr="00B27BE5">
        <w:instrText xml:space="preserve"> REF _Ref449538408 \h </w:instrText>
      </w:r>
      <w:r w:rsidRPr="00B27BE5">
        <w:fldChar w:fldCharType="separate"/>
      </w:r>
      <w:r w:rsidR="00881794" w:rsidRPr="00883125">
        <w:t xml:space="preserve">Table </w:t>
      </w:r>
      <w:r w:rsidR="00881794">
        <w:rPr>
          <w:noProof/>
        </w:rPr>
        <w:t>4</w:t>
      </w:r>
      <w:r w:rsidR="00881794">
        <w:noBreakHyphen/>
      </w:r>
      <w:r w:rsidR="00881794">
        <w:rPr>
          <w:noProof/>
        </w:rPr>
        <w:t>18</w:t>
      </w:r>
      <w:r w:rsidRPr="00B27BE5">
        <w:fldChar w:fldCharType="end"/>
      </w:r>
      <w:r w:rsidRPr="00B27BE5">
        <w:t xml:space="preserve"> is the equivalent table for alternative implied market value studies. In this table, several results are recorded as 'N/A',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presented in the 'notes' column.</w:t>
      </w:r>
    </w:p>
    <w:p w:rsidR="00B27BE5" w:rsidRPr="00883125" w:rsidRDefault="00B27BE5" w:rsidP="00B27BE5">
      <w:pPr>
        <w:pStyle w:val="Caption"/>
      </w:pPr>
      <w:bookmarkStart w:id="186" w:name="_Ref401075676"/>
      <w:r w:rsidRPr="00883125">
        <w:t xml:space="preserve">Table </w:t>
      </w:r>
      <w:r w:rsidR="004B4BF3">
        <w:fldChar w:fldCharType="begin"/>
      </w:r>
      <w:r w:rsidR="004B4BF3">
        <w:instrText xml:space="preserve"> STYLEREF 1 \s </w:instrText>
      </w:r>
      <w:r w:rsidR="004B4BF3">
        <w:fldChar w:fldCharType="separate"/>
      </w:r>
      <w:r w:rsidR="00881794">
        <w:rPr>
          <w:noProof/>
        </w:rPr>
        <w:t>4</w:t>
      </w:r>
      <w:r w:rsidR="004B4BF3">
        <w:rPr>
          <w:noProof/>
        </w:rPr>
        <w:fldChar w:fldCharType="end"/>
      </w:r>
      <w:r>
        <w:noBreakHyphen/>
      </w:r>
      <w:r w:rsidR="004B4BF3">
        <w:fldChar w:fldCharType="begin"/>
      </w:r>
      <w:r w:rsidR="004B4BF3">
        <w:instrText xml:space="preserve"> SEQ Table \* ARABIC \s 1 </w:instrText>
      </w:r>
      <w:r w:rsidR="004B4BF3">
        <w:fldChar w:fldCharType="separate"/>
      </w:r>
      <w:r w:rsidR="00881794">
        <w:rPr>
          <w:noProof/>
        </w:rPr>
        <w:t>17</w:t>
      </w:r>
      <w:r w:rsidR="004B4BF3">
        <w:rPr>
          <w:noProof/>
        </w:rPr>
        <w:fldChar w:fldCharType="end"/>
      </w:r>
      <w:bookmarkEnd w:id="186"/>
      <w:r w:rsidRPr="00883125">
        <w:tab/>
        <w:t>Estimates of the utilisation rate from dividend drop off studies</w:t>
      </w:r>
    </w:p>
    <w:tbl>
      <w:tblPr>
        <w:tblStyle w:val="AERtable-text0"/>
        <w:tblW w:w="0" w:type="auto"/>
        <w:tblLayout w:type="fixed"/>
        <w:tblLook w:val="04A0" w:firstRow="1" w:lastRow="0" w:firstColumn="1" w:lastColumn="0" w:noHBand="0" w:noVBand="1"/>
      </w:tblPr>
      <w:tblGrid>
        <w:gridCol w:w="250"/>
        <w:gridCol w:w="142"/>
        <w:gridCol w:w="2835"/>
        <w:gridCol w:w="1346"/>
        <w:gridCol w:w="1347"/>
        <w:gridCol w:w="3260"/>
      </w:tblGrid>
      <w:tr w:rsidR="00B27BE5" w:rsidRPr="00222643" w:rsidTr="00B27BE5">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B27BE5" w:rsidRPr="00883125" w:rsidRDefault="00B27BE5" w:rsidP="00B27BE5"/>
        </w:tc>
        <w:tc>
          <w:tcPr>
            <w:tcW w:w="2835" w:type="dxa"/>
          </w:tcPr>
          <w:p w:rsidR="00B27BE5" w:rsidRPr="00B27BE5" w:rsidRDefault="00B27BE5" w:rsidP="00B27BE5">
            <w:r w:rsidRPr="00883125">
              <w:t>Authors</w:t>
            </w:r>
          </w:p>
        </w:tc>
        <w:tc>
          <w:tcPr>
            <w:tcW w:w="1346" w:type="dxa"/>
          </w:tcPr>
          <w:p w:rsidR="00B27BE5" w:rsidRPr="00B27BE5" w:rsidRDefault="00B27BE5" w:rsidP="00B27BE5">
            <w:r w:rsidRPr="00883125">
              <w:t>Pre-2000 results</w:t>
            </w:r>
          </w:p>
        </w:tc>
        <w:tc>
          <w:tcPr>
            <w:tcW w:w="1347" w:type="dxa"/>
          </w:tcPr>
          <w:p w:rsidR="00B27BE5" w:rsidRPr="00B27BE5" w:rsidRDefault="00B27BE5" w:rsidP="00B27BE5">
            <w:r w:rsidRPr="00883125">
              <w:t>Post-2000 results</w:t>
            </w:r>
          </w:p>
        </w:tc>
        <w:tc>
          <w:tcPr>
            <w:tcW w:w="3260" w:type="dxa"/>
          </w:tcPr>
          <w:p w:rsidR="00B27BE5" w:rsidRPr="00B27BE5" w:rsidRDefault="00B27BE5" w:rsidP="00B27BE5">
            <w:r w:rsidRPr="00883125">
              <w:t>Notes</w:t>
            </w:r>
          </w:p>
        </w:tc>
      </w:tr>
      <w:tr w:rsidR="00B27BE5" w:rsidRPr="00222643" w:rsidTr="00B27BE5">
        <w:trPr>
          <w:cantSplit/>
          <w:trHeight w:val="426"/>
        </w:trPr>
        <w:tc>
          <w:tcPr>
            <w:tcW w:w="3227" w:type="dxa"/>
            <w:gridSpan w:val="3"/>
          </w:tcPr>
          <w:p w:rsidR="00B27BE5" w:rsidRPr="00B27BE5" w:rsidRDefault="00B27BE5" w:rsidP="00B27BE5">
            <w:pPr>
              <w:rPr>
                <w:rStyle w:val="Strong"/>
              </w:rPr>
            </w:pPr>
            <w:r w:rsidRPr="00883125">
              <w:rPr>
                <w:rStyle w:val="Strong"/>
              </w:rPr>
              <w:t>Dividend drop off study</w:t>
            </w:r>
          </w:p>
        </w:tc>
        <w:tc>
          <w:tcPr>
            <w:tcW w:w="1346" w:type="dxa"/>
          </w:tcPr>
          <w:p w:rsidR="00B27BE5" w:rsidRPr="00883125" w:rsidRDefault="00B27BE5" w:rsidP="00B27BE5"/>
        </w:tc>
        <w:tc>
          <w:tcPr>
            <w:tcW w:w="1347" w:type="dxa"/>
          </w:tcPr>
          <w:p w:rsidR="00B27BE5" w:rsidRPr="00883125" w:rsidRDefault="00B27BE5" w:rsidP="00B27BE5"/>
        </w:tc>
        <w:tc>
          <w:tcPr>
            <w:tcW w:w="3260" w:type="dxa"/>
          </w:tcPr>
          <w:p w:rsidR="00B27BE5" w:rsidRPr="00883125" w:rsidRDefault="00B27BE5" w:rsidP="00B27BE5"/>
        </w:tc>
      </w:tr>
      <w:tr w:rsidR="00B27BE5" w:rsidRPr="00222643" w:rsidTr="00B27BE5">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B27BE5" w:rsidRPr="00883125" w:rsidRDefault="00B27BE5" w:rsidP="00B27BE5"/>
        </w:tc>
        <w:tc>
          <w:tcPr>
            <w:tcW w:w="2977" w:type="dxa"/>
            <w:gridSpan w:val="2"/>
          </w:tcPr>
          <w:p w:rsidR="00B27BE5" w:rsidRPr="00B27BE5" w:rsidRDefault="00B27BE5" w:rsidP="00B27BE5">
            <w:r w:rsidRPr="00883125">
              <w:t>Vo et al (2013)</w:t>
            </w:r>
            <w:r w:rsidRPr="00B27BE5">
              <w:rPr>
                <w:rStyle w:val="FootnoteReference"/>
              </w:rPr>
              <w:footnoteReference w:id="570"/>
            </w:r>
          </w:p>
        </w:tc>
        <w:tc>
          <w:tcPr>
            <w:tcW w:w="1346" w:type="dxa"/>
          </w:tcPr>
          <w:p w:rsidR="00B27BE5" w:rsidRPr="00883125" w:rsidRDefault="00B27BE5" w:rsidP="00B27BE5"/>
        </w:tc>
        <w:tc>
          <w:tcPr>
            <w:tcW w:w="1347" w:type="dxa"/>
          </w:tcPr>
          <w:p w:rsidR="00B27BE5" w:rsidRPr="00B27BE5" w:rsidRDefault="00B27BE5" w:rsidP="00B27BE5">
            <w:r w:rsidRPr="00883125">
              <w:t>0.35–0.55</w:t>
            </w:r>
            <w:r w:rsidRPr="00883125">
              <w:br/>
              <w:t>(2001–2012)</w:t>
            </w:r>
          </w:p>
        </w:tc>
        <w:tc>
          <w:tcPr>
            <w:tcW w:w="3260" w:type="dxa"/>
          </w:tcPr>
          <w:p w:rsidR="00B27BE5" w:rsidRPr="00B27BE5" w:rsidRDefault="00B27BE5" w:rsidP="00B27BE5">
            <w:r w:rsidRPr="00883125">
              <w:t>Range derived from large number of permutations and sensitivity tests.</w:t>
            </w:r>
          </w:p>
        </w:tc>
      </w:tr>
      <w:tr w:rsidR="00B27BE5" w:rsidRPr="00222643" w:rsidTr="00B27BE5">
        <w:trPr>
          <w:cantSplit/>
        </w:trPr>
        <w:tc>
          <w:tcPr>
            <w:tcW w:w="250" w:type="dxa"/>
          </w:tcPr>
          <w:p w:rsidR="00B27BE5" w:rsidRPr="00883125" w:rsidRDefault="00B27BE5" w:rsidP="00B27BE5"/>
        </w:tc>
        <w:tc>
          <w:tcPr>
            <w:tcW w:w="2977" w:type="dxa"/>
            <w:gridSpan w:val="2"/>
          </w:tcPr>
          <w:p w:rsidR="00B27BE5" w:rsidRPr="00B27BE5" w:rsidRDefault="00B27BE5" w:rsidP="00B27BE5">
            <w:r w:rsidRPr="00883125">
              <w:t>SFG (2013a)</w:t>
            </w:r>
            <w:r w:rsidRPr="00B27BE5">
              <w:rPr>
                <w:rStyle w:val="FootnoteReference"/>
              </w:rPr>
              <w:footnoteReference w:id="571"/>
            </w:r>
          </w:p>
        </w:tc>
        <w:tc>
          <w:tcPr>
            <w:tcW w:w="1346" w:type="dxa"/>
          </w:tcPr>
          <w:p w:rsidR="00B27BE5" w:rsidRPr="00883125" w:rsidRDefault="00B27BE5" w:rsidP="00B27BE5"/>
        </w:tc>
        <w:tc>
          <w:tcPr>
            <w:tcW w:w="1347" w:type="dxa"/>
          </w:tcPr>
          <w:p w:rsidR="00B27BE5" w:rsidRPr="00B27BE5" w:rsidRDefault="00B27BE5" w:rsidP="00B27BE5">
            <w:r w:rsidRPr="00883125">
              <w:t>0.35</w:t>
            </w:r>
            <w:r w:rsidRPr="00883125">
              <w:br/>
              <w:t>(2001–2012)</w:t>
            </w:r>
          </w:p>
        </w:tc>
        <w:tc>
          <w:tcPr>
            <w:tcW w:w="3260" w:type="dxa"/>
          </w:tcPr>
          <w:p w:rsidR="00B27BE5" w:rsidRPr="00B27BE5" w:rsidRDefault="00B27BE5" w:rsidP="00B27BE5">
            <w:r w:rsidRPr="00883125">
              <w:t xml:space="preserve">Author's point estimate </w:t>
            </w:r>
            <w:r w:rsidRPr="00B27BE5">
              <w:t>across a number of different regression forms.</w:t>
            </w:r>
          </w:p>
        </w:tc>
      </w:tr>
      <w:tr w:rsidR="00B27BE5" w:rsidRPr="00222643" w:rsidTr="00B27BE5">
        <w:trPr>
          <w:cnfStyle w:val="000000010000" w:firstRow="0" w:lastRow="0" w:firstColumn="0" w:lastColumn="0" w:oddVBand="0" w:evenVBand="0" w:oddHBand="0" w:evenHBand="1" w:firstRowFirstColumn="0" w:firstRowLastColumn="0" w:lastRowFirstColumn="0" w:lastRowLastColumn="0"/>
          <w:cantSplit/>
        </w:trPr>
        <w:tc>
          <w:tcPr>
            <w:tcW w:w="250" w:type="dxa"/>
          </w:tcPr>
          <w:p w:rsidR="00B27BE5" w:rsidRPr="00883125" w:rsidRDefault="00B27BE5" w:rsidP="00B27BE5"/>
        </w:tc>
        <w:tc>
          <w:tcPr>
            <w:tcW w:w="2977" w:type="dxa"/>
            <w:gridSpan w:val="2"/>
          </w:tcPr>
          <w:p w:rsidR="00B27BE5" w:rsidRPr="00B27BE5" w:rsidRDefault="00B27BE5" w:rsidP="00B27BE5">
            <w:r w:rsidRPr="00883125">
              <w:t>SFG (2011)</w:t>
            </w:r>
            <w:r w:rsidRPr="00B27BE5">
              <w:rPr>
                <w:rStyle w:val="FootnoteReference"/>
              </w:rPr>
              <w:footnoteReference w:id="572"/>
            </w:r>
          </w:p>
        </w:tc>
        <w:tc>
          <w:tcPr>
            <w:tcW w:w="1346" w:type="dxa"/>
          </w:tcPr>
          <w:p w:rsidR="00B27BE5" w:rsidRPr="00883125" w:rsidRDefault="00B27BE5" w:rsidP="00B27BE5"/>
        </w:tc>
        <w:tc>
          <w:tcPr>
            <w:tcW w:w="1347" w:type="dxa"/>
          </w:tcPr>
          <w:p w:rsidR="00B27BE5" w:rsidRPr="00B27BE5" w:rsidRDefault="00B27BE5" w:rsidP="00B27BE5">
            <w:r w:rsidRPr="00883125">
              <w:t>0.35</w:t>
            </w:r>
            <w:r w:rsidRPr="00883125">
              <w:br/>
              <w:t>(2001–2010)</w:t>
            </w:r>
          </w:p>
        </w:tc>
        <w:tc>
          <w:tcPr>
            <w:tcW w:w="3260" w:type="dxa"/>
          </w:tcPr>
          <w:p w:rsidR="00B27BE5" w:rsidRPr="00883125" w:rsidRDefault="00B27BE5" w:rsidP="00B27BE5"/>
        </w:tc>
      </w:tr>
      <w:tr w:rsidR="00B27BE5" w:rsidRPr="00222643" w:rsidTr="00B27BE5">
        <w:trPr>
          <w:cantSplit/>
          <w:trHeight w:val="301"/>
        </w:trPr>
        <w:tc>
          <w:tcPr>
            <w:tcW w:w="250" w:type="dxa"/>
          </w:tcPr>
          <w:p w:rsidR="00B27BE5" w:rsidRPr="00883125" w:rsidRDefault="00B27BE5" w:rsidP="00B27BE5"/>
        </w:tc>
        <w:tc>
          <w:tcPr>
            <w:tcW w:w="2977" w:type="dxa"/>
            <w:gridSpan w:val="2"/>
          </w:tcPr>
          <w:p w:rsidR="00B27BE5" w:rsidRPr="00B27BE5" w:rsidRDefault="00B27BE5" w:rsidP="00B27BE5">
            <w:r w:rsidRPr="00883125">
              <w:t>Minney (2010)</w:t>
            </w:r>
            <w:r w:rsidRPr="00B27BE5">
              <w:rPr>
                <w:rStyle w:val="FootnoteReference"/>
              </w:rPr>
              <w:footnoteReference w:id="573"/>
            </w:r>
          </w:p>
        </w:tc>
        <w:tc>
          <w:tcPr>
            <w:tcW w:w="1346" w:type="dxa"/>
          </w:tcPr>
          <w:p w:rsidR="00B27BE5" w:rsidRPr="00883125" w:rsidRDefault="00B27BE5" w:rsidP="00B27BE5"/>
        </w:tc>
        <w:tc>
          <w:tcPr>
            <w:tcW w:w="1347" w:type="dxa"/>
          </w:tcPr>
          <w:p w:rsidR="00B27BE5" w:rsidRPr="00B27BE5" w:rsidRDefault="00B27BE5" w:rsidP="00B27BE5">
            <w:r w:rsidRPr="00883125">
              <w:t>0.39</w:t>
            </w:r>
            <w:r w:rsidRPr="00883125">
              <w:br/>
              <w:t>(2001–2009)</w:t>
            </w:r>
          </w:p>
        </w:tc>
        <w:tc>
          <w:tcPr>
            <w:tcW w:w="3260" w:type="dxa"/>
          </w:tcPr>
          <w:p w:rsidR="00B27BE5" w:rsidRPr="00B27BE5" w:rsidRDefault="00B27BE5" w:rsidP="00B27BE5">
            <w:r w:rsidRPr="00883125">
              <w:t>Average of results from 2001–2005 and 2006–2009 sub-periods. For the most recent sub-period (2006–2009), utilisation rate is 0.53.</w:t>
            </w:r>
          </w:p>
        </w:tc>
      </w:tr>
      <w:tr w:rsidR="00B27BE5" w:rsidRPr="00222643" w:rsidTr="00B27BE5">
        <w:trPr>
          <w:cnfStyle w:val="000000010000" w:firstRow="0" w:lastRow="0" w:firstColumn="0" w:lastColumn="0" w:oddVBand="0" w:evenVBand="0" w:oddHBand="0" w:evenHBand="1" w:firstRowFirstColumn="0" w:firstRowLastColumn="0" w:lastRowFirstColumn="0" w:lastRowLastColumn="0"/>
          <w:cantSplit/>
          <w:trHeight w:val="720"/>
        </w:trPr>
        <w:tc>
          <w:tcPr>
            <w:tcW w:w="250" w:type="dxa"/>
          </w:tcPr>
          <w:p w:rsidR="00B27BE5" w:rsidRPr="00883125" w:rsidRDefault="00B27BE5" w:rsidP="00B27BE5"/>
        </w:tc>
        <w:tc>
          <w:tcPr>
            <w:tcW w:w="2977" w:type="dxa"/>
            <w:gridSpan w:val="2"/>
          </w:tcPr>
          <w:p w:rsidR="00B27BE5" w:rsidRPr="00B27BE5" w:rsidRDefault="00B27BE5" w:rsidP="00B27BE5">
            <w:r w:rsidRPr="00883125">
              <w:t xml:space="preserve">Beggs </w:t>
            </w:r>
            <w:r w:rsidRPr="00B27BE5">
              <w:t>and Skeels (2006)</w:t>
            </w:r>
            <w:r w:rsidRPr="00B27BE5">
              <w:rPr>
                <w:rStyle w:val="FootnoteReference"/>
              </w:rPr>
              <w:footnoteReference w:id="574"/>
            </w:r>
          </w:p>
        </w:tc>
        <w:tc>
          <w:tcPr>
            <w:tcW w:w="1346" w:type="dxa"/>
          </w:tcPr>
          <w:p w:rsidR="00B27BE5" w:rsidRPr="00B27BE5" w:rsidRDefault="00B27BE5" w:rsidP="00B27BE5">
            <w:r w:rsidRPr="00883125">
              <w:t>0.20</w:t>
            </w:r>
            <w:r w:rsidRPr="00883125">
              <w:br/>
              <w:t>(1992–1997)</w:t>
            </w:r>
          </w:p>
        </w:tc>
        <w:tc>
          <w:tcPr>
            <w:tcW w:w="1347" w:type="dxa"/>
          </w:tcPr>
          <w:p w:rsidR="00B27BE5" w:rsidRPr="00B27BE5" w:rsidRDefault="00B27BE5" w:rsidP="00B27BE5">
            <w:r w:rsidRPr="00883125">
              <w:t>0.57</w:t>
            </w:r>
            <w:r w:rsidRPr="00883125">
              <w:br/>
              <w:t>(2001–2004)</w:t>
            </w:r>
          </w:p>
        </w:tc>
        <w:tc>
          <w:tcPr>
            <w:tcW w:w="3260" w:type="dxa"/>
          </w:tcPr>
          <w:p w:rsidR="00B27BE5" w:rsidRPr="00B27BE5" w:rsidRDefault="00B27BE5" w:rsidP="00B27BE5">
            <w:r w:rsidRPr="00883125">
              <w:t>Several other pre-2000 periods are presented.</w:t>
            </w:r>
          </w:p>
        </w:tc>
      </w:tr>
      <w:tr w:rsidR="00B27BE5" w:rsidRPr="00222643" w:rsidTr="00B27BE5">
        <w:trPr>
          <w:cantSplit/>
          <w:trHeight w:val="789"/>
        </w:trPr>
        <w:tc>
          <w:tcPr>
            <w:tcW w:w="250" w:type="dxa"/>
          </w:tcPr>
          <w:p w:rsidR="00B27BE5" w:rsidRPr="00883125" w:rsidRDefault="00B27BE5" w:rsidP="00B27BE5"/>
        </w:tc>
        <w:tc>
          <w:tcPr>
            <w:tcW w:w="2977" w:type="dxa"/>
            <w:gridSpan w:val="2"/>
          </w:tcPr>
          <w:p w:rsidR="00B27BE5" w:rsidRPr="00B27BE5" w:rsidRDefault="00B27BE5" w:rsidP="00B27BE5">
            <w:r w:rsidRPr="00883125">
              <w:t>Hathaway and Officer (2004)</w:t>
            </w:r>
            <w:r w:rsidRPr="00B27BE5">
              <w:rPr>
                <w:rStyle w:val="FootnoteReference"/>
              </w:rPr>
              <w:footnoteReference w:id="575"/>
            </w:r>
          </w:p>
        </w:tc>
        <w:tc>
          <w:tcPr>
            <w:tcW w:w="1346" w:type="dxa"/>
          </w:tcPr>
          <w:p w:rsidR="00B27BE5" w:rsidRPr="00B27BE5" w:rsidRDefault="00B27BE5" w:rsidP="00B27BE5">
            <w:r w:rsidRPr="00883125">
              <w:t>0.49</w:t>
            </w:r>
            <w:r w:rsidRPr="00883125">
              <w:br/>
              <w:t>(1986–2004)</w:t>
            </w:r>
          </w:p>
        </w:tc>
        <w:tc>
          <w:tcPr>
            <w:tcW w:w="1347" w:type="dxa"/>
          </w:tcPr>
          <w:p w:rsidR="00B27BE5" w:rsidRPr="00883125" w:rsidRDefault="00B27BE5" w:rsidP="00B27BE5"/>
        </w:tc>
        <w:tc>
          <w:tcPr>
            <w:tcW w:w="3260" w:type="dxa"/>
          </w:tcPr>
          <w:p w:rsidR="00B27BE5" w:rsidRPr="00B27BE5" w:rsidRDefault="00B27BE5" w:rsidP="00B27BE5">
            <w:r w:rsidRPr="00883125">
              <w:t>Authors suggest that estimate has increased post-2000.</w:t>
            </w:r>
          </w:p>
        </w:tc>
      </w:tr>
      <w:tr w:rsidR="00B27BE5" w:rsidRPr="00222643" w:rsidTr="00B27BE5">
        <w:trPr>
          <w:cnfStyle w:val="000000010000" w:firstRow="0" w:lastRow="0" w:firstColumn="0" w:lastColumn="0" w:oddVBand="0" w:evenVBand="0" w:oddHBand="0" w:evenHBand="1" w:firstRowFirstColumn="0" w:firstRowLastColumn="0" w:lastRowFirstColumn="0" w:lastRowLastColumn="0"/>
          <w:cantSplit/>
        </w:trPr>
        <w:tc>
          <w:tcPr>
            <w:tcW w:w="250" w:type="dxa"/>
          </w:tcPr>
          <w:p w:rsidR="00B27BE5" w:rsidRPr="00883125" w:rsidRDefault="00B27BE5" w:rsidP="00B27BE5"/>
        </w:tc>
        <w:tc>
          <w:tcPr>
            <w:tcW w:w="2977" w:type="dxa"/>
            <w:gridSpan w:val="2"/>
          </w:tcPr>
          <w:p w:rsidR="00B27BE5" w:rsidRPr="00B27BE5" w:rsidRDefault="00B27BE5" w:rsidP="00B27BE5">
            <w:r w:rsidRPr="00883125">
              <w:t>Bellamy and Gray (2004)</w:t>
            </w:r>
            <w:r w:rsidRPr="00B27BE5">
              <w:rPr>
                <w:rStyle w:val="FootnoteReference"/>
              </w:rPr>
              <w:footnoteReference w:id="576"/>
            </w:r>
          </w:p>
        </w:tc>
        <w:tc>
          <w:tcPr>
            <w:tcW w:w="1346" w:type="dxa"/>
          </w:tcPr>
          <w:p w:rsidR="00B27BE5" w:rsidRPr="00B27BE5" w:rsidRDefault="00B27BE5" w:rsidP="00B27BE5">
            <w:r w:rsidRPr="00883125">
              <w:t>0.36</w:t>
            </w:r>
            <w:r w:rsidRPr="00883125">
              <w:br/>
              <w:t>(1995–2002)</w:t>
            </w:r>
          </w:p>
        </w:tc>
        <w:tc>
          <w:tcPr>
            <w:tcW w:w="1347" w:type="dxa"/>
          </w:tcPr>
          <w:p w:rsidR="00B27BE5" w:rsidRPr="00883125" w:rsidRDefault="00B27BE5" w:rsidP="00B27BE5"/>
        </w:tc>
        <w:tc>
          <w:tcPr>
            <w:tcW w:w="3260" w:type="dxa"/>
          </w:tcPr>
          <w:p w:rsidR="00B27BE5" w:rsidRPr="00B27BE5" w:rsidRDefault="00B27BE5" w:rsidP="00B27BE5">
            <w:r w:rsidRPr="00883125">
              <w:t>Range of</w:t>
            </w:r>
            <w:r w:rsidRPr="00B27BE5">
              <w:t xml:space="preserve"> 0.0–0.60 is also presented.</w:t>
            </w:r>
          </w:p>
        </w:tc>
      </w:tr>
      <w:tr w:rsidR="00B27BE5" w:rsidRPr="00222643" w:rsidTr="00B27BE5">
        <w:trPr>
          <w:cantSplit/>
        </w:trPr>
        <w:tc>
          <w:tcPr>
            <w:tcW w:w="250" w:type="dxa"/>
          </w:tcPr>
          <w:p w:rsidR="00B27BE5" w:rsidRPr="00883125" w:rsidRDefault="00B27BE5" w:rsidP="00B27BE5"/>
        </w:tc>
        <w:tc>
          <w:tcPr>
            <w:tcW w:w="2977" w:type="dxa"/>
            <w:gridSpan w:val="2"/>
          </w:tcPr>
          <w:p w:rsidR="00B27BE5" w:rsidRPr="00B27BE5" w:rsidRDefault="00B27BE5" w:rsidP="00B27BE5">
            <w:r w:rsidRPr="00883125">
              <w:t>Bruckner et al (1994)</w:t>
            </w:r>
            <w:r w:rsidRPr="00B27BE5">
              <w:rPr>
                <w:rStyle w:val="FootnoteReference"/>
              </w:rPr>
              <w:footnoteReference w:id="577"/>
            </w:r>
          </w:p>
        </w:tc>
        <w:tc>
          <w:tcPr>
            <w:tcW w:w="1346" w:type="dxa"/>
          </w:tcPr>
          <w:p w:rsidR="00B27BE5" w:rsidRPr="00B27BE5" w:rsidRDefault="00B27BE5" w:rsidP="00B27BE5">
            <w:r w:rsidRPr="00883125">
              <w:t>0.69</w:t>
            </w:r>
            <w:r w:rsidRPr="00883125">
              <w:br/>
              <w:t>(1991–1993)</w:t>
            </w:r>
          </w:p>
        </w:tc>
        <w:tc>
          <w:tcPr>
            <w:tcW w:w="1347" w:type="dxa"/>
          </w:tcPr>
          <w:p w:rsidR="00B27BE5" w:rsidRPr="00883125" w:rsidRDefault="00B27BE5" w:rsidP="00B27BE5"/>
        </w:tc>
        <w:tc>
          <w:tcPr>
            <w:tcW w:w="3260" w:type="dxa"/>
          </w:tcPr>
          <w:p w:rsidR="00B27BE5" w:rsidRPr="00B27BE5" w:rsidRDefault="00B27BE5" w:rsidP="00B27BE5">
            <w:r w:rsidRPr="00883125">
              <w:t>Also present an earlier period (1987–1990).</w:t>
            </w:r>
          </w:p>
        </w:tc>
      </w:tr>
      <w:tr w:rsidR="00B27BE5" w:rsidRPr="00222643" w:rsidTr="00B27BE5">
        <w:trPr>
          <w:cnfStyle w:val="000000010000" w:firstRow="0" w:lastRow="0" w:firstColumn="0" w:lastColumn="0" w:oddVBand="0" w:evenVBand="0" w:oddHBand="0" w:evenHBand="1" w:firstRowFirstColumn="0" w:firstRowLastColumn="0" w:lastRowFirstColumn="0" w:lastRowLastColumn="0"/>
          <w:cantSplit/>
        </w:trPr>
        <w:tc>
          <w:tcPr>
            <w:tcW w:w="250" w:type="dxa"/>
          </w:tcPr>
          <w:p w:rsidR="00B27BE5" w:rsidRPr="00883125" w:rsidRDefault="00B27BE5" w:rsidP="00B27BE5"/>
        </w:tc>
        <w:tc>
          <w:tcPr>
            <w:tcW w:w="2977" w:type="dxa"/>
            <w:gridSpan w:val="2"/>
          </w:tcPr>
          <w:p w:rsidR="00B27BE5" w:rsidRPr="00B27BE5" w:rsidRDefault="00B27BE5" w:rsidP="00B27BE5">
            <w:r w:rsidRPr="00883125">
              <w:t>Brown and Clarke (1993)</w:t>
            </w:r>
            <w:r w:rsidRPr="00B27BE5">
              <w:rPr>
                <w:rStyle w:val="FootnoteReference"/>
              </w:rPr>
              <w:footnoteReference w:id="578"/>
            </w:r>
          </w:p>
        </w:tc>
        <w:tc>
          <w:tcPr>
            <w:tcW w:w="1346" w:type="dxa"/>
          </w:tcPr>
          <w:p w:rsidR="00B27BE5" w:rsidRPr="00B27BE5" w:rsidRDefault="00B27BE5" w:rsidP="00B27BE5">
            <w:r w:rsidRPr="00883125">
              <w:t>0.80</w:t>
            </w:r>
            <w:r w:rsidRPr="00883125">
              <w:br/>
              <w:t>(1988–1991)</w:t>
            </w:r>
          </w:p>
        </w:tc>
        <w:tc>
          <w:tcPr>
            <w:tcW w:w="1347" w:type="dxa"/>
          </w:tcPr>
          <w:p w:rsidR="00B27BE5" w:rsidRPr="00883125" w:rsidRDefault="00B27BE5" w:rsidP="00B27BE5"/>
        </w:tc>
        <w:tc>
          <w:tcPr>
            <w:tcW w:w="3260" w:type="dxa"/>
          </w:tcPr>
          <w:p w:rsidR="00B27BE5" w:rsidRPr="00883125" w:rsidRDefault="00B27BE5" w:rsidP="00B27BE5"/>
        </w:tc>
      </w:tr>
    </w:tbl>
    <w:p w:rsidR="00B27BE5" w:rsidRPr="00883125" w:rsidRDefault="00B27BE5" w:rsidP="00B27BE5">
      <w:pPr>
        <w:pStyle w:val="AERtablesource"/>
      </w:pPr>
      <w:r w:rsidRPr="00883125">
        <w:t xml:space="preserve">Source: </w:t>
      </w:r>
      <w:r w:rsidRPr="00883125">
        <w:tab/>
        <w:t>As specified in table.</w:t>
      </w:r>
    </w:p>
    <w:p w:rsidR="00B27BE5" w:rsidRDefault="00B27BE5" w:rsidP="00B27BE5">
      <w:pPr>
        <w:rPr>
          <w:rStyle w:val="AERbody"/>
        </w:rPr>
      </w:pPr>
      <w:bookmarkStart w:id="187" w:name="_Ref401076250"/>
      <w:r w:rsidRPr="00883125">
        <w:rPr>
          <w:rStyle w:val="AERbody"/>
        </w:rPr>
        <w:t>As is evident in the table above</w:t>
      </w:r>
      <w:r w:rsidRPr="00B27BE5">
        <w:rPr>
          <w:rStyle w:val="AERbody"/>
        </w:rPr>
        <w:t xml:space="preserve">, dividend drop off studies suggest that the utilisation </w:t>
      </w:r>
      <w:r w:rsidRPr="00B27BE5">
        <w:t xml:space="preserve">value </w:t>
      </w:r>
      <w:r w:rsidRPr="00B27BE5">
        <w:rPr>
          <w:rStyle w:val="AERbody"/>
        </w:rPr>
        <w:t>is in the range of 0.35 to 0.57 when using post 2000 data and is in the range of 0.2 to 0.8 when using pre 2000 data. This is consistent with the finding in Ainsworth, Partington and Warren (2015) which considers that the dividend drop-off and comparative pricing studies they examine would suggest that imputation credits are partially priced at about $0.38 in the dollar.</w:t>
      </w:r>
      <w:r w:rsidRPr="00B27BE5">
        <w:rPr>
          <w:rStyle w:val="FootnoteReference"/>
        </w:rPr>
        <w:footnoteReference w:id="579"/>
      </w:r>
    </w:p>
    <w:p w:rsidR="00981C06" w:rsidRDefault="00981C06">
      <w:pPr>
        <w:spacing w:line="240" w:lineRule="auto"/>
        <w:rPr>
          <w:rStyle w:val="AERbody"/>
        </w:rPr>
      </w:pPr>
      <w:r>
        <w:rPr>
          <w:rStyle w:val="AERbody"/>
        </w:rPr>
        <w:br w:type="page"/>
      </w:r>
    </w:p>
    <w:p w:rsidR="00B27BE5" w:rsidRPr="00883125" w:rsidRDefault="00B27BE5" w:rsidP="00B27BE5">
      <w:pPr>
        <w:pStyle w:val="Caption"/>
      </w:pPr>
      <w:bookmarkStart w:id="188" w:name="_Ref449538408"/>
      <w:r w:rsidRPr="00883125">
        <w:lastRenderedPageBreak/>
        <w:t xml:space="preserve">Table </w:t>
      </w:r>
      <w:r w:rsidR="004B4BF3">
        <w:fldChar w:fldCharType="begin"/>
      </w:r>
      <w:r w:rsidR="004B4BF3">
        <w:instrText xml:space="preserve"> STYLEREF 1 \s </w:instrText>
      </w:r>
      <w:r w:rsidR="004B4BF3">
        <w:fldChar w:fldCharType="separate"/>
      </w:r>
      <w:r w:rsidR="00881794">
        <w:rPr>
          <w:noProof/>
        </w:rPr>
        <w:t>4</w:t>
      </w:r>
      <w:r w:rsidR="004B4BF3">
        <w:rPr>
          <w:noProof/>
        </w:rPr>
        <w:fldChar w:fldCharType="end"/>
      </w:r>
      <w:r>
        <w:noBreakHyphen/>
      </w:r>
      <w:r w:rsidR="004B4BF3">
        <w:fldChar w:fldCharType="begin"/>
      </w:r>
      <w:r w:rsidR="004B4BF3">
        <w:instrText xml:space="preserve"> SEQ Table \* ARABIC \s 1 </w:instrText>
      </w:r>
      <w:r w:rsidR="004B4BF3">
        <w:fldChar w:fldCharType="separate"/>
      </w:r>
      <w:r w:rsidR="00881794">
        <w:rPr>
          <w:noProof/>
        </w:rPr>
        <w:t>18</w:t>
      </w:r>
      <w:r w:rsidR="004B4BF3">
        <w:rPr>
          <w:noProof/>
        </w:rPr>
        <w:fldChar w:fldCharType="end"/>
      </w:r>
      <w:bookmarkEnd w:id="187"/>
      <w:bookmarkEnd w:id="188"/>
      <w:r w:rsidRPr="00883125">
        <w:tab/>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B27BE5" w:rsidRPr="00222643" w:rsidTr="00B27BE5">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B27BE5" w:rsidRPr="00883125" w:rsidRDefault="00B27BE5" w:rsidP="00B27BE5"/>
        </w:tc>
        <w:tc>
          <w:tcPr>
            <w:tcW w:w="2835" w:type="dxa"/>
          </w:tcPr>
          <w:p w:rsidR="00B27BE5" w:rsidRPr="00B27BE5" w:rsidRDefault="00B27BE5" w:rsidP="00B27BE5">
            <w:r w:rsidRPr="00883125">
              <w:t>Authors</w:t>
            </w:r>
          </w:p>
        </w:tc>
        <w:tc>
          <w:tcPr>
            <w:tcW w:w="1346" w:type="dxa"/>
          </w:tcPr>
          <w:p w:rsidR="00B27BE5" w:rsidRPr="00B27BE5" w:rsidRDefault="00B27BE5" w:rsidP="00B27BE5">
            <w:r w:rsidRPr="00883125">
              <w:t>Pre-2000 results</w:t>
            </w:r>
          </w:p>
        </w:tc>
        <w:tc>
          <w:tcPr>
            <w:tcW w:w="1347" w:type="dxa"/>
          </w:tcPr>
          <w:p w:rsidR="00B27BE5" w:rsidRPr="00B27BE5" w:rsidRDefault="00B27BE5" w:rsidP="00B27BE5">
            <w:r w:rsidRPr="00883125">
              <w:t>Post-2000 results</w:t>
            </w:r>
          </w:p>
        </w:tc>
        <w:tc>
          <w:tcPr>
            <w:tcW w:w="3260" w:type="dxa"/>
          </w:tcPr>
          <w:p w:rsidR="00B27BE5" w:rsidRPr="00B27BE5" w:rsidRDefault="00B27BE5" w:rsidP="00B27BE5">
            <w:r w:rsidRPr="00883125">
              <w:t>Notes</w:t>
            </w:r>
          </w:p>
        </w:tc>
      </w:tr>
      <w:tr w:rsidR="00B27BE5" w:rsidRPr="00222643" w:rsidTr="00B27BE5">
        <w:trPr>
          <w:cantSplit/>
          <w:trHeight w:val="479"/>
        </w:trPr>
        <w:tc>
          <w:tcPr>
            <w:tcW w:w="3227" w:type="dxa"/>
            <w:gridSpan w:val="2"/>
          </w:tcPr>
          <w:p w:rsidR="00B27BE5" w:rsidRPr="00B27BE5" w:rsidRDefault="00B27BE5" w:rsidP="00B27BE5">
            <w:pPr>
              <w:rPr>
                <w:rStyle w:val="Strong"/>
              </w:rPr>
            </w:pPr>
            <w:r w:rsidRPr="00883125">
              <w:rPr>
                <w:rStyle w:val="Strong"/>
              </w:rPr>
              <w:t>Dividend drop off study using hybrids</w:t>
            </w:r>
          </w:p>
        </w:tc>
        <w:tc>
          <w:tcPr>
            <w:tcW w:w="1346" w:type="dxa"/>
          </w:tcPr>
          <w:p w:rsidR="00B27BE5" w:rsidRPr="00883125" w:rsidRDefault="00B27BE5" w:rsidP="00B27BE5"/>
        </w:tc>
        <w:tc>
          <w:tcPr>
            <w:tcW w:w="1347" w:type="dxa"/>
          </w:tcPr>
          <w:p w:rsidR="00B27BE5" w:rsidRPr="00883125" w:rsidRDefault="00B27BE5" w:rsidP="00B27BE5"/>
        </w:tc>
        <w:tc>
          <w:tcPr>
            <w:tcW w:w="3322" w:type="dxa"/>
            <w:gridSpan w:val="2"/>
          </w:tcPr>
          <w:p w:rsidR="00B27BE5" w:rsidRPr="00883125" w:rsidRDefault="00B27BE5" w:rsidP="00B27BE5"/>
        </w:tc>
      </w:tr>
      <w:tr w:rsidR="00B27BE5" w:rsidRPr="00222643" w:rsidTr="00B27BE5">
        <w:trPr>
          <w:cnfStyle w:val="000000010000" w:firstRow="0" w:lastRow="0" w:firstColumn="0" w:lastColumn="0" w:oddVBand="0" w:evenVBand="0" w:oddHBand="0" w:evenHBand="1" w:firstRowFirstColumn="0" w:firstRowLastColumn="0" w:lastRowFirstColumn="0" w:lastRowLastColumn="0"/>
          <w:cantSplit/>
        </w:trPr>
        <w:tc>
          <w:tcPr>
            <w:tcW w:w="392" w:type="dxa"/>
          </w:tcPr>
          <w:p w:rsidR="00B27BE5" w:rsidRPr="00883125" w:rsidRDefault="00B27BE5" w:rsidP="00B27BE5"/>
        </w:tc>
        <w:tc>
          <w:tcPr>
            <w:tcW w:w="2835" w:type="dxa"/>
          </w:tcPr>
          <w:p w:rsidR="00B27BE5" w:rsidRPr="00B27BE5" w:rsidRDefault="00B27BE5" w:rsidP="00B27BE5">
            <w:r w:rsidRPr="00883125">
              <w:t>Feuerherdt, Gray and Hall (2010)</w:t>
            </w:r>
            <w:r w:rsidRPr="00B27BE5">
              <w:rPr>
                <w:rStyle w:val="FootnoteReference"/>
              </w:rPr>
              <w:footnoteReference w:id="580"/>
            </w:r>
          </w:p>
        </w:tc>
        <w:tc>
          <w:tcPr>
            <w:tcW w:w="1346" w:type="dxa"/>
          </w:tcPr>
          <w:p w:rsidR="00B27BE5" w:rsidRPr="00B27BE5" w:rsidRDefault="00B27BE5" w:rsidP="00B27BE5">
            <w:r w:rsidRPr="00883125">
              <w:t>N/A</w:t>
            </w:r>
            <w:r w:rsidRPr="00883125">
              <w:br/>
              <w:t>(1995–2002)</w:t>
            </w:r>
          </w:p>
        </w:tc>
        <w:tc>
          <w:tcPr>
            <w:tcW w:w="1347" w:type="dxa"/>
          </w:tcPr>
          <w:p w:rsidR="00B27BE5" w:rsidRPr="00883125" w:rsidRDefault="00B27BE5" w:rsidP="00B27BE5"/>
        </w:tc>
        <w:tc>
          <w:tcPr>
            <w:tcW w:w="3322" w:type="dxa"/>
            <w:gridSpan w:val="2"/>
          </w:tcPr>
          <w:p w:rsidR="00B27BE5" w:rsidRPr="00B27BE5" w:rsidRDefault="00B27BE5" w:rsidP="00B27BE5">
            <w:r w:rsidRPr="00883125">
              <w:t>Combined drop off of 1.0. With dividends at full value, this is a utilisation rate of 0.</w:t>
            </w:r>
          </w:p>
        </w:tc>
      </w:tr>
      <w:tr w:rsidR="00B27BE5" w:rsidRPr="00222643" w:rsidTr="00B27BE5">
        <w:trPr>
          <w:cantSplit/>
        </w:trPr>
        <w:tc>
          <w:tcPr>
            <w:tcW w:w="3227" w:type="dxa"/>
            <w:gridSpan w:val="2"/>
          </w:tcPr>
          <w:p w:rsidR="00B27BE5" w:rsidRPr="00B27BE5" w:rsidRDefault="00B27BE5" w:rsidP="00B27BE5">
            <w:pPr>
              <w:rPr>
                <w:rStyle w:val="Strong"/>
              </w:rPr>
            </w:pPr>
            <w:r w:rsidRPr="00883125">
              <w:rPr>
                <w:rStyle w:val="Strong"/>
              </w:rPr>
              <w:t xml:space="preserve">Futures study (individual or </w:t>
            </w:r>
            <w:r w:rsidRPr="00B27BE5">
              <w:rPr>
                <w:rStyle w:val="Strong"/>
              </w:rPr>
              <w:t>index)</w:t>
            </w:r>
          </w:p>
        </w:tc>
        <w:tc>
          <w:tcPr>
            <w:tcW w:w="1346" w:type="dxa"/>
          </w:tcPr>
          <w:p w:rsidR="00B27BE5" w:rsidRPr="00883125" w:rsidRDefault="00B27BE5" w:rsidP="00B27BE5">
            <w:pPr>
              <w:rPr>
                <w:rStyle w:val="Strong"/>
              </w:rPr>
            </w:pPr>
          </w:p>
        </w:tc>
        <w:tc>
          <w:tcPr>
            <w:tcW w:w="1347" w:type="dxa"/>
          </w:tcPr>
          <w:p w:rsidR="00B27BE5" w:rsidRPr="00883125" w:rsidRDefault="00B27BE5" w:rsidP="00B27BE5"/>
        </w:tc>
        <w:tc>
          <w:tcPr>
            <w:tcW w:w="3322" w:type="dxa"/>
            <w:gridSpan w:val="2"/>
          </w:tcPr>
          <w:p w:rsidR="00B27BE5" w:rsidRPr="00883125" w:rsidRDefault="00B27BE5" w:rsidP="00B27BE5"/>
        </w:tc>
      </w:tr>
      <w:tr w:rsidR="00B27BE5" w:rsidRPr="00222643" w:rsidTr="00B27BE5">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B27BE5" w:rsidRPr="00883125" w:rsidRDefault="00B27BE5" w:rsidP="00B27BE5"/>
        </w:tc>
        <w:tc>
          <w:tcPr>
            <w:tcW w:w="2835" w:type="dxa"/>
          </w:tcPr>
          <w:p w:rsidR="00B27BE5" w:rsidRPr="00B27BE5" w:rsidRDefault="00B27BE5" w:rsidP="00B27BE5">
            <w:r w:rsidRPr="00883125">
              <w:t>SFG (2013b)</w:t>
            </w:r>
            <w:r w:rsidRPr="00B27BE5">
              <w:rPr>
                <w:rStyle w:val="FootnoteReference"/>
              </w:rPr>
              <w:footnoteReference w:id="581"/>
            </w:r>
          </w:p>
        </w:tc>
        <w:tc>
          <w:tcPr>
            <w:tcW w:w="1346" w:type="dxa"/>
          </w:tcPr>
          <w:p w:rsidR="00B27BE5" w:rsidRPr="00883125" w:rsidRDefault="00B27BE5" w:rsidP="00B27BE5"/>
        </w:tc>
        <w:tc>
          <w:tcPr>
            <w:tcW w:w="1347" w:type="dxa"/>
          </w:tcPr>
          <w:p w:rsidR="00B27BE5" w:rsidRPr="00B27BE5" w:rsidRDefault="00B27BE5" w:rsidP="00B27BE5">
            <w:r w:rsidRPr="00883125">
              <w:t>0.12</w:t>
            </w:r>
            <w:r w:rsidRPr="00883125">
              <w:br/>
              <w:t>(2000–2013)</w:t>
            </w:r>
          </w:p>
        </w:tc>
        <w:tc>
          <w:tcPr>
            <w:tcW w:w="3322" w:type="dxa"/>
            <w:gridSpan w:val="2"/>
          </w:tcPr>
          <w:p w:rsidR="00B27BE5" w:rsidRPr="00B27BE5" w:rsidRDefault="00B27BE5" w:rsidP="00B27BE5">
            <w:r w:rsidRPr="00883125">
              <w:t>Uses individual firms.</w:t>
            </w:r>
          </w:p>
        </w:tc>
      </w:tr>
      <w:tr w:rsidR="00B27BE5" w:rsidRPr="00222643" w:rsidTr="00B27BE5">
        <w:trPr>
          <w:cantSplit/>
          <w:trHeight w:val="465"/>
        </w:trPr>
        <w:tc>
          <w:tcPr>
            <w:tcW w:w="392" w:type="dxa"/>
          </w:tcPr>
          <w:p w:rsidR="00B27BE5" w:rsidRPr="00883125" w:rsidRDefault="00B27BE5" w:rsidP="00B27BE5"/>
        </w:tc>
        <w:tc>
          <w:tcPr>
            <w:tcW w:w="2835" w:type="dxa"/>
          </w:tcPr>
          <w:p w:rsidR="00B27BE5" w:rsidRPr="00B27BE5" w:rsidRDefault="00B27BE5" w:rsidP="00B27BE5">
            <w:r w:rsidRPr="00883125">
              <w:t>Cannavan et al (2004)</w:t>
            </w:r>
            <w:r w:rsidRPr="00B27BE5">
              <w:rPr>
                <w:rStyle w:val="FootnoteReference"/>
              </w:rPr>
              <w:footnoteReference w:id="582"/>
            </w:r>
          </w:p>
        </w:tc>
        <w:tc>
          <w:tcPr>
            <w:tcW w:w="1346" w:type="dxa"/>
          </w:tcPr>
          <w:p w:rsidR="00B27BE5" w:rsidRPr="00B27BE5" w:rsidRDefault="00B27BE5" w:rsidP="00B27BE5">
            <w:r w:rsidRPr="00883125">
              <w:t>0–0.15</w:t>
            </w:r>
            <w:r w:rsidRPr="00883125">
              <w:br/>
              <w:t>(1994–1999)</w:t>
            </w:r>
          </w:p>
        </w:tc>
        <w:tc>
          <w:tcPr>
            <w:tcW w:w="1347" w:type="dxa"/>
          </w:tcPr>
          <w:p w:rsidR="00B27BE5" w:rsidRPr="00883125" w:rsidRDefault="00B27BE5" w:rsidP="00B27BE5"/>
        </w:tc>
        <w:tc>
          <w:tcPr>
            <w:tcW w:w="3322" w:type="dxa"/>
            <w:gridSpan w:val="2"/>
          </w:tcPr>
          <w:p w:rsidR="00B27BE5" w:rsidRPr="00B27BE5" w:rsidRDefault="00B27BE5" w:rsidP="00B27BE5">
            <w:r w:rsidRPr="00883125">
              <w:t>Uses individual firms.</w:t>
            </w:r>
          </w:p>
        </w:tc>
      </w:tr>
      <w:tr w:rsidR="00B27BE5" w:rsidRPr="00222643" w:rsidTr="00B27BE5">
        <w:trPr>
          <w:cnfStyle w:val="000000010000" w:firstRow="0" w:lastRow="0" w:firstColumn="0" w:lastColumn="0" w:oddVBand="0" w:evenVBand="0" w:oddHBand="0" w:evenHBand="1" w:firstRowFirstColumn="0" w:firstRowLastColumn="0" w:lastRowFirstColumn="0" w:lastRowLastColumn="0"/>
          <w:cantSplit/>
        </w:trPr>
        <w:tc>
          <w:tcPr>
            <w:tcW w:w="392" w:type="dxa"/>
          </w:tcPr>
          <w:p w:rsidR="00B27BE5" w:rsidRPr="00883125" w:rsidRDefault="00B27BE5" w:rsidP="00B27BE5"/>
        </w:tc>
        <w:tc>
          <w:tcPr>
            <w:tcW w:w="2835" w:type="dxa"/>
          </w:tcPr>
          <w:p w:rsidR="00B27BE5" w:rsidRPr="00B27BE5" w:rsidRDefault="00B27BE5" w:rsidP="00B27BE5">
            <w:r w:rsidRPr="00883125">
              <w:t>Cummings and Frino (2008)</w:t>
            </w:r>
            <w:r w:rsidRPr="00B27BE5">
              <w:rPr>
                <w:rStyle w:val="FootnoteReference"/>
              </w:rPr>
              <w:footnoteReference w:id="583"/>
            </w:r>
          </w:p>
        </w:tc>
        <w:tc>
          <w:tcPr>
            <w:tcW w:w="1346" w:type="dxa"/>
          </w:tcPr>
          <w:p w:rsidR="00B27BE5" w:rsidRPr="00883125" w:rsidRDefault="00B27BE5" w:rsidP="00B27BE5"/>
        </w:tc>
        <w:tc>
          <w:tcPr>
            <w:tcW w:w="1347" w:type="dxa"/>
          </w:tcPr>
          <w:p w:rsidR="00B27BE5" w:rsidRPr="00B27BE5" w:rsidRDefault="00B27BE5" w:rsidP="00B27BE5">
            <w:r w:rsidRPr="00883125">
              <w:t>0.52</w:t>
            </w:r>
            <w:r w:rsidRPr="00883125">
              <w:br/>
              <w:t>(2002–2005)</w:t>
            </w:r>
          </w:p>
        </w:tc>
        <w:tc>
          <w:tcPr>
            <w:tcW w:w="3322" w:type="dxa"/>
            <w:gridSpan w:val="2"/>
          </w:tcPr>
          <w:p w:rsidR="00B27BE5" w:rsidRPr="00B27BE5" w:rsidRDefault="00B27BE5" w:rsidP="00B27BE5">
            <w:r w:rsidRPr="00883125">
              <w:t>Uses index.</w:t>
            </w:r>
          </w:p>
        </w:tc>
      </w:tr>
      <w:tr w:rsidR="00B27BE5" w:rsidRPr="00222643" w:rsidTr="00B27BE5">
        <w:trPr>
          <w:cantSplit/>
        </w:trPr>
        <w:tc>
          <w:tcPr>
            <w:tcW w:w="3227" w:type="dxa"/>
            <w:gridSpan w:val="2"/>
          </w:tcPr>
          <w:p w:rsidR="00B27BE5" w:rsidRPr="00B27BE5" w:rsidRDefault="00B27BE5" w:rsidP="00B27BE5">
            <w:pPr>
              <w:rPr>
                <w:rStyle w:val="Strong"/>
              </w:rPr>
            </w:pPr>
            <w:r w:rsidRPr="00883125">
              <w:rPr>
                <w:rStyle w:val="Strong"/>
              </w:rPr>
              <w:t>Rate of return study</w:t>
            </w:r>
          </w:p>
        </w:tc>
        <w:tc>
          <w:tcPr>
            <w:tcW w:w="1346" w:type="dxa"/>
          </w:tcPr>
          <w:p w:rsidR="00B27BE5" w:rsidRPr="00883125" w:rsidRDefault="00B27BE5" w:rsidP="00B27BE5"/>
        </w:tc>
        <w:tc>
          <w:tcPr>
            <w:tcW w:w="1347" w:type="dxa"/>
          </w:tcPr>
          <w:p w:rsidR="00B27BE5" w:rsidRPr="00883125" w:rsidRDefault="00B27BE5" w:rsidP="00B27BE5"/>
        </w:tc>
        <w:tc>
          <w:tcPr>
            <w:tcW w:w="3322" w:type="dxa"/>
            <w:gridSpan w:val="2"/>
          </w:tcPr>
          <w:p w:rsidR="00B27BE5" w:rsidRPr="00883125" w:rsidRDefault="00B27BE5" w:rsidP="00B27BE5"/>
        </w:tc>
      </w:tr>
      <w:tr w:rsidR="00B27BE5" w:rsidRPr="00222643" w:rsidTr="00B27BE5">
        <w:trPr>
          <w:cnfStyle w:val="000000010000" w:firstRow="0" w:lastRow="0" w:firstColumn="0" w:lastColumn="0" w:oddVBand="0" w:evenVBand="0" w:oddHBand="0" w:evenHBand="1" w:firstRowFirstColumn="0" w:firstRowLastColumn="0" w:lastRowFirstColumn="0" w:lastRowLastColumn="0"/>
          <w:cantSplit/>
        </w:trPr>
        <w:tc>
          <w:tcPr>
            <w:tcW w:w="392" w:type="dxa"/>
          </w:tcPr>
          <w:p w:rsidR="00B27BE5" w:rsidRPr="00883125" w:rsidRDefault="00B27BE5" w:rsidP="00B27BE5"/>
        </w:tc>
        <w:tc>
          <w:tcPr>
            <w:tcW w:w="2835" w:type="dxa"/>
          </w:tcPr>
          <w:p w:rsidR="00B27BE5" w:rsidRPr="00B27BE5" w:rsidRDefault="00B27BE5" w:rsidP="00B27BE5">
            <w:r w:rsidRPr="00883125">
              <w:t>NERA (2013b)</w:t>
            </w:r>
            <w:r w:rsidRPr="00B27BE5">
              <w:rPr>
                <w:rStyle w:val="FootnoteReference"/>
              </w:rPr>
              <w:footnoteReference w:id="584"/>
            </w:r>
          </w:p>
        </w:tc>
        <w:tc>
          <w:tcPr>
            <w:tcW w:w="1346" w:type="dxa"/>
          </w:tcPr>
          <w:p w:rsidR="00B27BE5" w:rsidRPr="00B27BE5" w:rsidRDefault="00B27BE5" w:rsidP="00B27BE5">
            <w:r w:rsidRPr="00883125">
              <w:t>-1.57</w:t>
            </w:r>
            <w:r w:rsidRPr="00883125">
              <w:br/>
              <w:t>(1987–2000)</w:t>
            </w:r>
          </w:p>
        </w:tc>
        <w:tc>
          <w:tcPr>
            <w:tcW w:w="1347" w:type="dxa"/>
          </w:tcPr>
          <w:p w:rsidR="00B27BE5" w:rsidRPr="00B27BE5" w:rsidRDefault="00B27BE5" w:rsidP="00B27BE5">
            <w:r w:rsidRPr="00883125">
              <w:t>-1.90</w:t>
            </w:r>
            <w:r w:rsidRPr="00883125">
              <w:br/>
              <w:t>(2000–2012)</w:t>
            </w:r>
          </w:p>
        </w:tc>
        <w:tc>
          <w:tcPr>
            <w:tcW w:w="3322" w:type="dxa"/>
            <w:gridSpan w:val="2"/>
          </w:tcPr>
          <w:p w:rsidR="00B27BE5" w:rsidRPr="00B27BE5" w:rsidRDefault="00B27BE5" w:rsidP="00B27BE5">
            <w:r w:rsidRPr="00883125">
              <w:t>Uses past returns. For the entire period, estimate is -1.50.</w:t>
            </w:r>
          </w:p>
        </w:tc>
      </w:tr>
      <w:tr w:rsidR="00B27BE5" w:rsidRPr="00222643" w:rsidTr="00B27BE5">
        <w:trPr>
          <w:cantSplit/>
          <w:trHeight w:val="535"/>
        </w:trPr>
        <w:tc>
          <w:tcPr>
            <w:tcW w:w="392" w:type="dxa"/>
          </w:tcPr>
          <w:p w:rsidR="00B27BE5" w:rsidRPr="00883125" w:rsidRDefault="00B27BE5" w:rsidP="00B27BE5"/>
        </w:tc>
        <w:tc>
          <w:tcPr>
            <w:tcW w:w="2835" w:type="dxa"/>
          </w:tcPr>
          <w:p w:rsidR="00B27BE5" w:rsidRPr="00B27BE5" w:rsidRDefault="00B27BE5" w:rsidP="00B27BE5">
            <w:r w:rsidRPr="00883125">
              <w:t>Lajbcygier and Wheatley (2012)</w:t>
            </w:r>
            <w:r w:rsidRPr="00B27BE5">
              <w:rPr>
                <w:rStyle w:val="FootnoteReference"/>
              </w:rPr>
              <w:footnoteReference w:id="585"/>
            </w:r>
          </w:p>
        </w:tc>
        <w:tc>
          <w:tcPr>
            <w:tcW w:w="1346" w:type="dxa"/>
          </w:tcPr>
          <w:p w:rsidR="00B27BE5" w:rsidRPr="00B27BE5" w:rsidRDefault="00B27BE5" w:rsidP="00B27BE5">
            <w:r w:rsidRPr="00883125">
              <w:t>-1.57</w:t>
            </w:r>
            <w:r w:rsidRPr="00883125">
              <w:br/>
              <w:t>(1987–2000)</w:t>
            </w:r>
          </w:p>
        </w:tc>
        <w:tc>
          <w:tcPr>
            <w:tcW w:w="1347" w:type="dxa"/>
          </w:tcPr>
          <w:p w:rsidR="00B27BE5" w:rsidRPr="00B27BE5" w:rsidRDefault="00B27BE5" w:rsidP="00B27BE5">
            <w:r w:rsidRPr="00883125">
              <w:t>-1.68</w:t>
            </w:r>
            <w:r w:rsidRPr="00883125">
              <w:br/>
              <w:t>(2000–2009)</w:t>
            </w:r>
          </w:p>
        </w:tc>
        <w:tc>
          <w:tcPr>
            <w:tcW w:w="3322" w:type="dxa"/>
            <w:gridSpan w:val="2"/>
          </w:tcPr>
          <w:p w:rsidR="00B27BE5" w:rsidRPr="00B27BE5" w:rsidRDefault="00B27BE5" w:rsidP="00B27BE5">
            <w:r w:rsidRPr="00883125">
              <w:t>Uses past returns. For the entire period, estimate is -1.88</w:t>
            </w:r>
          </w:p>
        </w:tc>
      </w:tr>
      <w:tr w:rsidR="00B27BE5" w:rsidRPr="00222643" w:rsidTr="00B27BE5">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B27BE5" w:rsidRPr="00883125" w:rsidRDefault="00B27BE5" w:rsidP="00B27BE5"/>
        </w:tc>
        <w:tc>
          <w:tcPr>
            <w:tcW w:w="2835" w:type="dxa"/>
          </w:tcPr>
          <w:p w:rsidR="00B27BE5" w:rsidRPr="00B27BE5" w:rsidRDefault="00B27BE5" w:rsidP="00B27BE5">
            <w:r w:rsidRPr="00883125">
              <w:t>Siau et al (2013)</w:t>
            </w:r>
            <w:r w:rsidRPr="00B27BE5">
              <w:rPr>
                <w:rStyle w:val="FootnoteReference"/>
              </w:rPr>
              <w:footnoteReference w:id="586"/>
            </w:r>
          </w:p>
        </w:tc>
        <w:tc>
          <w:tcPr>
            <w:tcW w:w="1346" w:type="dxa"/>
          </w:tcPr>
          <w:p w:rsidR="00B27BE5" w:rsidRPr="00883125" w:rsidRDefault="00B27BE5" w:rsidP="00B27BE5"/>
        </w:tc>
        <w:tc>
          <w:tcPr>
            <w:tcW w:w="1347" w:type="dxa"/>
          </w:tcPr>
          <w:p w:rsidR="00B27BE5" w:rsidRPr="00B27BE5" w:rsidRDefault="00B27BE5" w:rsidP="00B27BE5">
            <w:r w:rsidRPr="00883125">
              <w:t>-0.29–0.30</w:t>
            </w:r>
            <w:r w:rsidRPr="00883125">
              <w:br/>
              <w:t>(1996–2011)</w:t>
            </w:r>
          </w:p>
        </w:tc>
        <w:tc>
          <w:tcPr>
            <w:tcW w:w="3322" w:type="dxa"/>
            <w:gridSpan w:val="2"/>
          </w:tcPr>
          <w:p w:rsidR="00B27BE5" w:rsidRPr="00B27BE5" w:rsidRDefault="00B27BE5" w:rsidP="00B27BE5">
            <w:r w:rsidRPr="00883125">
              <w:t>Uses forecast returns. Note range is from negative 0.29 to positive 0.30.</w:t>
            </w:r>
          </w:p>
        </w:tc>
      </w:tr>
      <w:tr w:rsidR="00B27BE5" w:rsidRPr="00222643" w:rsidTr="00B27BE5">
        <w:trPr>
          <w:cantSplit/>
          <w:trHeight w:val="299"/>
        </w:trPr>
        <w:tc>
          <w:tcPr>
            <w:tcW w:w="392" w:type="dxa"/>
          </w:tcPr>
          <w:p w:rsidR="00B27BE5" w:rsidRPr="00883125" w:rsidRDefault="00B27BE5" w:rsidP="00B27BE5"/>
        </w:tc>
        <w:tc>
          <w:tcPr>
            <w:tcW w:w="2835" w:type="dxa"/>
          </w:tcPr>
          <w:p w:rsidR="00B27BE5" w:rsidRPr="00B27BE5" w:rsidRDefault="00B27BE5" w:rsidP="00B27BE5">
            <w:r w:rsidRPr="00883125">
              <w:t>Siau et al (2015)</w:t>
            </w:r>
            <w:r w:rsidRPr="00B27BE5">
              <w:rPr>
                <w:rStyle w:val="FootnoteReference"/>
              </w:rPr>
              <w:footnoteReference w:id="587"/>
            </w:r>
          </w:p>
        </w:tc>
        <w:tc>
          <w:tcPr>
            <w:tcW w:w="1346" w:type="dxa"/>
          </w:tcPr>
          <w:p w:rsidR="00B27BE5" w:rsidRPr="00883125" w:rsidRDefault="00B27BE5" w:rsidP="00B27BE5"/>
        </w:tc>
        <w:tc>
          <w:tcPr>
            <w:tcW w:w="1347" w:type="dxa"/>
          </w:tcPr>
          <w:p w:rsidR="00B27BE5" w:rsidRPr="00B27BE5" w:rsidRDefault="00B27BE5" w:rsidP="00B27BE5">
            <w:r w:rsidRPr="00883125">
              <w:t>-0.29–0.30</w:t>
            </w:r>
            <w:r w:rsidRPr="00883125">
              <w:br/>
              <w:t>(1996–2011)</w:t>
            </w:r>
          </w:p>
        </w:tc>
        <w:tc>
          <w:tcPr>
            <w:tcW w:w="3322" w:type="dxa"/>
            <w:gridSpan w:val="2"/>
          </w:tcPr>
          <w:p w:rsidR="00B27BE5" w:rsidRPr="00B27BE5" w:rsidRDefault="00B27BE5" w:rsidP="00B27BE5">
            <w:r w:rsidRPr="00883125">
              <w:t xml:space="preserve">Uses forecast returns. Note range is from negative 0.29 to positive 0.30. </w:t>
            </w:r>
          </w:p>
        </w:tc>
      </w:tr>
      <w:tr w:rsidR="00B27BE5" w:rsidRPr="00222643" w:rsidTr="00B27BE5">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B27BE5" w:rsidRPr="00883125" w:rsidRDefault="00B27BE5" w:rsidP="00B27BE5"/>
        </w:tc>
        <w:tc>
          <w:tcPr>
            <w:tcW w:w="2835" w:type="dxa"/>
          </w:tcPr>
          <w:p w:rsidR="00B27BE5" w:rsidRPr="00B27BE5" w:rsidRDefault="00B27BE5" w:rsidP="00B27BE5">
            <w:r w:rsidRPr="00883125">
              <w:t>NERA (2015)</w:t>
            </w:r>
            <w:r w:rsidRPr="00B27BE5">
              <w:rPr>
                <w:rStyle w:val="FootnoteReference"/>
              </w:rPr>
              <w:footnoteReference w:id="588"/>
            </w:r>
          </w:p>
        </w:tc>
        <w:tc>
          <w:tcPr>
            <w:tcW w:w="1346" w:type="dxa"/>
          </w:tcPr>
          <w:p w:rsidR="00B27BE5" w:rsidRPr="00B27BE5" w:rsidRDefault="00B27BE5" w:rsidP="00B27BE5">
            <w:r w:rsidRPr="00883125">
              <w:t>-0.90                         (1987-2000)</w:t>
            </w:r>
          </w:p>
        </w:tc>
        <w:tc>
          <w:tcPr>
            <w:tcW w:w="1347" w:type="dxa"/>
          </w:tcPr>
          <w:p w:rsidR="00B27BE5" w:rsidRPr="00B27BE5" w:rsidRDefault="00B27BE5" w:rsidP="00B27BE5">
            <w:r w:rsidRPr="00883125">
              <w:t>-3.18                    (2000-2013)</w:t>
            </w:r>
          </w:p>
        </w:tc>
        <w:tc>
          <w:tcPr>
            <w:tcW w:w="3322" w:type="dxa"/>
            <w:gridSpan w:val="2"/>
          </w:tcPr>
          <w:p w:rsidR="00B27BE5" w:rsidRPr="00B27BE5" w:rsidRDefault="00B27BE5" w:rsidP="00B27BE5">
            <w:r w:rsidRPr="00883125">
              <w:t>Uses past returns. For the entire period, estimate is -1.76</w:t>
            </w:r>
          </w:p>
        </w:tc>
      </w:tr>
      <w:tr w:rsidR="00B27BE5" w:rsidRPr="00222643" w:rsidTr="00B27BE5">
        <w:trPr>
          <w:cantSplit/>
          <w:trHeight w:val="402"/>
        </w:trPr>
        <w:tc>
          <w:tcPr>
            <w:tcW w:w="3227" w:type="dxa"/>
            <w:gridSpan w:val="2"/>
          </w:tcPr>
          <w:p w:rsidR="00B27BE5" w:rsidRPr="00B27BE5" w:rsidRDefault="00B27BE5" w:rsidP="00B27BE5">
            <w:pPr>
              <w:rPr>
                <w:rStyle w:val="Strong"/>
              </w:rPr>
            </w:pPr>
            <w:r w:rsidRPr="00883125">
              <w:rPr>
                <w:rStyle w:val="Strong"/>
              </w:rPr>
              <w:t>Simultaneous share trades</w:t>
            </w:r>
          </w:p>
        </w:tc>
        <w:tc>
          <w:tcPr>
            <w:tcW w:w="1346" w:type="dxa"/>
          </w:tcPr>
          <w:p w:rsidR="00B27BE5" w:rsidRPr="00883125" w:rsidRDefault="00B27BE5" w:rsidP="00B27BE5"/>
        </w:tc>
        <w:tc>
          <w:tcPr>
            <w:tcW w:w="1347" w:type="dxa"/>
          </w:tcPr>
          <w:p w:rsidR="00B27BE5" w:rsidRPr="00883125" w:rsidRDefault="00B27BE5" w:rsidP="00B27BE5"/>
        </w:tc>
        <w:tc>
          <w:tcPr>
            <w:tcW w:w="3322" w:type="dxa"/>
            <w:gridSpan w:val="2"/>
          </w:tcPr>
          <w:p w:rsidR="00B27BE5" w:rsidRPr="00883125" w:rsidRDefault="00B27BE5" w:rsidP="00B27BE5"/>
        </w:tc>
      </w:tr>
      <w:tr w:rsidR="00B27BE5" w:rsidRPr="00222643" w:rsidTr="00B27BE5">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B27BE5" w:rsidRPr="00883125" w:rsidRDefault="00B27BE5" w:rsidP="00B27BE5"/>
        </w:tc>
        <w:tc>
          <w:tcPr>
            <w:tcW w:w="2835" w:type="dxa"/>
          </w:tcPr>
          <w:p w:rsidR="00B27BE5" w:rsidRPr="00B27BE5" w:rsidRDefault="00B27BE5" w:rsidP="00B27BE5">
            <w:r w:rsidRPr="00883125">
              <w:t>Chu and Partington (2008)</w:t>
            </w:r>
            <w:r w:rsidRPr="00B27BE5">
              <w:rPr>
                <w:rStyle w:val="FootnoteReference"/>
              </w:rPr>
              <w:footnoteReference w:id="589"/>
            </w:r>
          </w:p>
        </w:tc>
        <w:tc>
          <w:tcPr>
            <w:tcW w:w="1346" w:type="dxa"/>
          </w:tcPr>
          <w:p w:rsidR="00B27BE5" w:rsidRPr="00B27BE5" w:rsidRDefault="00B27BE5" w:rsidP="00B27BE5">
            <w:r w:rsidRPr="00883125">
              <w:t>N/A</w:t>
            </w:r>
            <w:r w:rsidRPr="00883125">
              <w:br/>
              <w:t>(1996)</w:t>
            </w:r>
          </w:p>
        </w:tc>
        <w:tc>
          <w:tcPr>
            <w:tcW w:w="1347" w:type="dxa"/>
          </w:tcPr>
          <w:p w:rsidR="00B27BE5" w:rsidRPr="00883125" w:rsidRDefault="00B27BE5" w:rsidP="00B27BE5"/>
        </w:tc>
        <w:tc>
          <w:tcPr>
            <w:tcW w:w="3322" w:type="dxa"/>
            <w:gridSpan w:val="2"/>
          </w:tcPr>
          <w:p w:rsidR="00B27BE5" w:rsidRPr="00B27BE5" w:rsidRDefault="00B27BE5" w:rsidP="00B27BE5">
            <w:r w:rsidRPr="00883125">
              <w:t>Combined drop off of 1.29. With dividends at full value, this is a utilisation rate of 0.68.</w:t>
            </w:r>
          </w:p>
        </w:tc>
      </w:tr>
      <w:tr w:rsidR="00B27BE5" w:rsidRPr="00222643" w:rsidTr="00B27BE5">
        <w:trPr>
          <w:cantSplit/>
          <w:trHeight w:val="284"/>
        </w:trPr>
        <w:tc>
          <w:tcPr>
            <w:tcW w:w="392" w:type="dxa"/>
          </w:tcPr>
          <w:p w:rsidR="00B27BE5" w:rsidRPr="00883125" w:rsidRDefault="00B27BE5" w:rsidP="00B27BE5"/>
        </w:tc>
        <w:tc>
          <w:tcPr>
            <w:tcW w:w="2835" w:type="dxa"/>
          </w:tcPr>
          <w:p w:rsidR="00B27BE5" w:rsidRPr="00B27BE5" w:rsidRDefault="00B27BE5" w:rsidP="00B27BE5">
            <w:r w:rsidRPr="00883125">
              <w:t>Walker and Partington (1999)</w:t>
            </w:r>
            <w:r w:rsidRPr="00B27BE5">
              <w:rPr>
                <w:rStyle w:val="FootnoteReference"/>
              </w:rPr>
              <w:footnoteReference w:id="590"/>
            </w:r>
          </w:p>
        </w:tc>
        <w:tc>
          <w:tcPr>
            <w:tcW w:w="1346" w:type="dxa"/>
          </w:tcPr>
          <w:p w:rsidR="00B27BE5" w:rsidRPr="00B27BE5" w:rsidRDefault="00B27BE5" w:rsidP="00B27BE5">
            <w:r w:rsidRPr="00883125">
              <w:t>0.88–0.96</w:t>
            </w:r>
            <w:r w:rsidRPr="00883125">
              <w:br/>
              <w:t>(1995–1997)</w:t>
            </w:r>
          </w:p>
        </w:tc>
        <w:tc>
          <w:tcPr>
            <w:tcW w:w="1347" w:type="dxa"/>
          </w:tcPr>
          <w:p w:rsidR="00B27BE5" w:rsidRPr="00883125" w:rsidRDefault="00B27BE5" w:rsidP="00B27BE5"/>
        </w:tc>
        <w:tc>
          <w:tcPr>
            <w:tcW w:w="3322" w:type="dxa"/>
            <w:gridSpan w:val="2"/>
          </w:tcPr>
          <w:p w:rsidR="00B27BE5" w:rsidRPr="00883125" w:rsidDel="003D6627" w:rsidRDefault="00B27BE5" w:rsidP="00B27BE5"/>
        </w:tc>
      </w:tr>
      <w:tr w:rsidR="00B27BE5" w:rsidRPr="00222643" w:rsidTr="00B27BE5">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B27BE5" w:rsidRPr="00883125" w:rsidRDefault="00B27BE5" w:rsidP="00B27BE5"/>
        </w:tc>
        <w:tc>
          <w:tcPr>
            <w:tcW w:w="2835" w:type="dxa"/>
          </w:tcPr>
          <w:p w:rsidR="00B27BE5" w:rsidRPr="00B27BE5" w:rsidRDefault="00B27BE5" w:rsidP="00B27BE5">
            <w:r w:rsidRPr="00883125">
              <w:t>Chu and Partington (2001)</w:t>
            </w:r>
            <w:r w:rsidRPr="00B27BE5">
              <w:rPr>
                <w:rStyle w:val="FootnoteReference"/>
              </w:rPr>
              <w:footnoteReference w:id="591"/>
            </w:r>
          </w:p>
        </w:tc>
        <w:tc>
          <w:tcPr>
            <w:tcW w:w="1346" w:type="dxa"/>
          </w:tcPr>
          <w:p w:rsidR="00B27BE5" w:rsidRPr="00B27BE5" w:rsidRDefault="00B27BE5" w:rsidP="00B27BE5">
            <w:r w:rsidRPr="00883125">
              <w:t>N/A</w:t>
            </w:r>
            <w:r w:rsidRPr="00883125">
              <w:br/>
              <w:t>(1991–1999)</w:t>
            </w:r>
          </w:p>
        </w:tc>
        <w:tc>
          <w:tcPr>
            <w:tcW w:w="1347" w:type="dxa"/>
          </w:tcPr>
          <w:p w:rsidR="00B27BE5" w:rsidRPr="00883125" w:rsidRDefault="00B27BE5" w:rsidP="00B27BE5"/>
        </w:tc>
        <w:tc>
          <w:tcPr>
            <w:tcW w:w="3322" w:type="dxa"/>
            <w:gridSpan w:val="2"/>
          </w:tcPr>
          <w:p w:rsidR="00B27BE5" w:rsidRPr="00B27BE5" w:rsidDel="003D6627" w:rsidRDefault="00B27BE5" w:rsidP="00B27BE5">
            <w:r w:rsidRPr="00883125">
              <w:t>Combined drop off of 1.5. With dividends at full value, this is a utilisation rate above 1.</w:t>
            </w:r>
          </w:p>
        </w:tc>
      </w:tr>
    </w:tbl>
    <w:p w:rsidR="00B27BE5" w:rsidRPr="00883125" w:rsidRDefault="00B27BE5" w:rsidP="00B27BE5">
      <w:pPr>
        <w:pStyle w:val="AERtablesource"/>
      </w:pPr>
      <w:r w:rsidRPr="00883125">
        <w:t xml:space="preserve">Source: </w:t>
      </w:r>
      <w:r w:rsidRPr="00883125">
        <w:tab/>
        <w:t>As specified in table.</w:t>
      </w:r>
    </w:p>
    <w:p w:rsidR="00B27BE5" w:rsidRPr="00883125" w:rsidRDefault="00B27BE5" w:rsidP="00B27BE5">
      <w:r w:rsidRPr="00883125">
        <w:t>In relation to the 2015 study by Siau et al, this is an academic journal published version of the early study by Siau et al already considered by us. The 2015 paper has relatively minor editorial changes and gives us no cause to change our views.</w:t>
      </w:r>
      <w:r w:rsidRPr="00883125">
        <w:rPr>
          <w:rStyle w:val="FootnoteReference"/>
        </w:rPr>
        <w:footnoteReference w:id="592"/>
      </w:r>
      <w:r w:rsidRPr="00883125">
        <w:t xml:space="preserve"> </w:t>
      </w:r>
    </w:p>
    <w:p w:rsidR="00B27BE5" w:rsidRPr="00883125" w:rsidRDefault="00B27BE5" w:rsidP="00B27BE5">
      <w:r w:rsidRPr="00883125">
        <w:t>In relation to the 2015 study by NERA, this is an update of the 2013 study by NERA using one extra year's data. The results are somewhat similar to the 2013 study and we consider the results do not provide compelling evidence on the value of imputation credits, particularly given the large negative estimate for the value of imputation credits.</w:t>
      </w:r>
      <w:r w:rsidRPr="00883125">
        <w:rPr>
          <w:rStyle w:val="FootnoteReference"/>
        </w:rPr>
        <w:footnoteReference w:id="593"/>
      </w:r>
      <w:r w:rsidRPr="00883125">
        <w:t xml:space="preserve"> While NERA has responded to the criticism effectively stating the results may indicate there is something wrong with the SLCAPM</w:t>
      </w:r>
      <w:r w:rsidRPr="00883125">
        <w:rPr>
          <w:rStyle w:val="FootnoteReference"/>
        </w:rPr>
        <w:footnoteReference w:id="594"/>
      </w:r>
      <w:r w:rsidRPr="00883125">
        <w:t>, this does not resolve the issue of the reliability of the theta estimate for use in the SLCAPM.</w:t>
      </w:r>
      <w:r w:rsidRPr="00883125">
        <w:rPr>
          <w:rStyle w:val="FootnoteReference"/>
        </w:rPr>
        <w:footnoteReference w:id="595"/>
      </w:r>
      <w:r w:rsidRPr="00883125">
        <w:t xml:space="preserve"> </w:t>
      </w:r>
      <w:r w:rsidR="006C67CA">
        <w:t>A</w:t>
      </w:r>
      <w:r w:rsidRPr="00883125">
        <w:t xml:space="preserve">s outlined by Ainsworth, Partington and Warren (2015) </w:t>
      </w:r>
      <w:r w:rsidRPr="00883125">
        <w:lastRenderedPageBreak/>
        <w:t>the negative value on imputation credits is implausible and the sign on the coefficient probably flags issues with the empirical method.</w:t>
      </w:r>
      <w:r w:rsidRPr="00883125">
        <w:rPr>
          <w:rStyle w:val="FootnoteReference"/>
        </w:rPr>
        <w:footnoteReference w:id="596"/>
      </w:r>
    </w:p>
    <w:p w:rsidR="00B27BE5" w:rsidRPr="00883125" w:rsidRDefault="00B27BE5" w:rsidP="00B27BE5">
      <w:pPr>
        <w:pStyle w:val="Heading9"/>
      </w:pPr>
      <w:bookmarkStart w:id="189" w:name="_Ref435171205"/>
      <w:r w:rsidRPr="00883125">
        <w:t>Comparison with other market-based estimation approaches</w:t>
      </w:r>
      <w:bookmarkEnd w:id="189"/>
    </w:p>
    <w:p w:rsidR="00B27BE5" w:rsidRPr="00883125" w:rsidRDefault="00B27BE5" w:rsidP="00B27BE5">
      <w:r w:rsidRPr="00883125">
        <w:t>The majority of service providers have submitted that the use of implied market value studies to estimate the value of imputation credits is consistent with the approach to estimating other rate of return parameters.</w:t>
      </w:r>
      <w:r w:rsidRPr="00883125">
        <w:rPr>
          <w:rStyle w:val="FootnoteReference"/>
        </w:rPr>
        <w:footnoteReference w:id="597"/>
      </w:r>
      <w:r w:rsidRPr="00883125">
        <w:t xml:space="preserve"> We disagree. As we set our prior decisions, we consider that the use of market prices to estimate the value of imputation credits is fundamentally different to using market prices to estimate other rate of return parameters. </w:t>
      </w:r>
    </w:p>
    <w:p w:rsidR="00B27BE5" w:rsidRPr="00883125" w:rsidRDefault="00B27BE5" w:rsidP="00B27BE5">
      <w:r w:rsidRPr="00883125">
        <w:t>For example, bonds are separately and (generally) regularly traded, and we can observe the market price that arises from this trading. As correctly noted by Gray (for SFG), '…when estimating the cost of debt the AER uses traded bond prices which reflect the value of those bonds to investors…'.</w:t>
      </w:r>
      <w:r w:rsidRPr="00883125">
        <w:rPr>
          <w:rStyle w:val="FootnoteReference"/>
        </w:rPr>
        <w:footnoteReference w:id="598"/>
      </w:r>
      <w:r w:rsidRPr="00883125">
        <w:t xml:space="preserve"> By contrast, imputation credits are not separately traded. Therefore, no market price exists for imputation credits in the same manner as that for separately traded assets.</w:t>
      </w:r>
    </w:p>
    <w:p w:rsidR="00B27BE5" w:rsidRPr="00883125" w:rsidRDefault="00B27BE5" w:rsidP="00B27BE5">
      <w:r w:rsidRPr="00883125">
        <w:t xml:space="preserve">Further, when returns are calculated on bonds for the cost of debt, and capital gains/loss for the return on equity, these returns are </w:t>
      </w:r>
      <w:r w:rsidR="00B64830">
        <w:t>pre-personal tax returns</w:t>
      </w:r>
      <w:r w:rsidRPr="00883125">
        <w:t>. However, imputation credits and dividends market values derived from drop off studies are influenced by differential personal tax</w:t>
      </w:r>
      <w:r w:rsidR="00B64830">
        <w:t xml:space="preserve"> resulting in these values being neither pre nor post tax values</w:t>
      </w:r>
      <w:r w:rsidRPr="00883125">
        <w:t xml:space="preserve">. </w:t>
      </w:r>
      <w:r w:rsidR="00B64830">
        <w:t>Lally notes that differential personal taxes on different types of income should affect the pre personal tax costs of debt and equity but they should not affect the estimate of theta.</w:t>
      </w:r>
      <w:r w:rsidR="00B64830" w:rsidRPr="00B64830">
        <w:rPr>
          <w:rStyle w:val="FootnoteReference"/>
        </w:rPr>
        <w:t xml:space="preserve"> </w:t>
      </w:r>
      <w:r w:rsidR="00B64830">
        <w:rPr>
          <w:rStyle w:val="FootnoteReference"/>
        </w:rPr>
        <w:footnoteReference w:id="599"/>
      </w:r>
      <w:r w:rsidR="00B64830">
        <w:t xml:space="preserve"> </w:t>
      </w:r>
      <w:r w:rsidRPr="00883125">
        <w:t xml:space="preserve">This is further discussed in detail in section </w:t>
      </w:r>
      <w:r>
        <w:fldChar w:fldCharType="begin"/>
      </w:r>
      <w:r>
        <w:instrText xml:space="preserve"> REF _Ref450840388 \r \h </w:instrText>
      </w:r>
      <w:r>
        <w:fldChar w:fldCharType="separate"/>
      </w:r>
      <w:r w:rsidR="00881794">
        <w:t>A.8.2</w:t>
      </w:r>
      <w:r>
        <w:fldChar w:fldCharType="end"/>
      </w:r>
      <w:r w:rsidRPr="00883125">
        <w:t xml:space="preserve"> and an example is provided to demonstrate the impact below.</w:t>
      </w:r>
    </w:p>
    <w:p w:rsidR="00B27BE5" w:rsidRPr="00883125" w:rsidRDefault="00B27BE5" w:rsidP="00B27BE5">
      <w:r w:rsidRPr="00883125">
        <w:t xml:space="preserve">We also noted in the decisions released in 2014 and April and June 2015 that, because no market price exists for imputation credits in the same manner as that for separately traded assets, dividend drop off studies must infer using ex-dividend price changes and econometric techniques the value attributed to imputation credits by investors. This is in contrast to simply observing or measuring the value attributed to imputation credits by </w:t>
      </w:r>
      <w:r w:rsidRPr="00883125">
        <w:lastRenderedPageBreak/>
        <w:t>investors via prices resulting from market transactions in imputation credits. Gray (for both SFG and Frontier) noted that we apply econometric techniques (that is, regression analysis) to observed market prices when estimating beta.</w:t>
      </w:r>
      <w:r w:rsidRPr="00883125">
        <w:rPr>
          <w:rStyle w:val="FootnoteReference"/>
        </w:rPr>
        <w:footnoteReference w:id="600"/>
      </w:r>
      <w:r w:rsidRPr="00883125">
        <w:t xml:space="preserve"> This is correct, but beta is not a measure of the value attributed to an asset by investors; for example, Gray's definition of beta (for SFG) is ‘the risk of the asset or firm in question relative to the average firm or asset’.</w:t>
      </w:r>
      <w:r w:rsidRPr="00883125">
        <w:rPr>
          <w:rStyle w:val="FootnoteReference"/>
        </w:rPr>
        <w:footnoteReference w:id="601"/>
      </w:r>
    </w:p>
    <w:p w:rsidR="00B27BE5" w:rsidRPr="00883125" w:rsidRDefault="00B27BE5" w:rsidP="00B27BE5">
      <w:r w:rsidRPr="00883125">
        <w:t>A number of service providers also submitted, consistent with advice from Gray (for SFG), that we do not seek to adjust other rate of return parameters for personal costs.</w:t>
      </w:r>
      <w:r w:rsidRPr="00883125">
        <w:rPr>
          <w:rStyle w:val="FootnoteReference"/>
        </w:rPr>
        <w:footnoteReference w:id="602"/>
      </w:r>
      <w:r w:rsidRPr="00883125">
        <w:t xml:space="preserve"> They consider that the value of imputation credits will reflect transaction costs that are associated with redeeming imputation credits.</w:t>
      </w:r>
      <w:r w:rsidRPr="00883125">
        <w:rPr>
          <w:rStyle w:val="FootnoteReference"/>
        </w:rPr>
        <w:footnoteReference w:id="603"/>
      </w:r>
    </w:p>
    <w:p w:rsidR="00B27BE5" w:rsidRPr="00883125" w:rsidRDefault="00B27BE5" w:rsidP="00B27BE5">
      <w:r w:rsidRPr="00883125">
        <w:t>However, this consideration did not change Handley’s view—which we accept—that the value of imputation credits should be estimated on a before-personal-tax and before-personal-costs basis:</w:t>
      </w:r>
      <w:r w:rsidRPr="00883125">
        <w:rPr>
          <w:rStyle w:val="FootnoteReference"/>
        </w:rPr>
        <w:footnoteReference w:id="604"/>
      </w:r>
    </w:p>
    <w:p w:rsidR="00B27BE5" w:rsidRPr="00883125" w:rsidRDefault="00B27BE5" w:rsidP="00B27BE5">
      <w:pPr>
        <w:pStyle w:val="AERquote"/>
      </w:pPr>
      <w:r w:rsidRPr="00883125">
        <w:t xml:space="preserve">In other words,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 This approach is also consistent with the standard approach to calculating a return in a classical tax system – you take the observed capital gain and the observed dividend without making any adjustment for personal taxes or personal costs associated with trading the share or receiving the dividend.</w:t>
      </w:r>
    </w:p>
    <w:p w:rsidR="00B27BE5" w:rsidRPr="00883125" w:rsidRDefault="00B27BE5" w:rsidP="00B27BE5">
      <w:r w:rsidRPr="00883125">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p>
    <w:p w:rsidR="00B27BE5" w:rsidRPr="00883125" w:rsidRDefault="00B27BE5" w:rsidP="001106D0">
      <w:r w:rsidRPr="00883125">
        <w:t>To explain how personal taxes influence market price/returns in the dividend drop off studies we present a simple example below. Dividend drop off studies work on a no arbitrage argument</w:t>
      </w:r>
      <w:r w:rsidR="00985E2E">
        <w:t>. In perfect capital with no transaction cost, no differential tax on dividends relative to capital gains and no risk</w:t>
      </w:r>
      <w:r w:rsidR="001106D0">
        <w:t xml:space="preserve">, the theory of no arbitrage predicts an ex-dividend drop-off being </w:t>
      </w:r>
      <w:r w:rsidR="001106D0">
        <w:lastRenderedPageBreak/>
        <w:t>equal to the face value of the dividend. A</w:t>
      </w:r>
      <w:r w:rsidR="00E1560E">
        <w:t xml:space="preserve"> representative</w:t>
      </w:r>
      <w:r w:rsidRPr="00883125">
        <w:t xml:space="preserve"> investor should be indifferent between the two following strategies:</w:t>
      </w:r>
      <w:r w:rsidRPr="00883125">
        <w:rPr>
          <w:rStyle w:val="FootnoteReference"/>
        </w:rPr>
        <w:footnoteReference w:id="605"/>
      </w:r>
    </w:p>
    <w:p w:rsidR="00B27BE5" w:rsidRPr="00B27BE5" w:rsidRDefault="00B27BE5" w:rsidP="00B27BE5">
      <w:pPr>
        <w:pStyle w:val="AERbulletlistfirststyle"/>
      </w:pPr>
      <w:r w:rsidRPr="00883125">
        <w:t>Sell</w:t>
      </w:r>
      <w:r w:rsidRPr="00B27BE5">
        <w:t>ing their stock the day before the shareholder is entitled to receive the dividend at the cum-dividend price (P</w:t>
      </w:r>
      <w:r w:rsidRPr="00B27BE5">
        <w:rPr>
          <w:rStyle w:val="AERsubscript"/>
        </w:rPr>
        <w:t>cum-div</w:t>
      </w:r>
      <w:r w:rsidRPr="00B27BE5">
        <w:t>). In this scenario the shareholder receives only the proceeds from the sale of the shares.</w:t>
      </w:r>
    </w:p>
    <w:p w:rsidR="00B27BE5" w:rsidRPr="00B27BE5" w:rsidRDefault="00B27BE5" w:rsidP="00B27BE5">
      <w:pPr>
        <w:pStyle w:val="AERbulletlistfirststyle"/>
      </w:pPr>
      <w:r w:rsidRPr="00883125">
        <w:t>Se</w:t>
      </w:r>
      <w:r w:rsidRPr="00B27BE5">
        <w:t>lling their stock when the shareholder is entitled to receive the dividend at the ex-dividend price (P</w:t>
      </w:r>
      <w:r w:rsidRPr="00B27BE5">
        <w:rPr>
          <w:rStyle w:val="AERsubscript"/>
        </w:rPr>
        <w:t>ex-div</w:t>
      </w:r>
      <w:r w:rsidRPr="00B27BE5">
        <w:t>). In this scenario the shareholder receives both the dividend (D) and proceeds from the sale of the shares.</w:t>
      </w:r>
    </w:p>
    <w:p w:rsidR="00B27BE5" w:rsidRPr="00883125" w:rsidRDefault="00B27BE5" w:rsidP="00B27BE5">
      <w:r w:rsidRPr="00883125">
        <w:t>An investor should be indifferent between the two strategies given that if one strategy is more profitable then arbitrage opportunities will exist. However, arbitrage opportunities will be eliminated as the buying pressure on the more profitable strategy combined with the selling pressure on less profitable strategy will result in an equilibrium outcome, where the two strategies yield the same return.</w:t>
      </w:r>
      <w:r w:rsidR="00E1560E">
        <w:t xml:space="preserve"> Note that </w:t>
      </w:r>
      <w:r w:rsidR="00E1560E" w:rsidRPr="00883125">
        <w:t>investors care about their post-personal tax return and not their pre-personal tax return. What is important to investors is the return they get after paying their taxes and not what they receive before taxes.</w:t>
      </w:r>
    </w:p>
    <w:p w:rsidR="00B27BE5" w:rsidRPr="00883125" w:rsidRDefault="00E1560E" w:rsidP="00B27BE5">
      <w:r>
        <w:t xml:space="preserve">Where income and capital gains are taxed at the same rate, </w:t>
      </w:r>
      <w:r w:rsidRPr="00883125">
        <w:t>the investor should be indifferent between receiving the cum-dividend price or the ex-dividend price plus the dividend. I.e</w:t>
      </w:r>
      <w:r w:rsidR="00B27BE5" w:rsidRPr="00883125">
        <w:t>.</w:t>
      </w:r>
    </w:p>
    <w:p w:rsidR="00B27BE5" w:rsidRPr="00883125" w:rsidRDefault="00B27BE5" w:rsidP="005764F6"/>
    <w:p w:rsidR="00B27BE5" w:rsidRDefault="00B27BE5" w:rsidP="00B27BE5">
      <w:pPr>
        <w:pStyle w:val="AERbodytextcentre"/>
      </w:pPr>
      <w:r w:rsidRPr="00883125">
        <w:t>P</w:t>
      </w:r>
      <w:r w:rsidRPr="00B27BE5">
        <w:rPr>
          <w:rStyle w:val="AERsubscript"/>
        </w:rPr>
        <w:t>cum-div</w:t>
      </w:r>
      <w:r w:rsidRPr="00B27BE5">
        <w:t xml:space="preserve"> = P</w:t>
      </w:r>
      <w:r w:rsidRPr="00B27BE5">
        <w:rPr>
          <w:rStyle w:val="AERsubscript"/>
        </w:rPr>
        <w:t>ex-div</w:t>
      </w:r>
      <w:r w:rsidRPr="00B27BE5">
        <w:t xml:space="preserve"> + D</w:t>
      </w:r>
    </w:p>
    <w:p w:rsidR="00F11B9E" w:rsidRPr="00B27BE5" w:rsidRDefault="00F11B9E" w:rsidP="005764F6"/>
    <w:p w:rsidR="00B27BE5" w:rsidRPr="00883125" w:rsidRDefault="00E1560E" w:rsidP="00B27BE5">
      <w:r>
        <w:t xml:space="preserve">More generally, </w:t>
      </w:r>
      <w:r w:rsidRPr="00883125">
        <w:t xml:space="preserve">the results </w:t>
      </w:r>
      <w:r>
        <w:t xml:space="preserve">of market studies </w:t>
      </w:r>
      <w:r w:rsidRPr="00883125">
        <w:t>are influenced by personal taxes and need to be interpreted in light of this. For our regulatory purposes the efficient costs that are imposed on the benchmark efficient firm is what matters</w:t>
      </w:r>
      <w:r w:rsidR="00B27BE5" w:rsidRPr="00883125">
        <w:t xml:space="preserve">. That is, the pre personal taxes and personal costs impact. Market parameter estimates that are influenced by personal tax and personal cost factors which do not correctly reflect the efficient post-tax costs faced by the benchmark efficient entity are not appropriate estimates under our post tax regulatory framework. </w:t>
      </w:r>
    </w:p>
    <w:p w:rsidR="00B27BE5" w:rsidRPr="00883125" w:rsidRDefault="00B27BE5" w:rsidP="00B27BE5">
      <w:r w:rsidRPr="00883125">
        <w:t>To demonstrate assume an investor faces the following investment scenario:</w:t>
      </w:r>
    </w:p>
    <w:p w:rsidR="00B27BE5" w:rsidRPr="00B27BE5" w:rsidRDefault="00B27BE5" w:rsidP="00B27BE5">
      <w:pPr>
        <w:pStyle w:val="AERbulletlistthirdstyle"/>
      </w:pPr>
      <w:r w:rsidRPr="00883125">
        <w:t>(P</w:t>
      </w:r>
      <w:r w:rsidRPr="00B27BE5">
        <w:rPr>
          <w:rStyle w:val="AERsubscript"/>
        </w:rPr>
        <w:t>cost</w:t>
      </w:r>
      <w:r w:rsidRPr="00B27BE5">
        <w:t>) Purchased share in 2010 for $10</w:t>
      </w:r>
    </w:p>
    <w:p w:rsidR="00B27BE5" w:rsidRPr="00B27BE5" w:rsidRDefault="00B27BE5" w:rsidP="00B27BE5">
      <w:pPr>
        <w:pStyle w:val="AERbulletlistthirdstyle"/>
      </w:pPr>
      <w:r w:rsidRPr="00883125">
        <w:t>(P</w:t>
      </w:r>
      <w:r w:rsidRPr="00B27BE5">
        <w:rPr>
          <w:rStyle w:val="AERsubscript"/>
        </w:rPr>
        <w:t>cum-div</w:t>
      </w:r>
      <w:r w:rsidRPr="00B27BE5">
        <w:t>) Current cum dividend price in 2016 is $20</w:t>
      </w:r>
    </w:p>
    <w:p w:rsidR="00B27BE5" w:rsidRPr="00B27BE5" w:rsidRDefault="00B27BE5" w:rsidP="00B27BE5">
      <w:pPr>
        <w:pStyle w:val="AERbulletlistthirdstyle"/>
      </w:pPr>
      <w:r w:rsidRPr="00883125">
        <w:t xml:space="preserve">(D) </w:t>
      </w:r>
      <w:r w:rsidRPr="00B27BE5">
        <w:t>2016 dividend is $1 assume fully unfranked</w:t>
      </w:r>
    </w:p>
    <w:p w:rsidR="00B27BE5" w:rsidRPr="00B27BE5" w:rsidRDefault="00B27BE5" w:rsidP="00B27BE5">
      <w:pPr>
        <w:pStyle w:val="AERbulletlistthirdstyle"/>
      </w:pPr>
      <w:r w:rsidRPr="00883125">
        <w:lastRenderedPageBreak/>
        <w:t>(P</w:t>
      </w:r>
      <w:r w:rsidRPr="00B27BE5">
        <w:rPr>
          <w:rStyle w:val="AERsubscript"/>
        </w:rPr>
        <w:t>ex-div</w:t>
      </w:r>
      <w:r w:rsidRPr="00B27BE5">
        <w:t>) Ex-dividend price in 2016 is $19 (calculated as cum-div price minus dividend)</w:t>
      </w:r>
    </w:p>
    <w:p w:rsidR="00B27BE5" w:rsidRPr="00B27BE5" w:rsidRDefault="00B27BE5" w:rsidP="00B27BE5">
      <w:pPr>
        <w:pStyle w:val="AERbulletlistthirdstyle"/>
      </w:pPr>
      <w:r w:rsidRPr="00883125">
        <w:t xml:space="preserve">(MTR) </w:t>
      </w:r>
      <w:r w:rsidRPr="00B27BE5">
        <w:t>Investors marginal tax rate = 47 %</w:t>
      </w:r>
    </w:p>
    <w:p w:rsidR="00B27BE5" w:rsidRPr="00B27BE5" w:rsidRDefault="00B27BE5" w:rsidP="00B27BE5">
      <w:pPr>
        <w:pStyle w:val="AERbulletlistthirdstyle"/>
      </w:pPr>
      <w:r w:rsidRPr="00883125">
        <w:t>(CGT</w:t>
      </w:r>
      <w:r w:rsidRPr="00B27BE5">
        <w:rPr>
          <w:rStyle w:val="AERsubscript"/>
        </w:rPr>
        <w:t>discount</w:t>
      </w:r>
      <w:r w:rsidRPr="00B27BE5">
        <w:t>) capital gains discount (0.5 when shares held for more than 12 months, otherwise 1)</w:t>
      </w:r>
    </w:p>
    <w:p w:rsidR="00B27BE5" w:rsidRPr="00B27BE5" w:rsidRDefault="00B27BE5" w:rsidP="00B27BE5">
      <w:pPr>
        <w:pStyle w:val="AERbulletlistthirdstyle"/>
      </w:pPr>
      <w:r w:rsidRPr="00883125">
        <w:t xml:space="preserve">For the time being it will </w:t>
      </w:r>
      <w:r w:rsidRPr="00B27BE5">
        <w:t>be assumed that there is one type of investor in the economy, however, this assumption will be relaxed.</w:t>
      </w:r>
    </w:p>
    <w:p w:rsidR="00E1560E" w:rsidRPr="00E1560E" w:rsidRDefault="00E1560E" w:rsidP="005764F6">
      <w:pPr>
        <w:rPr>
          <w:rStyle w:val="AERbody"/>
        </w:rPr>
      </w:pPr>
      <w:r w:rsidRPr="00E1560E">
        <w:rPr>
          <w:rStyle w:val="AERbody"/>
        </w:rPr>
        <w:t>Under this scenario ex-dividend and cum-dividend returns are equal on a pre-personal tax basis:</w:t>
      </w:r>
    </w:p>
    <w:p w:rsidR="00B27BE5" w:rsidRPr="00883125" w:rsidRDefault="00B27BE5" w:rsidP="00B27BE5">
      <w:pPr>
        <w:rPr>
          <w:rStyle w:val="AERbody"/>
        </w:rPr>
      </w:pPr>
    </w:p>
    <w:p w:rsidR="00B27BE5" w:rsidRPr="00883125" w:rsidRDefault="00B27BE5" w:rsidP="00B27BE5">
      <w:pPr>
        <w:pStyle w:val="AERbodytextcentre"/>
      </w:pPr>
      <w:r w:rsidRPr="00883125">
        <w:t>P</w:t>
      </w:r>
      <w:r w:rsidRPr="00883125">
        <w:rPr>
          <w:rStyle w:val="AERsubscript"/>
        </w:rPr>
        <w:t>cum-div</w:t>
      </w:r>
      <w:r w:rsidRPr="00883125">
        <w:t xml:space="preserve"> = P</w:t>
      </w:r>
      <w:r w:rsidRPr="00883125">
        <w:rPr>
          <w:rStyle w:val="AERsubscript"/>
        </w:rPr>
        <w:t>ex-div</w:t>
      </w:r>
      <w:r w:rsidRPr="00883125">
        <w:t xml:space="preserve"> + D</w:t>
      </w:r>
    </w:p>
    <w:p w:rsidR="00B27BE5" w:rsidRPr="00883125" w:rsidRDefault="00B27BE5" w:rsidP="00B27BE5">
      <w:pPr>
        <w:pStyle w:val="AERbodytextcentre"/>
      </w:pPr>
      <w:r w:rsidRPr="00883125">
        <w:t>20 = 19 +1</w:t>
      </w:r>
    </w:p>
    <w:p w:rsidR="00B27BE5" w:rsidRPr="00B27BE5" w:rsidRDefault="00B27BE5" w:rsidP="00B27BE5">
      <w:pPr>
        <w:rPr>
          <w:rStyle w:val="AERbody"/>
        </w:rPr>
      </w:pPr>
    </w:p>
    <w:p w:rsidR="00B27BE5" w:rsidRPr="00B27BE5" w:rsidRDefault="00B27BE5" w:rsidP="00B27BE5">
      <w:pPr>
        <w:rPr>
          <w:rStyle w:val="AERbody"/>
        </w:rPr>
      </w:pPr>
      <w:r w:rsidRPr="00B27BE5">
        <w:rPr>
          <w:rStyle w:val="AERbody"/>
        </w:rPr>
        <w:t>However, investors care about their post personal tax return and not their pre-personal tax returns. As a result, the investors post personal tax return if they sell cum-dividend is:</w:t>
      </w:r>
    </w:p>
    <w:p w:rsidR="00B27BE5" w:rsidRPr="00B27BE5" w:rsidRDefault="00B27BE5" w:rsidP="00B27BE5">
      <w:pPr>
        <w:rPr>
          <w:rStyle w:val="AERbody"/>
        </w:rPr>
      </w:pPr>
    </w:p>
    <w:p w:rsidR="00B27BE5" w:rsidRPr="00883125" w:rsidRDefault="00B27BE5" w:rsidP="00B27BE5">
      <w:pPr>
        <w:pStyle w:val="AERbodytextcentre"/>
      </w:pPr>
      <w:r w:rsidRPr="00883125">
        <w:t>Post Tax return = P</w:t>
      </w:r>
      <w:r w:rsidRPr="00883125">
        <w:rPr>
          <w:rStyle w:val="AERsubscript"/>
        </w:rPr>
        <w:t>cum-div</w:t>
      </w:r>
      <w:r w:rsidRPr="00883125">
        <w:t xml:space="preserve"> - Personal Tax (CGT)</w:t>
      </w:r>
    </w:p>
    <w:p w:rsidR="00B27BE5" w:rsidRPr="00883125" w:rsidRDefault="00B27BE5" w:rsidP="00B27BE5">
      <w:pPr>
        <w:pStyle w:val="AERbodytextcentre"/>
      </w:pPr>
      <w:r w:rsidRPr="00883125">
        <w:t>Personal Tax (CGT) = (P</w:t>
      </w:r>
      <w:r w:rsidRPr="00883125">
        <w:rPr>
          <w:rStyle w:val="AERsubscript"/>
        </w:rPr>
        <w:t xml:space="preserve">cum-div </w:t>
      </w:r>
      <w:r w:rsidRPr="00883125">
        <w:t>- P</w:t>
      </w:r>
      <w:r w:rsidRPr="00883125">
        <w:rPr>
          <w:rStyle w:val="AERsubscript"/>
        </w:rPr>
        <w:t>cost</w:t>
      </w:r>
      <w:r w:rsidRPr="00883125">
        <w:t>) * MTR * CGT</w:t>
      </w:r>
      <w:r w:rsidRPr="00883125">
        <w:rPr>
          <w:rStyle w:val="AERsubscript"/>
        </w:rPr>
        <w:t>discount</w:t>
      </w:r>
    </w:p>
    <w:p w:rsidR="00B27BE5" w:rsidRPr="00883125" w:rsidRDefault="00B27BE5" w:rsidP="00B27BE5">
      <w:pPr>
        <w:pStyle w:val="AERbodytextcentre"/>
      </w:pPr>
      <w:r w:rsidRPr="00883125">
        <w:t>Personal Tax Capital Gain = (20-10) * 0.5 * 0.47</w:t>
      </w:r>
    </w:p>
    <w:p w:rsidR="00B27BE5" w:rsidRPr="00883125" w:rsidRDefault="00B27BE5" w:rsidP="00B27BE5">
      <w:pPr>
        <w:pStyle w:val="AERbodytextcentre"/>
      </w:pPr>
      <w:r w:rsidRPr="00883125">
        <w:t>Personal Tax Capital Gain = 2.35</w:t>
      </w:r>
    </w:p>
    <w:p w:rsidR="00B27BE5" w:rsidRPr="00883125" w:rsidRDefault="00B27BE5" w:rsidP="00B27BE5">
      <w:pPr>
        <w:pStyle w:val="AERbodytextcentre"/>
      </w:pPr>
      <w:r w:rsidRPr="00883125">
        <w:t>Post Tax return = 20 - 2.35 = 17.65</w:t>
      </w:r>
    </w:p>
    <w:p w:rsidR="00B27BE5" w:rsidRPr="00883125" w:rsidRDefault="00B27BE5" w:rsidP="00B27BE5"/>
    <w:p w:rsidR="00B27BE5" w:rsidRPr="00883125" w:rsidRDefault="00B27BE5" w:rsidP="00B27BE5">
      <w:r w:rsidRPr="00883125">
        <w:t>The investors post personal tax return if they sell ex-dividend is:</w:t>
      </w:r>
    </w:p>
    <w:p w:rsidR="00B27BE5" w:rsidRPr="00883125" w:rsidRDefault="00B27BE5" w:rsidP="00B27BE5"/>
    <w:p w:rsidR="00B27BE5" w:rsidRPr="00883125" w:rsidRDefault="00B27BE5" w:rsidP="00B27BE5">
      <w:pPr>
        <w:pStyle w:val="AERbodytextcentre"/>
      </w:pPr>
      <w:r w:rsidRPr="00883125">
        <w:t>Post Tax return = P</w:t>
      </w:r>
      <w:r w:rsidRPr="00883125">
        <w:rPr>
          <w:rStyle w:val="AERsubscript"/>
        </w:rPr>
        <w:t>ex-div</w:t>
      </w:r>
      <w:r w:rsidRPr="00883125">
        <w:t xml:space="preserve"> + D - Personal Tax (CGT) - Personal Tax (Dividend)</w:t>
      </w:r>
    </w:p>
    <w:p w:rsidR="00B27BE5" w:rsidRPr="00883125" w:rsidRDefault="00B27BE5" w:rsidP="00B27BE5">
      <w:pPr>
        <w:pStyle w:val="AERbodytextcentre"/>
      </w:pPr>
      <w:r w:rsidRPr="00883125">
        <w:t>Personal Tax (CGT) = (19-10) * 0.5 * 0.47 = 2.115</w:t>
      </w:r>
    </w:p>
    <w:p w:rsidR="00B27BE5" w:rsidRPr="00883125" w:rsidRDefault="00B27BE5" w:rsidP="00B27BE5">
      <w:pPr>
        <w:pStyle w:val="AERbodytextcentre"/>
      </w:pPr>
      <w:r w:rsidRPr="00883125">
        <w:t>Personal Tax (Dividend) = 1 * 0.47 = 0.47</w:t>
      </w:r>
    </w:p>
    <w:p w:rsidR="00B27BE5" w:rsidRPr="00883125" w:rsidRDefault="00B27BE5" w:rsidP="00B27BE5">
      <w:pPr>
        <w:pStyle w:val="AERbodytextcentre"/>
      </w:pPr>
      <w:r w:rsidRPr="00883125">
        <w:t>Total Tax = 2.115 + 0.47 = 2.585</w:t>
      </w:r>
    </w:p>
    <w:p w:rsidR="00B27BE5" w:rsidRPr="00883125" w:rsidRDefault="00B27BE5" w:rsidP="00B27BE5">
      <w:pPr>
        <w:pStyle w:val="AERbodytextcentre"/>
      </w:pPr>
      <w:r w:rsidRPr="00883125">
        <w:t>Post Tax return = P</w:t>
      </w:r>
      <w:r w:rsidRPr="00883125">
        <w:rPr>
          <w:rStyle w:val="AERsubscript"/>
        </w:rPr>
        <w:t>ex-div</w:t>
      </w:r>
      <w:r w:rsidRPr="00883125">
        <w:t xml:space="preserve"> + D - Personal Tax (CGT) - Personal Tax (Dividend)</w:t>
      </w:r>
    </w:p>
    <w:p w:rsidR="00B27BE5" w:rsidRPr="00883125" w:rsidRDefault="00B27BE5" w:rsidP="00B27BE5">
      <w:pPr>
        <w:pStyle w:val="AERbodytextcentre"/>
      </w:pPr>
      <w:r w:rsidRPr="00883125">
        <w:t>Post Tax return = 19 + 1 - 2.115 - 0.47 = 17.415</w:t>
      </w:r>
    </w:p>
    <w:p w:rsidR="00B27BE5" w:rsidRPr="00883125" w:rsidRDefault="00B27BE5" w:rsidP="005764F6"/>
    <w:p w:rsidR="00B27BE5" w:rsidRPr="00B27BE5" w:rsidRDefault="00B27BE5" w:rsidP="00B27BE5">
      <w:r w:rsidRPr="00883125">
        <w:t xml:space="preserve">As is evident on a post personal tax basis the investor is better off </w:t>
      </w:r>
      <w:r w:rsidRPr="00B27BE5">
        <w:t xml:space="preserve">by selling cum-dividend ($17.65) in contrast to selling ex-dividend ($17.415). Such a situation cannot exist in practice as arbitrage opportunities would exist. </w:t>
      </w:r>
      <w:r w:rsidR="00E1560E" w:rsidRPr="00B27BE5">
        <w:t xml:space="preserve">These arbitrage opportunities would increase </w:t>
      </w:r>
      <w:r w:rsidR="00E1560E">
        <w:t>supply</w:t>
      </w:r>
      <w:r w:rsidR="00E1560E" w:rsidRPr="00B27BE5">
        <w:t xml:space="preserve"> for cum-dividend pushing </w:t>
      </w:r>
      <w:r w:rsidR="00E1560E">
        <w:t>down</w:t>
      </w:r>
      <w:r w:rsidR="00E1560E" w:rsidRPr="00B27BE5">
        <w:t xml:space="preserve"> the cum-dividend price and increased </w:t>
      </w:r>
      <w:r w:rsidR="00E1560E">
        <w:t>demand for</w:t>
      </w:r>
      <w:r w:rsidR="00E1560E" w:rsidRPr="00B27BE5">
        <w:t xml:space="preserve"> ex-dividend would push the ex-dividend price </w:t>
      </w:r>
      <w:r w:rsidR="00E1560E">
        <w:t>up</w:t>
      </w:r>
      <w:r w:rsidR="00E1560E" w:rsidRPr="00B27BE5">
        <w:t>.</w:t>
      </w:r>
    </w:p>
    <w:p w:rsidR="00B27BE5" w:rsidRPr="00B27BE5" w:rsidRDefault="00E1560E" w:rsidP="00B27BE5">
      <w:r w:rsidRPr="00883125">
        <w:t>For</w:t>
      </w:r>
      <w:r w:rsidRPr="00B27BE5">
        <w:t xml:space="preserve"> no arbitrage opportunities to exist the post personal tax return must be the same cum dividend and ex-dividend</w:t>
      </w:r>
      <w:r>
        <w:t>,</w:t>
      </w:r>
      <w:r w:rsidRPr="00B27BE5">
        <w:t xml:space="preserve"> ignoring market volatility between cum-dividend price and ex-dividend price</w:t>
      </w:r>
      <w:r>
        <w:t xml:space="preserve"> for simplicity</w:t>
      </w:r>
      <w:r w:rsidRPr="00B27BE5">
        <w:t xml:space="preserve">. </w:t>
      </w:r>
      <w:r w:rsidR="00B27BE5" w:rsidRPr="00B27BE5">
        <w:t>Therefore:</w:t>
      </w:r>
    </w:p>
    <w:p w:rsidR="00B27BE5" w:rsidRPr="00883125" w:rsidRDefault="00B27BE5" w:rsidP="005764F6"/>
    <w:p w:rsidR="00B27BE5" w:rsidRPr="00883125" w:rsidRDefault="00B27BE5" w:rsidP="00B27BE5">
      <w:pPr>
        <w:pStyle w:val="AERbodytextcentre"/>
      </w:pPr>
      <w:r w:rsidRPr="00883125">
        <w:t>Post Tax return cum div = Post Tax return ex div</w:t>
      </w:r>
    </w:p>
    <w:p w:rsidR="00B27BE5" w:rsidRPr="00883125" w:rsidRDefault="00B27BE5" w:rsidP="00B27BE5">
      <w:pPr>
        <w:pStyle w:val="AERbodytextcentre"/>
      </w:pPr>
      <w:r w:rsidRPr="00883125">
        <w:t>P</w:t>
      </w:r>
      <w:r w:rsidRPr="00883125">
        <w:rPr>
          <w:rStyle w:val="AERsubscript"/>
        </w:rPr>
        <w:t>cum-div</w:t>
      </w:r>
      <w:r w:rsidRPr="00883125">
        <w:t xml:space="preserve"> - Personal Tax (CGT) = P</w:t>
      </w:r>
      <w:r w:rsidRPr="00883125">
        <w:rPr>
          <w:rStyle w:val="AERsubscript"/>
        </w:rPr>
        <w:t>ex-div</w:t>
      </w:r>
      <w:r w:rsidRPr="00883125">
        <w:t xml:space="preserve"> + D - Personal Tax (CGT) - Personal Tax (Dividend)</w:t>
      </w:r>
    </w:p>
    <w:p w:rsidR="00B27BE5" w:rsidRPr="00883125" w:rsidRDefault="00B27BE5" w:rsidP="00B27BE5">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ex-div</w:t>
      </w:r>
      <w:r w:rsidRPr="00883125">
        <w:t xml:space="preserve"> + D - (P</w:t>
      </w:r>
      <w:r w:rsidRPr="00883125">
        <w:rPr>
          <w:rStyle w:val="AERsubscript"/>
        </w:rPr>
        <w:t>ex-div</w:t>
      </w:r>
      <w:r w:rsidRPr="00883125">
        <w:t xml:space="preserve"> - P</w:t>
      </w:r>
      <w:r w:rsidRPr="00883125">
        <w:rPr>
          <w:rStyle w:val="AERsubscript"/>
        </w:rPr>
        <w:t>cost</w:t>
      </w:r>
      <w:r w:rsidRPr="00883125">
        <w:t>)* CGT</w:t>
      </w:r>
      <w:r w:rsidRPr="00883125">
        <w:rPr>
          <w:rStyle w:val="AERsubscript"/>
        </w:rPr>
        <w:t>discount</w:t>
      </w:r>
      <w:r w:rsidRPr="00883125">
        <w:t>*MTR - D*MTR</w:t>
      </w:r>
    </w:p>
    <w:p w:rsidR="00B27BE5" w:rsidRPr="00883125" w:rsidRDefault="00B27BE5" w:rsidP="00B27BE5">
      <w:pPr>
        <w:pStyle w:val="AERbodytextcentre"/>
      </w:pPr>
      <w:r w:rsidRPr="00883125">
        <w:t>This is the equilibrium condition.</w:t>
      </w:r>
    </w:p>
    <w:p w:rsidR="00B27BE5" w:rsidRPr="00883125" w:rsidRDefault="00B27BE5" w:rsidP="00B27BE5"/>
    <w:p w:rsidR="00E1560E" w:rsidRPr="00B27BE5" w:rsidRDefault="00E1560E" w:rsidP="00B27BE5">
      <w:r w:rsidRPr="00883125">
        <w:t>Let: P</w:t>
      </w:r>
      <w:r w:rsidRPr="00B27BE5">
        <w:rPr>
          <w:rStyle w:val="AERsubscript"/>
        </w:rPr>
        <w:t xml:space="preserve">ex-div </w:t>
      </w:r>
      <w:r w:rsidRPr="00B27BE5">
        <w:t>= P</w:t>
      </w:r>
      <w:r w:rsidRPr="00B27BE5">
        <w:rPr>
          <w:rStyle w:val="AERsubscript"/>
        </w:rPr>
        <w:t>cum-div</w:t>
      </w:r>
      <w:r w:rsidRPr="00B27BE5">
        <w:t xml:space="preserve"> - xD where x is the market value of dividends implied by the dividend drop off studies. </w:t>
      </w:r>
      <w:r>
        <w:t xml:space="preserve">In this example, x is the dividend drop off ratio. </w:t>
      </w:r>
      <w:r w:rsidRPr="00B27BE5">
        <w:t xml:space="preserve">Also </w:t>
      </w:r>
      <w:r>
        <w:t xml:space="preserve">for simplicity, </w:t>
      </w:r>
      <w:r w:rsidRPr="00B27BE5">
        <w:t xml:space="preserve">assume the arbitrage opportunities only influence the ex-dividend price and not the cum-dividend price. With this assumption the equilibrium condition </w:t>
      </w:r>
      <w:r>
        <w:t>is</w:t>
      </w:r>
      <w:r w:rsidRPr="00B27BE5">
        <w:t xml:space="preserve"> as:</w:t>
      </w:r>
    </w:p>
    <w:p w:rsidR="00B27BE5" w:rsidRPr="00883125" w:rsidRDefault="00B27BE5" w:rsidP="00B27BE5"/>
    <w:p w:rsidR="00B27BE5" w:rsidRPr="00883125" w:rsidRDefault="00B27BE5" w:rsidP="00B27BE5">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B27BE5" w:rsidRPr="00883125" w:rsidRDefault="00B27BE5" w:rsidP="00B27BE5"/>
    <w:p w:rsidR="00B27BE5" w:rsidRPr="00B27BE5" w:rsidRDefault="00B27BE5" w:rsidP="00B27BE5">
      <w:r w:rsidRPr="00883125">
        <w:t>S</w:t>
      </w:r>
      <w:r w:rsidRPr="00B27BE5">
        <w:t>ubstituting in all the parameters into the formula and solving for D we get the following:</w:t>
      </w:r>
    </w:p>
    <w:p w:rsidR="00B27BE5" w:rsidRPr="00883125" w:rsidRDefault="00B27BE5" w:rsidP="005764F6"/>
    <w:p w:rsidR="00B27BE5" w:rsidRPr="00883125" w:rsidRDefault="00B27BE5" w:rsidP="00B27BE5">
      <w:pPr>
        <w:pStyle w:val="AERbodytextcentre"/>
      </w:pPr>
      <w:r w:rsidRPr="00883125">
        <w:t>20 - (20 - 10)* 0.5*0.47 = 20 - x + 1 - (20 - x - 10) * 0.5 * 0.47 - 0.47</w:t>
      </w:r>
    </w:p>
    <w:p w:rsidR="00B27BE5" w:rsidRPr="00883125" w:rsidRDefault="00B27BE5" w:rsidP="00B27BE5">
      <w:pPr>
        <w:pStyle w:val="AERbodytextcentre"/>
      </w:pPr>
      <w:r w:rsidRPr="00883125">
        <w:t xml:space="preserve">17.65 = 21 - x - (10 - x) * 0.235 - 0.47 </w:t>
      </w:r>
    </w:p>
    <w:p w:rsidR="00B27BE5" w:rsidRPr="00883125" w:rsidRDefault="00B27BE5" w:rsidP="00B27BE5">
      <w:pPr>
        <w:pStyle w:val="AERbodytextcentre"/>
      </w:pPr>
      <w:r w:rsidRPr="00883125">
        <w:t>X = 0.6928</w:t>
      </w:r>
    </w:p>
    <w:p w:rsidR="00B27BE5" w:rsidRPr="00883125" w:rsidRDefault="00B27BE5" w:rsidP="00B27BE5"/>
    <w:p w:rsidR="00B27BE5" w:rsidRPr="00883125" w:rsidRDefault="00B27BE5" w:rsidP="00B27BE5">
      <w:r w:rsidRPr="00883125">
        <w:t>As a result, for arbitrage opportunities to not exist the dollar face value dividend must be worth 69 cents in the dividend drop off study. In such a situation the following market prices will persist in the market:</w:t>
      </w:r>
    </w:p>
    <w:p w:rsidR="00B27BE5" w:rsidRPr="00883125" w:rsidRDefault="00B27BE5" w:rsidP="00B27BE5"/>
    <w:p w:rsidR="00B27BE5" w:rsidRPr="00883125" w:rsidRDefault="00B27BE5" w:rsidP="00B27BE5">
      <w:pPr>
        <w:pStyle w:val="AERbulletlistthirdstyle"/>
      </w:pPr>
      <w:r w:rsidRPr="00883125">
        <w:t>P</w:t>
      </w:r>
      <w:r w:rsidRPr="00883125">
        <w:rPr>
          <w:rStyle w:val="AERsubscript"/>
        </w:rPr>
        <w:t>cum-div</w:t>
      </w:r>
      <w:r w:rsidRPr="00883125">
        <w:t>: $20</w:t>
      </w:r>
    </w:p>
    <w:p w:rsidR="00B27BE5" w:rsidRPr="00883125" w:rsidRDefault="00B27BE5" w:rsidP="00B27BE5">
      <w:pPr>
        <w:pStyle w:val="AERbulletlistthirdstyle"/>
      </w:pPr>
      <w:r w:rsidRPr="00883125">
        <w:t>D: Face value = $1, as per dividend drop off $0.6928</w:t>
      </w:r>
    </w:p>
    <w:p w:rsidR="00B27BE5" w:rsidRPr="00883125" w:rsidRDefault="00B27BE5" w:rsidP="00B27BE5">
      <w:pPr>
        <w:pStyle w:val="AERbulletlistthirdstyle"/>
      </w:pPr>
      <w:r w:rsidRPr="00883125">
        <w:t>P</w:t>
      </w:r>
      <w:r w:rsidRPr="00883125">
        <w:rPr>
          <w:rStyle w:val="AERsubscript"/>
        </w:rPr>
        <w:t>ex-div</w:t>
      </w:r>
      <w:r w:rsidRPr="00883125">
        <w:t>: $19.3072</w:t>
      </w:r>
      <w:r w:rsidRPr="00883125">
        <w:rPr>
          <w:rStyle w:val="FootnoteReference"/>
        </w:rPr>
        <w:footnoteReference w:id="606"/>
      </w:r>
    </w:p>
    <w:p w:rsidR="00B27BE5" w:rsidRPr="00883125" w:rsidRDefault="00B27BE5" w:rsidP="00B27BE5"/>
    <w:p w:rsidR="00B27BE5" w:rsidRPr="00883125" w:rsidRDefault="00B27BE5" w:rsidP="00B27BE5">
      <w:r w:rsidRPr="00883125">
        <w:t>With these arbitrage free market parameters the investors post personal tax return is as follows:</w:t>
      </w:r>
    </w:p>
    <w:p w:rsidR="00B27BE5" w:rsidRPr="00883125" w:rsidRDefault="00B27BE5" w:rsidP="00B27BE5"/>
    <w:p w:rsidR="00B27BE5" w:rsidRPr="00883125" w:rsidRDefault="00B27BE5" w:rsidP="00B27BE5">
      <w:pPr>
        <w:pStyle w:val="AERbodytextcentre"/>
      </w:pPr>
      <w:r w:rsidRPr="00883125">
        <w:t>Post Tax return cum div = P</w:t>
      </w:r>
      <w:r w:rsidRPr="00883125">
        <w:rPr>
          <w:rStyle w:val="AERsubscript"/>
        </w:rPr>
        <w:t>cum-div</w:t>
      </w:r>
      <w:r w:rsidRPr="00883125">
        <w:t xml:space="preserve"> - Personal Tax (CGT)</w:t>
      </w:r>
    </w:p>
    <w:p w:rsidR="00B27BE5" w:rsidRPr="00883125" w:rsidRDefault="00B27BE5" w:rsidP="00B27BE5">
      <w:pPr>
        <w:pStyle w:val="AERbodytextcentre"/>
      </w:pPr>
      <w:r w:rsidRPr="00883125">
        <w:t>Post Tax return cum div = 20 - 0.5 * 0.47 * (20-10)</w:t>
      </w:r>
    </w:p>
    <w:p w:rsidR="00AC2168" w:rsidRPr="00AC2168" w:rsidRDefault="00AC2168" w:rsidP="00AC2168">
      <w:pPr>
        <w:pStyle w:val="AERbodytextcentre"/>
      </w:pPr>
      <w:r w:rsidRPr="00AC2168">
        <w:t>Post Tax return cum div = 20 - 2.35 = 17.65</w:t>
      </w:r>
    </w:p>
    <w:p w:rsidR="00B27BE5" w:rsidRPr="00883125" w:rsidRDefault="00B27BE5" w:rsidP="00B27BE5"/>
    <w:p w:rsidR="00B27BE5" w:rsidRPr="00883125" w:rsidRDefault="00B27BE5" w:rsidP="00B27BE5">
      <w:pPr>
        <w:pStyle w:val="AERbodytextcentre"/>
      </w:pPr>
      <w:r w:rsidRPr="00883125">
        <w:t>Post Tax return ex div = P</w:t>
      </w:r>
      <w:r w:rsidRPr="00883125">
        <w:rPr>
          <w:rStyle w:val="AERsubscript"/>
        </w:rPr>
        <w:t>ex-div</w:t>
      </w:r>
      <w:r w:rsidRPr="00883125">
        <w:t xml:space="preserve"> + D - Personal Tax (CGT) - Personal Tax (Dividend)</w:t>
      </w:r>
    </w:p>
    <w:p w:rsidR="00B27BE5" w:rsidRPr="00883125" w:rsidRDefault="00B27BE5" w:rsidP="00B27BE5">
      <w:pPr>
        <w:pStyle w:val="AERbodytextcentre"/>
      </w:pPr>
      <w:r w:rsidRPr="00883125">
        <w:t>Post Tax return ex div = 19.3072 + 1 - ((19.3072 - 10)*0.47*0.5) - 1*0.47</w:t>
      </w:r>
    </w:p>
    <w:p w:rsidR="00B27BE5" w:rsidRPr="00883125" w:rsidRDefault="00B27BE5" w:rsidP="00F1222E">
      <w:pPr>
        <w:pStyle w:val="AERbodytextcentre"/>
      </w:pPr>
      <w:r w:rsidRPr="00883125">
        <w:t xml:space="preserve">Post Tax return ex div = </w:t>
      </w:r>
      <w:r w:rsidR="00AC2168" w:rsidRPr="00AC2168">
        <w:t>17.65</w:t>
      </w:r>
    </w:p>
    <w:p w:rsidR="00B27BE5" w:rsidRPr="00883125" w:rsidRDefault="00B27BE5" w:rsidP="00B27BE5">
      <w:pPr>
        <w:rPr>
          <w:rStyle w:val="AERbody"/>
        </w:rPr>
      </w:pPr>
    </w:p>
    <w:p w:rsidR="00B27BE5" w:rsidRPr="00CB38D8" w:rsidRDefault="00B27BE5" w:rsidP="005764F6">
      <w:pPr>
        <w:rPr>
          <w:rStyle w:val="AERbody"/>
        </w:rPr>
      </w:pPr>
      <w:r w:rsidRPr="00CB38D8">
        <w:rPr>
          <w:rStyle w:val="AERbody"/>
        </w:rPr>
        <w:t>As evident from above, the post-personal tax return cum dividend is equal to the post-personal tax return ex dividend. I.e. no arbitrage opportunities exist and the investor is indifferent between selling their share the day before they are entitled to receive the dividend and the next day when they are entitled to the dividend. This is ignoring the market volatility that may exist between the cum-div price and the ex-div price.</w:t>
      </w:r>
    </w:p>
    <w:p w:rsidR="00B27BE5" w:rsidRPr="00CB38D8" w:rsidRDefault="00B27BE5" w:rsidP="005764F6">
      <w:pPr>
        <w:rPr>
          <w:rStyle w:val="AERbody"/>
        </w:rPr>
      </w:pPr>
      <w:r w:rsidRPr="00CB38D8">
        <w:rPr>
          <w:rStyle w:val="AERbody"/>
        </w:rPr>
        <w:t>As a result, the investor's pre-personal tax return is:</w:t>
      </w:r>
    </w:p>
    <w:p w:rsidR="00B27BE5" w:rsidRPr="00B27BE5" w:rsidRDefault="00B27BE5" w:rsidP="00B27BE5">
      <w:pPr>
        <w:pStyle w:val="AERbulletlistthirdstyle"/>
        <w:rPr>
          <w:rStyle w:val="AERbody"/>
        </w:rPr>
      </w:pPr>
      <w:r w:rsidRPr="00883125">
        <w:rPr>
          <w:rStyle w:val="AERbody"/>
        </w:rPr>
        <w:t>$20 if they sold on the cum-dividend date</w:t>
      </w:r>
    </w:p>
    <w:p w:rsidR="00B27BE5" w:rsidRPr="00B27BE5" w:rsidRDefault="00B27BE5" w:rsidP="00B27BE5">
      <w:pPr>
        <w:pStyle w:val="AERbulletlistthirdstyle"/>
        <w:rPr>
          <w:rStyle w:val="AERbody"/>
        </w:rPr>
      </w:pPr>
      <w:r w:rsidRPr="00883125">
        <w:rPr>
          <w:rStyle w:val="AERbody"/>
        </w:rPr>
        <w:t xml:space="preserve">$20.3072 </w:t>
      </w:r>
      <w:r w:rsidRPr="00B27BE5">
        <w:rPr>
          <w:rStyle w:val="AERbody"/>
        </w:rPr>
        <w:t>($19.3072 + $1) if they sold on the ex-dividend date</w:t>
      </w:r>
    </w:p>
    <w:p w:rsidR="00B27BE5" w:rsidRPr="00883125" w:rsidRDefault="00B27BE5" w:rsidP="00B27BE5">
      <w:pPr>
        <w:rPr>
          <w:rStyle w:val="AERbody"/>
        </w:rPr>
      </w:pPr>
      <w:r w:rsidRPr="00883125">
        <w:rPr>
          <w:rStyle w:val="AERbody"/>
        </w:rPr>
        <w:t>The investor's post-personal tax return is:</w:t>
      </w:r>
    </w:p>
    <w:p w:rsidR="00B27BE5" w:rsidRPr="00883125" w:rsidRDefault="00B27BE5" w:rsidP="00B27BE5">
      <w:pPr>
        <w:pStyle w:val="AERbulletlistthirdstyle"/>
        <w:rPr>
          <w:rStyle w:val="AERbody"/>
        </w:rPr>
      </w:pPr>
      <w:r w:rsidRPr="00883125">
        <w:rPr>
          <w:rStyle w:val="AERbody"/>
        </w:rPr>
        <w:t>$17.65 ($20 - $2.35) if they sold on the cum-dividend date</w:t>
      </w:r>
    </w:p>
    <w:p w:rsidR="00B27BE5" w:rsidRPr="00883125" w:rsidRDefault="00B27BE5" w:rsidP="00B27BE5">
      <w:pPr>
        <w:pStyle w:val="AERbulletlistthirdstyle"/>
        <w:rPr>
          <w:rStyle w:val="AERbody"/>
        </w:rPr>
      </w:pPr>
      <w:r w:rsidRPr="00883125">
        <w:rPr>
          <w:rStyle w:val="AERbody"/>
        </w:rPr>
        <w:t>$17.65 ($20.3072 - $2.6572) if they sold on the ex-dividend date</w:t>
      </w:r>
    </w:p>
    <w:p w:rsidR="00B27BE5" w:rsidRPr="00883125" w:rsidRDefault="00B27BE5" w:rsidP="00B27BE5">
      <w:r w:rsidRPr="00883125">
        <w:rPr>
          <w:rStyle w:val="AERbody"/>
        </w:rPr>
        <w:lastRenderedPageBreak/>
        <w:t xml:space="preserve">On a pre-personal tax basis, the investor values the dividend at $1. On a post-personal tax basis, the investor values the dividend at $0.53 ($1 - </w:t>
      </w:r>
      <w:r w:rsidR="00E1560E">
        <w:rPr>
          <w:rStyle w:val="AERbody"/>
        </w:rPr>
        <w:t>$</w:t>
      </w:r>
      <w:r w:rsidRPr="00883125">
        <w:rPr>
          <w:rStyle w:val="AERbody"/>
        </w:rPr>
        <w:t>1*0.47). The $0.</w:t>
      </w:r>
      <w:r w:rsidRPr="00883125">
        <w:t>6928 dividend value that is derived from dividend drop off studies is neither a pre-personal or post-personal value of the dividend. It is the difference between the cum-dividend and ex-dividend price, which is determined by the face value of the dividend and the relative difference in in the tax level on ordinary income (of which dividends are classed) and on capital gains. It is driven by investor's preference for capital gains over dividend income, as capital gains are taxed at a concessional rate relative to dividends assuming the shares are held for more than 12 months.</w:t>
      </w:r>
    </w:p>
    <w:p w:rsidR="00B27BE5" w:rsidRPr="00883125" w:rsidRDefault="00B27BE5" w:rsidP="00B27BE5">
      <w:r w:rsidRPr="00883125">
        <w:t xml:space="preserve">As will be shown below, only when dividends and capital gains are taxed at the same rate will the dividend drop off studies yield a value of the dividend on a correct pre-personal tax basis (i.e. not impacted by differential personal taxes on dividends and capital gains). </w:t>
      </w:r>
    </w:p>
    <w:p w:rsidR="00B27BE5" w:rsidRPr="00883125" w:rsidRDefault="00B27BE5" w:rsidP="00B27BE5">
      <w:pPr>
        <w:rPr>
          <w:rStyle w:val="AERbody"/>
        </w:rPr>
      </w:pPr>
      <w:r w:rsidRPr="00883125">
        <w:t xml:space="preserve">For regulatory purposes what matters is the investor's pre-personal tax value of dividends which is $1, which is equal to the cost of the dividend imposed on the firm (i.e. the post company tax cost). The AER uses the full face value of dividends in its estimation of the MRP (i.e. it assumes $1 of distributed dividend income has a post company tax value of $1 to investors). The AER does not use the </w:t>
      </w:r>
      <w:r w:rsidR="00E1560E">
        <w:t xml:space="preserve">market </w:t>
      </w:r>
      <w:r w:rsidRPr="00883125">
        <w:t>value of dividends from dividend drop off studies to estimate the MRP. To do so would be incorrect given this value is influenced by differential personal taxes on dividends and capital gains.</w:t>
      </w:r>
      <w:r w:rsidRPr="00883125">
        <w:rPr>
          <w:rStyle w:val="FootnoteReference"/>
        </w:rPr>
        <w:footnoteReference w:id="607"/>
      </w:r>
    </w:p>
    <w:p w:rsidR="00B27BE5" w:rsidRPr="00883125" w:rsidRDefault="00B27BE5" w:rsidP="00B27BE5">
      <w:pPr>
        <w:rPr>
          <w:rStyle w:val="AERbody"/>
        </w:rPr>
      </w:pPr>
      <w:r w:rsidRPr="00883125">
        <w:rPr>
          <w:rStyle w:val="AERbody"/>
        </w:rPr>
        <w:t>Earlier an assumption was made that the investor's tax rate was 47 per cent and that investor purchased the</w:t>
      </w:r>
      <w:r w:rsidR="00E1560E">
        <w:rPr>
          <w:rStyle w:val="AERbody"/>
        </w:rPr>
        <w:t xml:space="preserve"> share</w:t>
      </w:r>
      <w:r w:rsidRPr="00883125">
        <w:rPr>
          <w:rStyle w:val="AERbody"/>
        </w:rPr>
        <w:t xml:space="preserve"> more than 12 months ago which allowed them to receive a 50 per cent discount on capital gains tax. We will now relax these assumptions and see how it changes the market value of the dividends in the dividend drop off study. As shown above, for post personal tax return to be equal </w:t>
      </w:r>
      <w:r w:rsidR="00E1560E">
        <w:rPr>
          <w:rStyle w:val="AERbody"/>
        </w:rPr>
        <w:t xml:space="preserve">between </w:t>
      </w:r>
      <w:r w:rsidRPr="00883125">
        <w:rPr>
          <w:rStyle w:val="AERbody"/>
        </w:rPr>
        <w:t>cum-dividend and ex-dividend the following condition must hold:</w:t>
      </w:r>
    </w:p>
    <w:p w:rsidR="00B27BE5" w:rsidRPr="00883125" w:rsidRDefault="00B27BE5" w:rsidP="00B27BE5">
      <w:pPr>
        <w:rPr>
          <w:rStyle w:val="AERbody"/>
        </w:rPr>
      </w:pPr>
    </w:p>
    <w:p w:rsidR="00B27BE5" w:rsidRPr="00883125" w:rsidRDefault="00B27BE5" w:rsidP="00B27BE5">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B27BE5" w:rsidRPr="00883125" w:rsidRDefault="00B27BE5" w:rsidP="00B27BE5">
      <w:pPr>
        <w:pStyle w:val="AERbodytextcentre"/>
      </w:pPr>
      <w:r w:rsidRPr="00883125">
        <w:t>Solving for X the formula simplifies to:</w:t>
      </w:r>
    </w:p>
    <w:p w:rsidR="00B27BE5" w:rsidRPr="00B27BE5" w:rsidRDefault="00B27BE5" w:rsidP="00B27BE5">
      <w:pPr>
        <w:pStyle w:val="AERbodytextcentre"/>
      </w:pPr>
      <m:oMathPara>
        <m:oMath>
          <m:r>
            <w:rPr>
              <w:rFonts w:ascii="Cambria Math" w:hAnsi="Cambria Math"/>
            </w:rPr>
            <m:t>X=</m:t>
          </m:r>
          <m:f>
            <m:fPr>
              <m:ctrlPr>
                <w:rPr>
                  <w:rFonts w:ascii="Cambria Math" w:hAnsi="Cambria Math"/>
                </w:rPr>
              </m:ctrlPr>
            </m:fPr>
            <m:num>
              <m:r>
                <w:rPr>
                  <w:rFonts w:ascii="Cambria Math" w:hAnsi="Cambria Math"/>
                </w:rPr>
                <m:t>1-MTR</m:t>
              </m:r>
            </m:num>
            <m:den>
              <m:r>
                <w:rPr>
                  <w:rFonts w:ascii="Cambria Math" w:hAnsi="Cambria Math"/>
                </w:rPr>
                <m:t>1-</m:t>
              </m:r>
              <m:sSub>
                <m:sSubPr>
                  <m:ctrlPr>
                    <w:rPr>
                      <w:rFonts w:ascii="Cambria Math" w:hAnsi="Cambria Math"/>
                      <w:i/>
                    </w:rPr>
                  </m:ctrlPr>
                </m:sSubPr>
                <m:e>
                  <m:r>
                    <w:rPr>
                      <w:rFonts w:ascii="Cambria Math" w:hAnsi="Cambria Math"/>
                    </w:rPr>
                    <m:t>CGT</m:t>
                  </m:r>
                </m:e>
                <m:sub>
                  <m:r>
                    <w:rPr>
                      <w:rFonts w:ascii="Cambria Math" w:hAnsi="Cambria Math"/>
                    </w:rPr>
                    <m:t>discount</m:t>
                  </m:r>
                </m:sub>
              </m:sSub>
              <m:r>
                <w:rPr>
                  <w:rFonts w:ascii="Cambria Math" w:hAnsi="Cambria Math"/>
                </w:rPr>
                <m:t>*MTR</m:t>
              </m:r>
            </m:den>
          </m:f>
        </m:oMath>
      </m:oMathPara>
    </w:p>
    <w:p w:rsidR="00B27BE5" w:rsidRPr="00883125" w:rsidRDefault="00B27BE5" w:rsidP="00B27BE5">
      <w:pPr>
        <w:pStyle w:val="AERbodytextcentre"/>
        <w:rPr>
          <w:rStyle w:val="AERbody"/>
        </w:rPr>
      </w:pPr>
    </w:p>
    <w:p w:rsidR="00B27BE5" w:rsidRPr="00883125" w:rsidRDefault="00B27BE5" w:rsidP="00B27BE5">
      <w:pPr>
        <w:rPr>
          <w:rStyle w:val="AERbody"/>
        </w:rPr>
      </w:pPr>
      <w:r w:rsidRPr="00883125">
        <w:rPr>
          <w:rStyle w:val="AERbody"/>
        </w:rPr>
        <w:lastRenderedPageBreak/>
        <w:t>This is consistent with the formula in the Elton and Gruber (1970) paper which defined ex-dividend behaviour as:</w:t>
      </w:r>
      <w:r w:rsidRPr="00883125">
        <w:rPr>
          <w:rStyle w:val="FootnoteReference"/>
        </w:rPr>
        <w:footnoteReference w:id="608"/>
      </w:r>
    </w:p>
    <w:p w:rsidR="00B27BE5" w:rsidRPr="00883125" w:rsidRDefault="00B27BE5" w:rsidP="00B27BE5">
      <w:pPr>
        <w:rPr>
          <w:rStyle w:val="AERbody"/>
        </w:rPr>
      </w:pPr>
    </w:p>
    <w:p w:rsidR="00B27BE5" w:rsidRPr="00883125" w:rsidRDefault="00984055" w:rsidP="00B27BE5">
      <w:pPr>
        <w:rPr>
          <w:rStyle w:val="AERbody"/>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cum-div</m:t>
                  </m:r>
                </m:sub>
              </m:sSub>
              <m:r>
                <m:rPr>
                  <m:sty m:val="p"/>
                </m:rPr>
                <w:rPr>
                  <w:rStyle w:val="AERsubscript"/>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ex-div</m:t>
                  </m:r>
                </m:sub>
              </m:sSub>
            </m:num>
            <m:den>
              <m:r>
                <w:rPr>
                  <w:rFonts w:ascii="Cambria Math" w:hAnsi="Cambria Math"/>
                </w:rPr>
                <m:t>D</m:t>
              </m:r>
            </m:den>
          </m:f>
          <m:r>
            <w:rPr>
              <w:rFonts w:ascii="Cambria Math" w:hAnsi="Cambria Math"/>
            </w:rPr>
            <m:t>=</m:t>
          </m:r>
          <m:f>
            <m:fPr>
              <m:ctrlPr>
                <w:rPr>
                  <w:rFonts w:ascii="Cambria Math" w:hAnsi="Cambria Math"/>
                </w:rPr>
              </m:ctrlPr>
            </m:fPr>
            <m:num>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0</m:t>
                  </m:r>
                </m:sub>
              </m:sSub>
            </m:num>
            <m:den>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c</m:t>
                  </m:r>
                </m:sub>
              </m:sSub>
            </m:den>
          </m:f>
        </m:oMath>
      </m:oMathPara>
    </w:p>
    <w:p w:rsidR="00B27BE5" w:rsidRPr="00883125" w:rsidRDefault="00B27BE5" w:rsidP="00B27BE5">
      <w:pPr>
        <w:rPr>
          <w:rStyle w:val="AERbody"/>
        </w:rPr>
      </w:pPr>
    </w:p>
    <w:p w:rsidR="00B27BE5" w:rsidRPr="00883125" w:rsidRDefault="00B27BE5" w:rsidP="00B27BE5">
      <w:pPr>
        <w:rPr>
          <w:rStyle w:val="AERbody"/>
        </w:rPr>
      </w:pPr>
      <w:r w:rsidRPr="00883125">
        <w:rPr>
          <w:rStyle w:val="AERbody"/>
        </w:rPr>
        <w:t xml:space="preserve">Where </w:t>
      </w:r>
      <w:r w:rsidRPr="00883125">
        <w:t>t</w:t>
      </w:r>
      <w:r w:rsidRPr="00883125">
        <w:rPr>
          <w:rStyle w:val="AERsubscript"/>
        </w:rPr>
        <w:t>0</w:t>
      </w:r>
      <w:r w:rsidRPr="00883125">
        <w:t xml:space="preserve"> is the tax rate of ordinary income and t</w:t>
      </w:r>
      <w:r w:rsidRPr="00883125">
        <w:rPr>
          <w:rStyle w:val="AERsubscript"/>
        </w:rPr>
        <w:t xml:space="preserve">0 </w:t>
      </w:r>
      <w:r w:rsidRPr="00883125">
        <w:t xml:space="preserve">is the capital gains tax rate. </w:t>
      </w:r>
    </w:p>
    <w:p w:rsidR="002D2E1B" w:rsidRDefault="002D2E1B" w:rsidP="00B27BE5">
      <w:r>
        <w:t>Further, Lally generalises the dividend relationship to the following:</w:t>
      </w:r>
      <w:r>
        <w:rPr>
          <w:rStyle w:val="FootnoteReference"/>
        </w:rPr>
        <w:footnoteReference w:id="609"/>
      </w:r>
    </w:p>
    <w:p w:rsidR="002D2E1B" w:rsidRDefault="002D2E1B" w:rsidP="00B27BE5"/>
    <w:p w:rsidR="002D2E1B" w:rsidRPr="00883125" w:rsidRDefault="002D2E1B" w:rsidP="002D2E1B">
      <w:pPr>
        <w:rPr>
          <w:rStyle w:val="AERbody"/>
        </w:rPr>
      </w:pPr>
      <m:oMathPara>
        <m:oMath>
          <m:r>
            <w:rPr>
              <w:rFonts w:ascii="Cambria Math" w:hAnsi="Cambria Math"/>
            </w:rPr>
            <m:t>∆P= δD+δθ</m:t>
          </m:r>
          <m:d>
            <m:dPr>
              <m:ctrlPr>
                <w:rPr>
                  <w:rFonts w:ascii="Cambria Math" w:hAnsi="Cambria Math"/>
                  <w:i/>
                </w:rPr>
              </m:ctrlPr>
            </m:dPr>
            <m:e>
              <m:r>
                <w:rPr>
                  <w:rFonts w:ascii="Cambria Math" w:hAnsi="Cambria Math"/>
                </w:rPr>
                <m:t>IC</m:t>
              </m:r>
            </m:e>
          </m:d>
          <m:r>
            <w:rPr>
              <w:rFonts w:ascii="Cambria Math" w:hAnsi="Cambria Math"/>
            </w:rPr>
            <m:t>+ε</m:t>
          </m:r>
        </m:oMath>
      </m:oMathPara>
    </w:p>
    <w:p w:rsidR="002D2E1B" w:rsidRDefault="002D2E1B" w:rsidP="00B27BE5"/>
    <w:p w:rsidR="002D2E1B" w:rsidRDefault="002D2E1B" w:rsidP="002D2E1B">
      <w:r>
        <w:t xml:space="preserve">Where </w:t>
      </w:r>
      <m:oMath>
        <m:r>
          <w:rPr>
            <w:rFonts w:ascii="Cambria Math" w:hAnsi="Cambria Math"/>
          </w:rPr>
          <m:t>δ</m:t>
        </m:r>
      </m:oMath>
      <w:r>
        <w:t xml:space="preserve"> reflects the effect of the personal tax differential, risk, transaction costs and other frictions and </w:t>
      </w:r>
      <m:oMath>
        <m:r>
          <w:rPr>
            <w:rFonts w:ascii="Cambria Math" w:hAnsi="Cambria Math"/>
          </w:rPr>
          <m:t>ε</m:t>
        </m:r>
      </m:oMath>
      <w:r>
        <w:t xml:space="preserve"> reflects noise in the data.</w:t>
      </w:r>
      <w:r w:rsidRPr="002D2E1B">
        <w:rPr>
          <w:rStyle w:val="FootnoteReference"/>
        </w:rPr>
        <w:t xml:space="preserve"> </w:t>
      </w:r>
      <w:r>
        <w:rPr>
          <w:rStyle w:val="FootnoteReference"/>
        </w:rPr>
        <w:footnoteReference w:id="610"/>
      </w:r>
      <w:r>
        <w:rPr>
          <w:rStyle w:val="FootnoteReference"/>
        </w:rPr>
        <w:t xml:space="preserve"> </w:t>
      </w:r>
    </w:p>
    <w:p w:rsidR="00B27BE5" w:rsidRPr="00883125" w:rsidRDefault="00B27BE5" w:rsidP="00B27BE5">
      <w:r w:rsidRPr="00883125">
        <w:t>Using different values for MTR (0%, 15%, 21%, 34.5%. 39% 47%) and CGT discount (50% if shares held for more than 12 months and 100% if shares held for less than 12 months)</w:t>
      </w:r>
      <w:r w:rsidR="00F1704A">
        <w:rPr>
          <w:rStyle w:val="FootnoteReference"/>
        </w:rPr>
        <w:footnoteReference w:id="611"/>
      </w:r>
      <w:r w:rsidRPr="00883125">
        <w:t xml:space="preserve"> the market value for the dividend in the dividend drop off study changes. </w:t>
      </w:r>
      <w:r w:rsidR="00205476" w:rsidRPr="00883125">
        <w:t xml:space="preserve">As seen in the table below a lower tax rate results in a higher </w:t>
      </w:r>
      <w:r w:rsidR="00205476">
        <w:t xml:space="preserve">market </w:t>
      </w:r>
      <w:r w:rsidR="00205476" w:rsidRPr="00883125">
        <w:t xml:space="preserve">value of dividend in the dividend drop off studies. This is due </w:t>
      </w:r>
      <w:r w:rsidR="00205476">
        <w:t xml:space="preserve">to </w:t>
      </w:r>
      <w:r w:rsidR="00205476" w:rsidRPr="00883125">
        <w:t>the differential taxes being smaller at a lower MTR</w:t>
      </w:r>
      <w:r w:rsidRPr="00883125">
        <w:t>.</w:t>
      </w:r>
    </w:p>
    <w:p w:rsidR="00B27BE5" w:rsidRPr="00883125" w:rsidRDefault="00205476" w:rsidP="00B27BE5">
      <w:r>
        <w:t xml:space="preserve">The </w:t>
      </w:r>
      <w:r w:rsidRPr="00883125">
        <w:t xml:space="preserve">table </w:t>
      </w:r>
      <w:r>
        <w:t xml:space="preserve">also shows </w:t>
      </w:r>
      <w:r w:rsidRPr="00883125">
        <w:t xml:space="preserve">that when the stocks are held for less than 12 months and the CGT is taxed at the MTR rate rather than 50 per cent of the MTR, the dividends are worth one dollar in a dividend drop of study. </w:t>
      </w:r>
      <w:r w:rsidR="00B27BE5" w:rsidRPr="00883125">
        <w:t>This is because when the stocks are held for less than 12 months capital gains are taxed at the same rate as dividends. The same is also true for the 0 per cent tax rate when stocks are held for more than 12 months. In this situation dividend tax and capital gains tax is consistent at 0 per cent.</w:t>
      </w:r>
    </w:p>
    <w:p w:rsidR="00B27BE5" w:rsidRPr="00883125" w:rsidRDefault="00B27BE5" w:rsidP="00B27BE5">
      <w:r w:rsidRPr="00883125">
        <w:t xml:space="preserve">As noted above, the difference between the cum-dividend price and ex-dividend price is driven by differential personal taxes on dividends and capital gains. Hence, </w:t>
      </w:r>
      <w:r w:rsidR="0056664F">
        <w:t>only when</w:t>
      </w:r>
      <w:r w:rsidR="0056664F" w:rsidRPr="00883125">
        <w:t xml:space="preserve"> </w:t>
      </w:r>
      <w:r w:rsidRPr="00883125">
        <w:t xml:space="preserve">dividends and capital gains are taxed at the same rate, the drop off just represents the face </w:t>
      </w:r>
      <w:r w:rsidRPr="00883125">
        <w:lastRenderedPageBreak/>
        <w:t>value of the dividend. This is the value that is required for regulatory purposes and is the post company tax (pre-personal tax) value.</w:t>
      </w:r>
    </w:p>
    <w:p w:rsidR="00B27BE5" w:rsidRPr="00B27BE5" w:rsidRDefault="00B27BE5" w:rsidP="00B27BE5">
      <w:pPr>
        <w:pStyle w:val="Caption"/>
      </w:pPr>
      <w:r w:rsidRPr="00883125">
        <w:t xml:space="preserve">Table </w:t>
      </w:r>
      <w:r w:rsidR="004B4BF3">
        <w:fldChar w:fldCharType="begin"/>
      </w:r>
      <w:r w:rsidR="004B4BF3">
        <w:instrText xml:space="preserve"> STYLEREF 1 \s </w:instrText>
      </w:r>
      <w:r w:rsidR="004B4BF3">
        <w:fldChar w:fldCharType="separate"/>
      </w:r>
      <w:r w:rsidR="00881794">
        <w:rPr>
          <w:noProof/>
        </w:rPr>
        <w:t>4</w:t>
      </w:r>
      <w:r w:rsidR="004B4BF3">
        <w:rPr>
          <w:noProof/>
        </w:rPr>
        <w:fldChar w:fldCharType="end"/>
      </w:r>
      <w:r w:rsidRPr="00B27BE5">
        <w:noBreakHyphen/>
      </w:r>
      <w:r w:rsidR="004B4BF3">
        <w:fldChar w:fldCharType="begin"/>
      </w:r>
      <w:r w:rsidR="004B4BF3">
        <w:instrText xml:space="preserve"> SEQ Table \* ARABIC \s 1 </w:instrText>
      </w:r>
      <w:r w:rsidR="004B4BF3">
        <w:fldChar w:fldCharType="separate"/>
      </w:r>
      <w:r w:rsidR="00881794">
        <w:rPr>
          <w:noProof/>
        </w:rPr>
        <w:t>19</w:t>
      </w:r>
      <w:r w:rsidR="004B4BF3">
        <w:rPr>
          <w:noProof/>
        </w:rPr>
        <w:fldChar w:fldCharType="end"/>
      </w:r>
      <w:r w:rsidRPr="00B27BE5">
        <w:tab/>
        <w:t xml:space="preserve">Dividend drop off ratio with varying </w:t>
      </w:r>
      <w:r w:rsidR="00205476">
        <w:t>tax rates</w:t>
      </w:r>
    </w:p>
    <w:tbl>
      <w:tblPr>
        <w:tblW w:w="4520" w:type="dxa"/>
        <w:tblInd w:w="93" w:type="dxa"/>
        <w:tblLook w:val="04A0" w:firstRow="1" w:lastRow="0" w:firstColumn="1" w:lastColumn="0" w:noHBand="0" w:noVBand="1"/>
      </w:tblPr>
      <w:tblGrid>
        <w:gridCol w:w="721"/>
        <w:gridCol w:w="1074"/>
        <w:gridCol w:w="2063"/>
        <w:gridCol w:w="1019"/>
      </w:tblGrid>
      <w:tr w:rsidR="00B27BE5" w:rsidRPr="00CF5360" w:rsidTr="00B27BE5">
        <w:trPr>
          <w:trHeight w:val="30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B27BE5" w:rsidRPr="00F1222E" w:rsidRDefault="00B27BE5" w:rsidP="00F1222E">
            <w:pPr>
              <w:pStyle w:val="ListContinue2"/>
            </w:pPr>
            <w:r w:rsidRPr="00F1222E">
              <w:t> </w:t>
            </w:r>
          </w:p>
        </w:tc>
        <w:tc>
          <w:tcPr>
            <w:tcW w:w="2960" w:type="dxa"/>
            <w:gridSpan w:val="2"/>
            <w:tcBorders>
              <w:top w:val="single" w:sz="4" w:space="0" w:color="auto"/>
              <w:left w:val="nil"/>
              <w:bottom w:val="single" w:sz="4" w:space="0" w:color="auto"/>
              <w:right w:val="single" w:sz="4" w:space="0" w:color="auto"/>
            </w:tcBorders>
            <w:shd w:val="clear" w:color="000000" w:fill="FDE9D9"/>
            <w:noWrap/>
            <w:vAlign w:val="bottom"/>
            <w:hideMark/>
          </w:tcPr>
          <w:p w:rsidR="00B27BE5" w:rsidRPr="005764F6" w:rsidRDefault="00B27BE5" w:rsidP="005764F6">
            <w:r w:rsidRPr="005764F6">
              <w:t>CGT</w:t>
            </w:r>
          </w:p>
        </w:tc>
      </w:tr>
      <w:tr w:rsidR="00B27BE5" w:rsidRPr="00CF5360" w:rsidTr="00B27BE5">
        <w:trPr>
          <w:trHeight w:val="30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27BE5" w:rsidRPr="00F1222E" w:rsidRDefault="00B27BE5" w:rsidP="00F1222E">
            <w:pPr>
              <w:pStyle w:val="ListContinue2"/>
            </w:pPr>
          </w:p>
        </w:tc>
        <w:tc>
          <w:tcPr>
            <w:tcW w:w="2063" w:type="dxa"/>
            <w:tcBorders>
              <w:top w:val="nil"/>
              <w:left w:val="nil"/>
              <w:bottom w:val="nil"/>
              <w:right w:val="single" w:sz="4" w:space="0" w:color="auto"/>
            </w:tcBorders>
            <w:shd w:val="clear" w:color="000000" w:fill="FDE9D9"/>
            <w:noWrap/>
            <w:vAlign w:val="bottom"/>
            <w:hideMark/>
          </w:tcPr>
          <w:p w:rsidR="00B27BE5" w:rsidRPr="005764F6" w:rsidRDefault="00B27BE5" w:rsidP="005764F6">
            <w:r w:rsidRPr="005764F6">
              <w:t>50%</w:t>
            </w:r>
          </w:p>
        </w:tc>
        <w:tc>
          <w:tcPr>
            <w:tcW w:w="897" w:type="dxa"/>
            <w:tcBorders>
              <w:top w:val="nil"/>
              <w:left w:val="nil"/>
              <w:bottom w:val="nil"/>
              <w:right w:val="single" w:sz="4" w:space="0" w:color="auto"/>
            </w:tcBorders>
            <w:shd w:val="clear" w:color="000000" w:fill="FDE9D9"/>
            <w:noWrap/>
            <w:vAlign w:val="bottom"/>
            <w:hideMark/>
          </w:tcPr>
          <w:p w:rsidR="00B27BE5" w:rsidRPr="005764F6" w:rsidRDefault="00B27BE5" w:rsidP="005764F6">
            <w:r w:rsidRPr="005764F6">
              <w:t>100%</w:t>
            </w:r>
          </w:p>
        </w:tc>
      </w:tr>
      <w:tr w:rsidR="00B27BE5" w:rsidRPr="00CF5360" w:rsidTr="00B27BE5">
        <w:trPr>
          <w:trHeight w:val="300"/>
        </w:trPr>
        <w:tc>
          <w:tcPr>
            <w:tcW w:w="486" w:type="dxa"/>
            <w:vMerge w:val="restart"/>
            <w:tcBorders>
              <w:top w:val="nil"/>
              <w:left w:val="single" w:sz="4" w:space="0" w:color="auto"/>
              <w:bottom w:val="single" w:sz="4" w:space="0" w:color="auto"/>
              <w:right w:val="single" w:sz="4" w:space="0" w:color="auto"/>
            </w:tcBorders>
            <w:shd w:val="clear" w:color="000000" w:fill="FDE9D9"/>
            <w:noWrap/>
            <w:textDirection w:val="btLr"/>
            <w:vAlign w:val="center"/>
            <w:hideMark/>
          </w:tcPr>
          <w:p w:rsidR="00B27BE5" w:rsidRPr="005764F6" w:rsidRDefault="00B27BE5" w:rsidP="005764F6">
            <w:r w:rsidRPr="005764F6">
              <w:t>Tax Rate</w:t>
            </w:r>
          </w:p>
        </w:tc>
        <w:tc>
          <w:tcPr>
            <w:tcW w:w="1074" w:type="dxa"/>
            <w:tcBorders>
              <w:top w:val="nil"/>
              <w:left w:val="nil"/>
              <w:bottom w:val="single" w:sz="4" w:space="0" w:color="auto"/>
              <w:right w:val="single" w:sz="4" w:space="0" w:color="auto"/>
            </w:tcBorders>
            <w:shd w:val="clear" w:color="000000" w:fill="FDE9D9"/>
            <w:noWrap/>
            <w:vAlign w:val="bottom"/>
            <w:hideMark/>
          </w:tcPr>
          <w:p w:rsidR="00B27BE5" w:rsidRPr="005764F6" w:rsidRDefault="00B27BE5" w:rsidP="005764F6">
            <w:r w:rsidRPr="005764F6">
              <w:t>0%</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B27BE5" w:rsidRPr="00F1222E" w:rsidRDefault="00B27BE5" w:rsidP="00F1222E">
            <w:pPr>
              <w:pStyle w:val="ListContinue2"/>
            </w:pPr>
            <w:r w:rsidRPr="00F1222E">
              <w:t>1</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B27BE5" w:rsidRPr="00F1222E" w:rsidRDefault="00B27BE5" w:rsidP="00F1222E">
            <w:pPr>
              <w:pStyle w:val="ListContinue2"/>
            </w:pPr>
            <w:r w:rsidRPr="00F1222E">
              <w:t>1</w:t>
            </w:r>
          </w:p>
        </w:tc>
      </w:tr>
      <w:tr w:rsidR="00B27BE5" w:rsidRPr="00CF5360" w:rsidTr="00B27BE5">
        <w:trPr>
          <w:trHeight w:val="300"/>
        </w:trPr>
        <w:tc>
          <w:tcPr>
            <w:tcW w:w="486" w:type="dxa"/>
            <w:vMerge/>
            <w:tcBorders>
              <w:top w:val="nil"/>
              <w:left w:val="single" w:sz="4" w:space="0" w:color="auto"/>
              <w:bottom w:val="single" w:sz="4" w:space="0" w:color="auto"/>
              <w:right w:val="single" w:sz="4" w:space="0" w:color="auto"/>
            </w:tcBorders>
            <w:vAlign w:val="center"/>
            <w:hideMark/>
          </w:tcPr>
          <w:p w:rsidR="00B27BE5" w:rsidRPr="00AC2168" w:rsidRDefault="00B27BE5" w:rsidP="005764F6"/>
        </w:tc>
        <w:tc>
          <w:tcPr>
            <w:tcW w:w="1074" w:type="dxa"/>
            <w:tcBorders>
              <w:top w:val="nil"/>
              <w:left w:val="nil"/>
              <w:bottom w:val="single" w:sz="4" w:space="0" w:color="auto"/>
              <w:right w:val="single" w:sz="4" w:space="0" w:color="auto"/>
            </w:tcBorders>
            <w:shd w:val="clear" w:color="000000" w:fill="FDE9D9"/>
            <w:noWrap/>
            <w:vAlign w:val="bottom"/>
            <w:hideMark/>
          </w:tcPr>
          <w:p w:rsidR="00B27BE5" w:rsidRPr="005764F6" w:rsidRDefault="00B27BE5" w:rsidP="005764F6">
            <w:r w:rsidRPr="005764F6">
              <w:t>15%</w:t>
            </w:r>
          </w:p>
        </w:tc>
        <w:tc>
          <w:tcPr>
            <w:tcW w:w="2063" w:type="dxa"/>
            <w:tcBorders>
              <w:top w:val="nil"/>
              <w:left w:val="nil"/>
              <w:bottom w:val="single" w:sz="4" w:space="0" w:color="auto"/>
              <w:right w:val="single" w:sz="4" w:space="0" w:color="auto"/>
            </w:tcBorders>
            <w:shd w:val="clear" w:color="auto" w:fill="auto"/>
            <w:noWrap/>
            <w:vAlign w:val="bottom"/>
            <w:hideMark/>
          </w:tcPr>
          <w:p w:rsidR="00B27BE5" w:rsidRPr="00F1222E" w:rsidRDefault="00B27BE5" w:rsidP="00F1222E">
            <w:pPr>
              <w:pStyle w:val="ListContinue2"/>
            </w:pPr>
            <w:r w:rsidRPr="00F1222E">
              <w:t>0.9189</w:t>
            </w:r>
          </w:p>
        </w:tc>
        <w:tc>
          <w:tcPr>
            <w:tcW w:w="897" w:type="dxa"/>
            <w:tcBorders>
              <w:top w:val="nil"/>
              <w:left w:val="nil"/>
              <w:bottom w:val="single" w:sz="4" w:space="0" w:color="auto"/>
              <w:right w:val="single" w:sz="4" w:space="0" w:color="auto"/>
            </w:tcBorders>
            <w:shd w:val="clear" w:color="auto" w:fill="auto"/>
            <w:noWrap/>
            <w:vAlign w:val="bottom"/>
            <w:hideMark/>
          </w:tcPr>
          <w:p w:rsidR="00B27BE5" w:rsidRPr="00F1222E" w:rsidRDefault="00B27BE5" w:rsidP="00F1222E">
            <w:pPr>
              <w:pStyle w:val="ListContinue2"/>
            </w:pPr>
            <w:r w:rsidRPr="00F1222E">
              <w:t>1</w:t>
            </w:r>
          </w:p>
        </w:tc>
      </w:tr>
      <w:tr w:rsidR="00B27BE5" w:rsidRPr="00CF5360" w:rsidTr="00B27BE5">
        <w:trPr>
          <w:trHeight w:val="300"/>
        </w:trPr>
        <w:tc>
          <w:tcPr>
            <w:tcW w:w="486" w:type="dxa"/>
            <w:vMerge/>
            <w:tcBorders>
              <w:top w:val="nil"/>
              <w:left w:val="single" w:sz="4" w:space="0" w:color="auto"/>
              <w:bottom w:val="single" w:sz="4" w:space="0" w:color="auto"/>
              <w:right w:val="single" w:sz="4" w:space="0" w:color="auto"/>
            </w:tcBorders>
            <w:vAlign w:val="center"/>
            <w:hideMark/>
          </w:tcPr>
          <w:p w:rsidR="00B27BE5" w:rsidRPr="00AC2168" w:rsidRDefault="00B27BE5" w:rsidP="005764F6"/>
        </w:tc>
        <w:tc>
          <w:tcPr>
            <w:tcW w:w="1074" w:type="dxa"/>
            <w:tcBorders>
              <w:top w:val="nil"/>
              <w:left w:val="nil"/>
              <w:bottom w:val="single" w:sz="4" w:space="0" w:color="auto"/>
              <w:right w:val="single" w:sz="4" w:space="0" w:color="auto"/>
            </w:tcBorders>
            <w:shd w:val="clear" w:color="000000" w:fill="FDE9D9"/>
            <w:noWrap/>
            <w:vAlign w:val="bottom"/>
            <w:hideMark/>
          </w:tcPr>
          <w:p w:rsidR="00B27BE5" w:rsidRPr="005764F6" w:rsidRDefault="00B27BE5" w:rsidP="005764F6">
            <w:r w:rsidRPr="005764F6">
              <w:t>21%</w:t>
            </w:r>
          </w:p>
        </w:tc>
        <w:tc>
          <w:tcPr>
            <w:tcW w:w="2063" w:type="dxa"/>
            <w:tcBorders>
              <w:top w:val="nil"/>
              <w:left w:val="nil"/>
              <w:bottom w:val="single" w:sz="4" w:space="0" w:color="auto"/>
              <w:right w:val="single" w:sz="4" w:space="0" w:color="auto"/>
            </w:tcBorders>
            <w:shd w:val="clear" w:color="auto" w:fill="auto"/>
            <w:noWrap/>
            <w:vAlign w:val="bottom"/>
            <w:hideMark/>
          </w:tcPr>
          <w:p w:rsidR="00B27BE5" w:rsidRPr="00F1222E" w:rsidRDefault="00B27BE5" w:rsidP="00F1222E">
            <w:pPr>
              <w:pStyle w:val="ListContinue2"/>
            </w:pPr>
            <w:r w:rsidRPr="00F1222E">
              <w:t>0.8827</w:t>
            </w:r>
          </w:p>
        </w:tc>
        <w:tc>
          <w:tcPr>
            <w:tcW w:w="897" w:type="dxa"/>
            <w:tcBorders>
              <w:top w:val="nil"/>
              <w:left w:val="nil"/>
              <w:bottom w:val="single" w:sz="4" w:space="0" w:color="auto"/>
              <w:right w:val="single" w:sz="4" w:space="0" w:color="auto"/>
            </w:tcBorders>
            <w:shd w:val="clear" w:color="auto" w:fill="auto"/>
            <w:noWrap/>
            <w:vAlign w:val="bottom"/>
            <w:hideMark/>
          </w:tcPr>
          <w:p w:rsidR="00B27BE5" w:rsidRPr="00F1222E" w:rsidRDefault="00B27BE5" w:rsidP="00F1222E">
            <w:pPr>
              <w:pStyle w:val="ListContinue2"/>
            </w:pPr>
            <w:r w:rsidRPr="00F1222E">
              <w:t>1</w:t>
            </w:r>
          </w:p>
        </w:tc>
      </w:tr>
      <w:tr w:rsidR="00B27BE5" w:rsidRPr="00CF5360" w:rsidTr="00B27BE5">
        <w:trPr>
          <w:trHeight w:val="300"/>
        </w:trPr>
        <w:tc>
          <w:tcPr>
            <w:tcW w:w="486" w:type="dxa"/>
            <w:vMerge/>
            <w:tcBorders>
              <w:top w:val="nil"/>
              <w:left w:val="single" w:sz="4" w:space="0" w:color="auto"/>
              <w:bottom w:val="single" w:sz="4" w:space="0" w:color="auto"/>
              <w:right w:val="single" w:sz="4" w:space="0" w:color="auto"/>
            </w:tcBorders>
            <w:vAlign w:val="center"/>
            <w:hideMark/>
          </w:tcPr>
          <w:p w:rsidR="00B27BE5" w:rsidRPr="00AC2168" w:rsidRDefault="00B27BE5" w:rsidP="005764F6"/>
        </w:tc>
        <w:tc>
          <w:tcPr>
            <w:tcW w:w="1074" w:type="dxa"/>
            <w:tcBorders>
              <w:top w:val="nil"/>
              <w:left w:val="nil"/>
              <w:bottom w:val="single" w:sz="4" w:space="0" w:color="auto"/>
              <w:right w:val="single" w:sz="4" w:space="0" w:color="auto"/>
            </w:tcBorders>
            <w:shd w:val="clear" w:color="000000" w:fill="FDE9D9"/>
            <w:noWrap/>
            <w:vAlign w:val="bottom"/>
            <w:hideMark/>
          </w:tcPr>
          <w:p w:rsidR="00B27BE5" w:rsidRPr="005764F6" w:rsidRDefault="00B27BE5" w:rsidP="005764F6">
            <w:r w:rsidRPr="005764F6">
              <w:t>34.50%</w:t>
            </w:r>
          </w:p>
        </w:tc>
        <w:tc>
          <w:tcPr>
            <w:tcW w:w="2063" w:type="dxa"/>
            <w:tcBorders>
              <w:top w:val="nil"/>
              <w:left w:val="nil"/>
              <w:bottom w:val="single" w:sz="4" w:space="0" w:color="auto"/>
              <w:right w:val="single" w:sz="4" w:space="0" w:color="auto"/>
            </w:tcBorders>
            <w:shd w:val="clear" w:color="auto" w:fill="auto"/>
            <w:noWrap/>
            <w:vAlign w:val="bottom"/>
            <w:hideMark/>
          </w:tcPr>
          <w:p w:rsidR="00B27BE5" w:rsidRPr="00F1222E" w:rsidRDefault="00B27BE5" w:rsidP="00F1222E">
            <w:pPr>
              <w:pStyle w:val="ListContinue2"/>
            </w:pPr>
            <w:r w:rsidRPr="00F1222E">
              <w:t>0.7915</w:t>
            </w:r>
          </w:p>
        </w:tc>
        <w:tc>
          <w:tcPr>
            <w:tcW w:w="897" w:type="dxa"/>
            <w:tcBorders>
              <w:top w:val="nil"/>
              <w:left w:val="nil"/>
              <w:bottom w:val="single" w:sz="4" w:space="0" w:color="auto"/>
              <w:right w:val="single" w:sz="4" w:space="0" w:color="auto"/>
            </w:tcBorders>
            <w:shd w:val="clear" w:color="auto" w:fill="auto"/>
            <w:noWrap/>
            <w:vAlign w:val="bottom"/>
            <w:hideMark/>
          </w:tcPr>
          <w:p w:rsidR="00B27BE5" w:rsidRPr="00F1222E" w:rsidRDefault="00B27BE5" w:rsidP="00F1222E">
            <w:pPr>
              <w:pStyle w:val="ListContinue2"/>
            </w:pPr>
            <w:r w:rsidRPr="00F1222E">
              <w:t>1</w:t>
            </w:r>
          </w:p>
        </w:tc>
      </w:tr>
      <w:tr w:rsidR="00B27BE5" w:rsidRPr="00CF5360" w:rsidTr="00B27BE5">
        <w:trPr>
          <w:trHeight w:val="300"/>
        </w:trPr>
        <w:tc>
          <w:tcPr>
            <w:tcW w:w="486" w:type="dxa"/>
            <w:vMerge/>
            <w:tcBorders>
              <w:top w:val="nil"/>
              <w:left w:val="single" w:sz="4" w:space="0" w:color="auto"/>
              <w:bottom w:val="single" w:sz="4" w:space="0" w:color="auto"/>
              <w:right w:val="single" w:sz="4" w:space="0" w:color="auto"/>
            </w:tcBorders>
            <w:vAlign w:val="center"/>
            <w:hideMark/>
          </w:tcPr>
          <w:p w:rsidR="00B27BE5" w:rsidRPr="00AC2168" w:rsidRDefault="00B27BE5" w:rsidP="005764F6"/>
        </w:tc>
        <w:tc>
          <w:tcPr>
            <w:tcW w:w="1074" w:type="dxa"/>
            <w:tcBorders>
              <w:top w:val="nil"/>
              <w:left w:val="nil"/>
              <w:bottom w:val="single" w:sz="4" w:space="0" w:color="auto"/>
              <w:right w:val="single" w:sz="4" w:space="0" w:color="auto"/>
            </w:tcBorders>
            <w:shd w:val="clear" w:color="000000" w:fill="FDE9D9"/>
            <w:noWrap/>
            <w:vAlign w:val="bottom"/>
            <w:hideMark/>
          </w:tcPr>
          <w:p w:rsidR="00B27BE5" w:rsidRPr="005764F6" w:rsidRDefault="00B27BE5" w:rsidP="005764F6">
            <w:r w:rsidRPr="005764F6">
              <w:t>39%</w:t>
            </w:r>
          </w:p>
        </w:tc>
        <w:tc>
          <w:tcPr>
            <w:tcW w:w="2063" w:type="dxa"/>
            <w:tcBorders>
              <w:top w:val="nil"/>
              <w:left w:val="nil"/>
              <w:bottom w:val="single" w:sz="4" w:space="0" w:color="auto"/>
              <w:right w:val="single" w:sz="4" w:space="0" w:color="auto"/>
            </w:tcBorders>
            <w:shd w:val="clear" w:color="auto" w:fill="auto"/>
            <w:noWrap/>
            <w:vAlign w:val="bottom"/>
            <w:hideMark/>
          </w:tcPr>
          <w:p w:rsidR="00B27BE5" w:rsidRPr="00F1222E" w:rsidRDefault="00B27BE5" w:rsidP="00F1222E">
            <w:pPr>
              <w:pStyle w:val="ListContinue2"/>
            </w:pPr>
            <w:r w:rsidRPr="00F1222E">
              <w:t>0.7578</w:t>
            </w:r>
          </w:p>
        </w:tc>
        <w:tc>
          <w:tcPr>
            <w:tcW w:w="897" w:type="dxa"/>
            <w:tcBorders>
              <w:top w:val="nil"/>
              <w:left w:val="nil"/>
              <w:bottom w:val="single" w:sz="4" w:space="0" w:color="auto"/>
              <w:right w:val="single" w:sz="4" w:space="0" w:color="auto"/>
            </w:tcBorders>
            <w:shd w:val="clear" w:color="auto" w:fill="auto"/>
            <w:noWrap/>
            <w:vAlign w:val="bottom"/>
            <w:hideMark/>
          </w:tcPr>
          <w:p w:rsidR="00B27BE5" w:rsidRPr="00F1222E" w:rsidRDefault="00B27BE5" w:rsidP="00F1222E">
            <w:pPr>
              <w:pStyle w:val="ListContinue2"/>
            </w:pPr>
            <w:r w:rsidRPr="00F1222E">
              <w:t>1</w:t>
            </w:r>
          </w:p>
        </w:tc>
      </w:tr>
      <w:tr w:rsidR="00B27BE5" w:rsidRPr="00CF5360" w:rsidTr="00B27BE5">
        <w:trPr>
          <w:trHeight w:val="300"/>
        </w:trPr>
        <w:tc>
          <w:tcPr>
            <w:tcW w:w="486" w:type="dxa"/>
            <w:vMerge/>
            <w:tcBorders>
              <w:top w:val="nil"/>
              <w:left w:val="single" w:sz="4" w:space="0" w:color="auto"/>
              <w:bottom w:val="single" w:sz="4" w:space="0" w:color="auto"/>
              <w:right w:val="single" w:sz="4" w:space="0" w:color="auto"/>
            </w:tcBorders>
            <w:vAlign w:val="center"/>
            <w:hideMark/>
          </w:tcPr>
          <w:p w:rsidR="00B27BE5" w:rsidRPr="00AC2168" w:rsidRDefault="00B27BE5" w:rsidP="005764F6"/>
        </w:tc>
        <w:tc>
          <w:tcPr>
            <w:tcW w:w="1074" w:type="dxa"/>
            <w:tcBorders>
              <w:top w:val="nil"/>
              <w:left w:val="nil"/>
              <w:bottom w:val="single" w:sz="4" w:space="0" w:color="auto"/>
              <w:right w:val="single" w:sz="4" w:space="0" w:color="auto"/>
            </w:tcBorders>
            <w:shd w:val="clear" w:color="000000" w:fill="FDE9D9"/>
            <w:noWrap/>
            <w:vAlign w:val="bottom"/>
            <w:hideMark/>
          </w:tcPr>
          <w:p w:rsidR="00B27BE5" w:rsidRPr="005764F6" w:rsidRDefault="00B27BE5" w:rsidP="005764F6">
            <w:r w:rsidRPr="005764F6">
              <w:t>47%</w:t>
            </w:r>
          </w:p>
        </w:tc>
        <w:tc>
          <w:tcPr>
            <w:tcW w:w="2063" w:type="dxa"/>
            <w:tcBorders>
              <w:top w:val="nil"/>
              <w:left w:val="nil"/>
              <w:bottom w:val="single" w:sz="4" w:space="0" w:color="auto"/>
              <w:right w:val="single" w:sz="4" w:space="0" w:color="auto"/>
            </w:tcBorders>
            <w:shd w:val="clear" w:color="auto" w:fill="auto"/>
            <w:noWrap/>
            <w:vAlign w:val="bottom"/>
            <w:hideMark/>
          </w:tcPr>
          <w:p w:rsidR="00B27BE5" w:rsidRPr="00F1222E" w:rsidRDefault="00B27BE5" w:rsidP="00F1222E">
            <w:pPr>
              <w:pStyle w:val="ListContinue2"/>
            </w:pPr>
            <w:r w:rsidRPr="00F1222E">
              <w:t>0.6928</w:t>
            </w:r>
          </w:p>
        </w:tc>
        <w:tc>
          <w:tcPr>
            <w:tcW w:w="897" w:type="dxa"/>
            <w:tcBorders>
              <w:top w:val="nil"/>
              <w:left w:val="nil"/>
              <w:bottom w:val="single" w:sz="4" w:space="0" w:color="auto"/>
              <w:right w:val="single" w:sz="4" w:space="0" w:color="auto"/>
            </w:tcBorders>
            <w:shd w:val="clear" w:color="auto" w:fill="auto"/>
            <w:noWrap/>
            <w:vAlign w:val="bottom"/>
            <w:hideMark/>
          </w:tcPr>
          <w:p w:rsidR="00B27BE5" w:rsidRPr="00F1222E" w:rsidRDefault="00B27BE5" w:rsidP="00F1222E">
            <w:pPr>
              <w:pStyle w:val="ListContinue2"/>
            </w:pPr>
            <w:r w:rsidRPr="00F1222E">
              <w:t>1</w:t>
            </w:r>
          </w:p>
        </w:tc>
      </w:tr>
    </w:tbl>
    <w:p w:rsidR="00205476" w:rsidRPr="00883125" w:rsidRDefault="00205476" w:rsidP="00205476">
      <w:r w:rsidRPr="00883125">
        <w:t xml:space="preserve">The example shows why estimates of the value of dividends (and imputation credits) </w:t>
      </w:r>
      <w:r>
        <w:t>from</w:t>
      </w:r>
      <w:r w:rsidRPr="00883125">
        <w:t xml:space="preserve"> market based studies </w:t>
      </w:r>
      <w:r>
        <w:t>are</w:t>
      </w:r>
      <w:r w:rsidRPr="00883125">
        <w:t xml:space="preserve"> influenced by personal tax factors and this is not appropriate in our regulatory context. Adjustment for the impact of differential personal taxation of income and capital gains must be made to the estimates from dividend drop off studies to ensure the</w:t>
      </w:r>
      <w:r>
        <w:t>ir</w:t>
      </w:r>
      <w:r w:rsidRPr="00883125">
        <w:t xml:space="preserve"> consisten</w:t>
      </w:r>
      <w:r>
        <w:t>cy</w:t>
      </w:r>
      <w:r w:rsidRPr="00883125">
        <w:t xml:space="preserve"> with our post tax framework.</w:t>
      </w:r>
    </w:p>
    <w:p w:rsidR="00B27BE5" w:rsidRPr="00883125" w:rsidRDefault="00B27BE5" w:rsidP="00B27BE5">
      <w:r w:rsidRPr="00883125">
        <w:t>As is evident above, different investors have a different dividend drop off ratio and this is determined by many factors such as:</w:t>
      </w:r>
    </w:p>
    <w:p w:rsidR="00B27BE5" w:rsidRPr="00B27BE5" w:rsidRDefault="00B27BE5" w:rsidP="00B27BE5">
      <w:pPr>
        <w:pStyle w:val="AERbulletlistthirdstyle"/>
      </w:pPr>
      <w:r w:rsidRPr="00883125">
        <w:t xml:space="preserve">Investor </w:t>
      </w:r>
      <w:r w:rsidRPr="00B27BE5">
        <w:t>marginal income tax rate</w:t>
      </w:r>
    </w:p>
    <w:p w:rsidR="00B27BE5" w:rsidRDefault="00B27BE5" w:rsidP="00B27BE5">
      <w:pPr>
        <w:pStyle w:val="AERbulletlistthirdstyle"/>
      </w:pPr>
      <w:r w:rsidRPr="00883125">
        <w:t>Whether the investor held the share for more than 12 months</w:t>
      </w:r>
    </w:p>
    <w:p w:rsidR="0056664F" w:rsidRPr="00B27BE5" w:rsidRDefault="0056664F" w:rsidP="00B27BE5">
      <w:pPr>
        <w:pStyle w:val="AERbulletlistthirdstyle"/>
      </w:pPr>
      <w:r>
        <w:t>Whether the investor is super fund or not</w:t>
      </w:r>
    </w:p>
    <w:p w:rsidR="00B27BE5" w:rsidRPr="00B27BE5" w:rsidRDefault="00B27BE5" w:rsidP="00B27BE5">
      <w:pPr>
        <w:pStyle w:val="AERbulletlistthirdstyle"/>
      </w:pPr>
      <w:r w:rsidRPr="00883125">
        <w:t xml:space="preserve">Whether the investor is foreign and how foreign income is taxed </w:t>
      </w:r>
      <w:r w:rsidRPr="00B27BE5">
        <w:t>at their home country</w:t>
      </w:r>
    </w:p>
    <w:p w:rsidR="00B27BE5" w:rsidRPr="00883125" w:rsidRDefault="00B27BE5" w:rsidP="00B27BE5">
      <w:pPr>
        <w:rPr>
          <w:rStyle w:val="AERbody"/>
        </w:rPr>
      </w:pPr>
      <w:r w:rsidRPr="00883125">
        <w:rPr>
          <w:rStyle w:val="AERbody"/>
        </w:rPr>
        <w:t>What determines the dividend drop off price in the market is based on who the marginal investors are around the ex-dividend dates. For instance, if only local investors with a marginal tax rate of 39% are trading around the ex-dividend date then the dividend drop off should be 0.7578 cents per dollar of face value of dividends. If there is a mixture of investors trading around the ex-dividend date then the drop off price will be determined by supply and demand on those days.</w:t>
      </w:r>
      <w:r w:rsidR="0056664F">
        <w:rPr>
          <w:rStyle w:val="AERbody"/>
        </w:rPr>
        <w:t xml:space="preserve"> In real capital markets with multiple </w:t>
      </w:r>
      <w:r w:rsidR="00ED480E">
        <w:rPr>
          <w:rStyle w:val="AERbody"/>
        </w:rPr>
        <w:t>types</w:t>
      </w:r>
      <w:r w:rsidR="0056664F">
        <w:rPr>
          <w:rStyle w:val="AERbody"/>
        </w:rPr>
        <w:t xml:space="preserve"> of investors facing </w:t>
      </w:r>
      <w:r w:rsidR="0056664F">
        <w:rPr>
          <w:rStyle w:val="AERbody"/>
        </w:rPr>
        <w:lastRenderedPageBreak/>
        <w:t>differential tax rates and where those investors may or may not be able to utilise franking credits, the resulting equilibrium is much more complex.</w:t>
      </w:r>
      <w:r w:rsidR="0056664F">
        <w:rPr>
          <w:rStyle w:val="FootnoteReference"/>
        </w:rPr>
        <w:footnoteReference w:id="612"/>
      </w:r>
    </w:p>
    <w:p w:rsidR="00205476" w:rsidRPr="00883125" w:rsidRDefault="00205476" w:rsidP="00205476">
      <w:r w:rsidRPr="00883125">
        <w:t xml:space="preserve">In the analysis above we focused on the impact on cash (unfranked) dividends and ignored the effect of imputation credits. This was a simplifying assumption which should not distract from the fact that imputation credits are similarly impacted in market based studies by differential personal tax. </w:t>
      </w:r>
      <w:r>
        <w:t>The simple analysis can be extended to cover franked dividends.</w:t>
      </w:r>
      <w:r w:rsidR="00F267EC">
        <w:rPr>
          <w:rStyle w:val="FootnoteReference"/>
        </w:rPr>
        <w:footnoteReference w:id="613"/>
      </w:r>
      <w:r w:rsidRPr="00883125">
        <w:t xml:space="preserve"> Overall personal tax is levied on the grossed up dividend which is the </w:t>
      </w:r>
      <w:r>
        <w:t xml:space="preserve">face value of the cash </w:t>
      </w:r>
      <w:r w:rsidRPr="00883125">
        <w:t>dividend plus the face value of the attached imputation credit</w:t>
      </w:r>
      <w:r>
        <w:t xml:space="preserve"> that can be utilised</w:t>
      </w:r>
      <w:r w:rsidRPr="00883125">
        <w:t xml:space="preserve">, both of which are taxed as ordinary income. </w:t>
      </w:r>
    </w:p>
    <w:p w:rsidR="00B27BE5" w:rsidRPr="00B27BE5" w:rsidRDefault="00205476" w:rsidP="00B27BE5">
      <w:pPr>
        <w:rPr>
          <w:rStyle w:val="AERbody"/>
        </w:rPr>
      </w:pPr>
      <w:r>
        <w:rPr>
          <w:rStyle w:val="AERbody"/>
        </w:rPr>
        <w:t>Furthermore</w:t>
      </w:r>
      <w:r w:rsidRPr="00883125">
        <w:rPr>
          <w:rStyle w:val="AERbody"/>
        </w:rPr>
        <w:t xml:space="preserve">, </w:t>
      </w:r>
      <w:r w:rsidR="00B27BE5" w:rsidRPr="00883125">
        <w:rPr>
          <w:rStyle w:val="AERbody"/>
        </w:rPr>
        <w:t xml:space="preserve">the marginal investor's valuation is not relevant for the purposes of calculating the taxation building block. What is required is what proportion of the company tax is a prepayment of the investor's personal tax. For the taxation building block what matters is the value to all investors in aggregate and not the marginal investors that trade around the cum-dividend and ex-dividend dates. This would suggest that dividends drop off studies are not the best method for determining the gamma adjustment to the taxation building block. </w:t>
      </w:r>
    </w:p>
    <w:p w:rsidR="00B27BE5" w:rsidRPr="00883125" w:rsidRDefault="00B27BE5" w:rsidP="00B27BE5">
      <w:r w:rsidRPr="00883125">
        <w:t xml:space="preserve">In the recent Tribunal decision, the Tribunal considered </w:t>
      </w:r>
      <w:r w:rsidR="00645287">
        <w:t>we were</w:t>
      </w:r>
      <w:r w:rsidRPr="00883125">
        <w:t xml:space="preserve"> being inconsistent with </w:t>
      </w:r>
      <w:r w:rsidR="00645287">
        <w:t>our</w:t>
      </w:r>
      <w:r w:rsidR="00645287" w:rsidRPr="00883125">
        <w:t xml:space="preserve"> </w:t>
      </w:r>
      <w:r w:rsidRPr="00883125">
        <w:t xml:space="preserve">approach as other allowed rate of return parameters were determined by market prices which are influenced by personal taxes. </w:t>
      </w:r>
      <w:r w:rsidR="00645287">
        <w:t>We</w:t>
      </w:r>
      <w:r w:rsidRPr="00883125">
        <w:t xml:space="preserve"> do not agree. Other allowed rate of return parameters in the cost of equity and cost of debt are not influence by personal tax factors in a manner that results in estimates not being a genuine expected post tax returns. </w:t>
      </w:r>
    </w:p>
    <w:p w:rsidR="00B27BE5" w:rsidRPr="00883125" w:rsidRDefault="00B27BE5" w:rsidP="00B27BE5">
      <w:r w:rsidRPr="00883125">
        <w:t xml:space="preserve">For instance, </w:t>
      </w:r>
      <w:r>
        <w:t xml:space="preserve">the </w:t>
      </w:r>
      <w:r w:rsidR="00F267EC">
        <w:t xml:space="preserve">returns derived from </w:t>
      </w:r>
      <w:r w:rsidRPr="00883125">
        <w:t>equity price</w:t>
      </w:r>
      <w:r w:rsidR="00F267EC">
        <w:t>s</w:t>
      </w:r>
      <w:r w:rsidRPr="00883125">
        <w:t xml:space="preserve"> is a post company tax (pre-personal tax) </w:t>
      </w:r>
      <w:r w:rsidR="00F267EC">
        <w:t>return</w:t>
      </w:r>
      <w:r w:rsidRPr="00883125">
        <w:t xml:space="preserve"> that is subject to capital gains tax when it is sold by an investor. This contrast to the cash dividends and imputation credits estimate</w:t>
      </w:r>
      <w:r w:rsidR="00205476">
        <w:t>s</w:t>
      </w:r>
      <w:r w:rsidRPr="00883125">
        <w:t xml:space="preserve"> from market based dividend drop off studies which are neither pre nor post-personal tax estimates of the value to investors. </w:t>
      </w:r>
    </w:p>
    <w:p w:rsidR="00B27BE5" w:rsidRPr="00883125" w:rsidRDefault="00B27BE5" w:rsidP="00B27BE5">
      <w:r w:rsidRPr="00883125">
        <w:t>When calculating the MRP using historical data we use the face value of capital gains and dividends and not market value implied by dividend drop off studies. Likewise when calculating the MRP in the dividend growth model we discount the dividends at face value and not the value implied in the dividend drop off studies.</w:t>
      </w:r>
    </w:p>
    <w:p w:rsidR="00B27BE5" w:rsidRPr="00883125" w:rsidRDefault="00B27BE5" w:rsidP="00B27BE5">
      <w:r w:rsidRPr="00883125">
        <w:t xml:space="preserve">Similarly, </w:t>
      </w:r>
      <w:r>
        <w:t>t</w:t>
      </w:r>
      <w:r w:rsidRPr="00883125">
        <w:t xml:space="preserve">he bond </w:t>
      </w:r>
      <w:r w:rsidR="00F267EC">
        <w:t xml:space="preserve">returns derived from bond market </w:t>
      </w:r>
      <w:r w:rsidRPr="00883125">
        <w:t xml:space="preserve">price </w:t>
      </w:r>
      <w:r w:rsidR="00F267EC">
        <w:t>are</w:t>
      </w:r>
      <w:r w:rsidR="00F267EC" w:rsidRPr="00883125">
        <w:t xml:space="preserve"> </w:t>
      </w:r>
      <w:r w:rsidRPr="00883125">
        <w:t xml:space="preserve">a post company tax (pre-personal tax) </w:t>
      </w:r>
      <w:r w:rsidR="00F267EC">
        <w:t>returns</w:t>
      </w:r>
      <w:r w:rsidRPr="00883125">
        <w:t xml:space="preserve">. When </w:t>
      </w:r>
      <w:r w:rsidR="00645287">
        <w:t>we</w:t>
      </w:r>
      <w:r w:rsidRPr="00883125">
        <w:t xml:space="preserve"> or a third party service provider calculates the yield to maturity on bonds and government securities, the face value of coupons and the face value of the principal are used in the calculations. </w:t>
      </w:r>
    </w:p>
    <w:p w:rsidR="00B27BE5" w:rsidRPr="00883125" w:rsidRDefault="00B27BE5" w:rsidP="00B27BE5">
      <w:r w:rsidRPr="00883125">
        <w:lastRenderedPageBreak/>
        <w:t xml:space="preserve">The above examples demonstrate why </w:t>
      </w:r>
      <w:r w:rsidR="00645287">
        <w:t>we</w:t>
      </w:r>
      <w:r w:rsidRPr="00883125">
        <w:t xml:space="preserve"> consider its approach to estimating gamma is consistent with how it estimates the rate of return parameters when estimating in the allowed rate of return for the benchmark efficient entity. This is further discussed in section </w:t>
      </w:r>
      <w:r w:rsidRPr="00883125">
        <w:fldChar w:fldCharType="begin"/>
      </w:r>
      <w:r w:rsidRPr="00883125">
        <w:instrText xml:space="preserve"> REF _Ref450300692 \r \h </w:instrText>
      </w:r>
      <w:r w:rsidRPr="00883125">
        <w:fldChar w:fldCharType="separate"/>
      </w:r>
      <w:r w:rsidR="00881794">
        <w:t>A.8.2</w:t>
      </w:r>
      <w:r w:rsidRPr="00883125">
        <w:fldChar w:fldCharType="end"/>
      </w:r>
      <w:r w:rsidRPr="00883125">
        <w:t>.</w:t>
      </w:r>
    </w:p>
    <w:p w:rsidR="00B27BE5" w:rsidRPr="00883125" w:rsidRDefault="00B27BE5" w:rsidP="00B27BE5">
      <w:r w:rsidRPr="00883125">
        <w:t xml:space="preserve">The above example shows that if market based dividend drop off studies are to be used to estimate </w:t>
      </w:r>
      <w:r w:rsidR="00F267EC">
        <w:t>the utilisation value</w:t>
      </w:r>
      <w:r w:rsidRPr="00883125">
        <w:t>, adjustments have to be made for the impact of personal tax and personal cost factors. However, for reasons outlined above this is not ideal. For estimating the taxation building block we want to know what proportion of corporate tax is a pre-payment of personal tax</w:t>
      </w:r>
      <w:r>
        <w:t xml:space="preserve"> (as this is the direct value investors will get from the reduction in their tax bill payable to the government, or via a rebate from the government)</w:t>
      </w:r>
      <w:r w:rsidRPr="00883125">
        <w:t xml:space="preserve">. We consider this is currently best estimated using the equity ownership approach. </w:t>
      </w:r>
    </w:p>
    <w:p w:rsidR="00B27BE5" w:rsidRPr="00883125" w:rsidRDefault="00B27BE5" w:rsidP="00B27BE5">
      <w:r w:rsidRPr="00883125">
        <w:t>The analysis above ignored the impact of personal transaction costs but they similarly impact the share price drop ratio as differential personal taxes. As outlined above, local shareholders that have held shares for more than 12 months prefer a dollar of capital gains over a dollar of unfranked dividends on a pre-personal tax basis. This is due to capital gains being more valuable as they are taxed at a concessional tax rate relative to unfranked dividends. Similarly, investors value the cash flow that has lower personal transaction costs more than the cash flow that has higher personal transaction costs. For example, investor on personal cost basis might value dividends more than capital gains. This is due to investor having to pay brokerage fees in order to realise a capital gains while dividends are distributed without brokerage costs. However, personal transaction costs are not relevant in our regulatory context as they are not costs impost on the regulated business (</w:t>
      </w:r>
      <w:r w:rsidR="00A47F4F" w:rsidRPr="00883125">
        <w:t>i.e.</w:t>
      </w:r>
      <w:r w:rsidRPr="00883125">
        <w:t xml:space="preserve"> they are irrelevant to the post tax return under the Officer WACC framework).</w:t>
      </w:r>
    </w:p>
    <w:p w:rsidR="00B27BE5" w:rsidRPr="00883125" w:rsidRDefault="00B27BE5" w:rsidP="00B27BE5">
      <w:r w:rsidRPr="00883125">
        <w:t>The analysis above is based around dividend drop off studies but is equally applicable to alternative market value studies.</w:t>
      </w:r>
    </w:p>
    <w:p w:rsidR="00B27BE5" w:rsidRPr="00883125" w:rsidRDefault="00B27BE5" w:rsidP="00B27BE5">
      <w:pPr>
        <w:pStyle w:val="Heading9"/>
      </w:pPr>
      <w:bookmarkStart w:id="190" w:name="_Ref415065117"/>
      <w:r w:rsidRPr="00883125">
        <w:t>Adjustment of estimates from implied market value studies</w:t>
      </w:r>
      <w:bookmarkEnd w:id="190"/>
    </w:p>
    <w:p w:rsidR="00311237" w:rsidRDefault="00B27BE5" w:rsidP="00B27BE5">
      <w:r w:rsidRPr="00883125">
        <w:t>Although not proposing this approach, a number of service providers submitted that estimates of the utilisation rate from implied market value studies can be adjusted to make them consistent with the before-personal-tax and before-personal-costs value of imputation credits.</w:t>
      </w:r>
      <w:r w:rsidRPr="00883125">
        <w:rPr>
          <w:rStyle w:val="FootnoteReference"/>
        </w:rPr>
        <w:footnoteReference w:id="614"/>
      </w:r>
      <w:r w:rsidRPr="00883125">
        <w:t xml:space="preserve"> </w:t>
      </w:r>
      <w:r w:rsidR="00311237">
        <w:t>However, the service providers do not propose this adjustment as they consider it to be unnecessary.</w:t>
      </w:r>
      <w:r w:rsidR="00311237" w:rsidRPr="00311237">
        <w:rPr>
          <w:rStyle w:val="FootnoteReference"/>
        </w:rPr>
        <w:t xml:space="preserve"> </w:t>
      </w:r>
      <w:r w:rsidR="00311237" w:rsidRPr="00883125">
        <w:rPr>
          <w:rStyle w:val="FootnoteReference"/>
        </w:rPr>
        <w:footnoteReference w:id="615"/>
      </w:r>
    </w:p>
    <w:p w:rsidR="00B27BE5" w:rsidRPr="00883125" w:rsidRDefault="00311237" w:rsidP="00B27BE5">
      <w:r>
        <w:lastRenderedPageBreak/>
        <w:t>W</w:t>
      </w:r>
      <w:r w:rsidR="00B27BE5" w:rsidRPr="00883125">
        <w:t xml:space="preserve">e do not consider that the relevant adjustment—proposed by Handley and Lally and discussed in section </w:t>
      </w:r>
      <w:r w:rsidR="002D2E1B">
        <w:fldChar w:fldCharType="begin"/>
      </w:r>
      <w:r w:rsidR="002D2E1B">
        <w:instrText xml:space="preserve"> REF _Ref451353895 \r \h </w:instrText>
      </w:r>
      <w:r w:rsidR="002D2E1B">
        <w:fldChar w:fldCharType="separate"/>
      </w:r>
      <w:r w:rsidR="00881794">
        <w:t>4.4</w:t>
      </w:r>
      <w:r w:rsidR="002D2E1B">
        <w:fldChar w:fldCharType="end"/>
      </w:r>
      <w:r w:rsidR="00B27BE5" w:rsidRPr="00883125">
        <w:t>—will fully account for the potential effect of personal taxes and costs. This is because the proposed adjustment seeks to remove from the estimates of investors’ valuation of dividends and imputation credits the effect of factors that suggest that investors’ valuation of $1 of dividends is less than $1. However, according to Gray (for SFG), there are:</w:t>
      </w:r>
      <w:r w:rsidR="00B27BE5" w:rsidRPr="00883125">
        <w:rPr>
          <w:rStyle w:val="FootnoteReference"/>
        </w:rPr>
        <w:footnoteReference w:id="616"/>
      </w:r>
    </w:p>
    <w:p w:rsidR="00B27BE5" w:rsidRPr="00883125" w:rsidRDefault="00B27BE5" w:rsidP="00B27BE5">
      <w:pPr>
        <w:pStyle w:val="AERquote"/>
      </w:pPr>
      <w:r w:rsidRPr="00883125">
        <w:t>…costs that reasonable, efficient investors would incur in relation to imputation credits, which do not apply to dividends or capital gains.</w:t>
      </w:r>
    </w:p>
    <w:p w:rsidR="00B27BE5" w:rsidRPr="00883125" w:rsidRDefault="00B27BE5" w:rsidP="00B27BE5">
      <w:r w:rsidRPr="00883125">
        <w:t>Thus, Gray's view (for SFG) appears to be that there are factors which affect investors' valuation of imputation credits (as reflected in share prices) which do not affect investors' valuation of dividends.</w:t>
      </w:r>
      <w:r w:rsidRPr="00883125">
        <w:rPr>
          <w:rStyle w:val="FootnoteReference"/>
        </w:rPr>
        <w:footnoteReference w:id="617"/>
      </w:r>
      <w:r w:rsidRPr="00883125">
        <w:t xml:space="preserve"> Therefore, it does not appear that the proposed adjustment—which only addresses factors which affect both dividends and imputation credits—would exclude the effect of the factors identified by SFG as affecting just imputation credits.</w:t>
      </w:r>
    </w:p>
    <w:p w:rsidR="002D2E1B" w:rsidRDefault="00B27BE5" w:rsidP="00B27BE5">
      <w:r w:rsidRPr="00883125">
        <w:t xml:space="preserve">As outlined above in section </w:t>
      </w:r>
      <w:r w:rsidRPr="00883125">
        <w:fldChar w:fldCharType="begin"/>
      </w:r>
      <w:r w:rsidRPr="00883125">
        <w:instrText xml:space="preserve"> REF _Ref435171205 \r \h </w:instrText>
      </w:r>
      <w:r w:rsidRPr="00883125">
        <w:fldChar w:fldCharType="separate"/>
      </w:r>
      <w:r w:rsidR="00881794">
        <w:t>A.15.3</w:t>
      </w:r>
      <w:r w:rsidRPr="00883125">
        <w:fldChar w:fldCharType="end"/>
      </w:r>
      <w:r w:rsidRPr="00883125">
        <w:t>, the adjustment for the impact of differential personal taxes is equivalent for dividends and imputation credits. Therefore, if market value studies are to be used to estimate the utilisation value then at a minimum the adjustment proposed by Lally and Handley should be used.</w:t>
      </w:r>
    </w:p>
    <w:p w:rsidR="002D2E1B" w:rsidRDefault="002D2E1B" w:rsidP="00B27BE5">
      <w:r>
        <w:t xml:space="preserve">Lally considered that the coefficient on imputation credits in dividend drop off studies is not </w:t>
      </w:r>
      <m:oMath>
        <m:r>
          <w:rPr>
            <w:rFonts w:ascii="Cambria Math" w:hAnsi="Cambria Math"/>
          </w:rPr>
          <m:t>θ</m:t>
        </m:r>
      </m:oMath>
      <w:r>
        <w:t xml:space="preserve"> but </w:t>
      </w:r>
      <m:oMath>
        <m:r>
          <w:rPr>
            <w:rFonts w:ascii="Cambria Math" w:hAnsi="Cambria Math"/>
          </w:rPr>
          <m:t>δθ</m:t>
        </m:r>
      </m:oMath>
      <w:r>
        <w:t>. Therefore the estimated value of imputation credits in the dividend drop off study must be divided by the estimate value of the cash dividend.</w:t>
      </w:r>
      <w:r w:rsidRPr="002D2E1B">
        <w:rPr>
          <w:rStyle w:val="FootnoteReference"/>
        </w:rPr>
        <w:t xml:space="preserve"> </w:t>
      </w:r>
      <w:r>
        <w:rPr>
          <w:rStyle w:val="FootnoteReference"/>
        </w:rPr>
        <w:footnoteReference w:id="618"/>
      </w:r>
    </w:p>
    <w:p w:rsidR="00B27BE5" w:rsidRPr="00883125" w:rsidRDefault="00B27BE5" w:rsidP="00B27BE5">
      <w:pPr>
        <w:pStyle w:val="Heading9"/>
      </w:pPr>
      <w:bookmarkStart w:id="191" w:name="_Ref414624721"/>
      <w:r w:rsidRPr="00883125">
        <w:t>Limitations of SFG's dividend drop off study</w:t>
      </w:r>
      <w:bookmarkEnd w:id="191"/>
    </w:p>
    <w:p w:rsidR="00B27BE5" w:rsidRPr="00883125" w:rsidRDefault="00B27BE5" w:rsidP="00B27BE5">
      <w:r w:rsidRPr="00883125">
        <w:t>A number of service providers submitted that ‘several of the general limitations [of implied market value studies identified] do not apply to the SFG study’.</w:t>
      </w:r>
      <w:r w:rsidRPr="00883125">
        <w:rPr>
          <w:rStyle w:val="FootnoteReference"/>
        </w:rPr>
        <w:footnoteReference w:id="619"/>
      </w:r>
      <w:r w:rsidRPr="00883125">
        <w:t xml:space="preserve"> Namely, the service providers consider that the SFG dividend drop off study does not produce nonsensical </w:t>
      </w:r>
      <w:r w:rsidRPr="00883125">
        <w:lastRenderedPageBreak/>
        <w:t>results and is not subject to problematic estimation methodologies.</w:t>
      </w:r>
      <w:r w:rsidRPr="00883125">
        <w:rPr>
          <w:rStyle w:val="FootnoteReference"/>
        </w:rPr>
        <w:footnoteReference w:id="620"/>
      </w:r>
      <w:r w:rsidRPr="00883125">
        <w:t xml:space="preserve"> The service providers consider </w:t>
      </w:r>
      <w:r w:rsidR="00034166">
        <w:t>we</w:t>
      </w:r>
      <w:r w:rsidRPr="00883125">
        <w:t xml:space="preserve"> ha</w:t>
      </w:r>
      <w:r w:rsidR="00034166">
        <w:t>ve</w:t>
      </w:r>
      <w:r w:rsidRPr="00883125">
        <w:t xml:space="preserve"> not assessed the SFG study as a standalone basis, rather they consider </w:t>
      </w:r>
      <w:r w:rsidR="00034166">
        <w:t>we</w:t>
      </w:r>
      <w:r w:rsidRPr="00883125">
        <w:t xml:space="preserve"> assess it together with all drop off studies.</w:t>
      </w:r>
      <w:r w:rsidRPr="00883125">
        <w:rPr>
          <w:rStyle w:val="FootnoteReference"/>
        </w:rPr>
        <w:footnoteReference w:id="621"/>
      </w:r>
      <w:r w:rsidRPr="00883125">
        <w:t xml:space="preserve"> </w:t>
      </w:r>
      <w:r w:rsidR="00034166">
        <w:t>We</w:t>
      </w:r>
      <w:r w:rsidRPr="00883125">
        <w:t xml:space="preserve"> do not agree and below we set out the limitations that we consider apply generally to implied market value studies and consider whether these apply to SFG’s dividend drop off study on a standalone basis. We conclude that there is reasonable evidence to suggest that several of the limitations do apply to SFG's dividend drop off study. There appears to be no information in the proposals lodged in 201</w:t>
      </w:r>
      <w:r w:rsidR="00F267EC">
        <w:t>6</w:t>
      </w:r>
      <w:r w:rsidRPr="00883125">
        <w:t xml:space="preserve"> or in Gray's June </w:t>
      </w:r>
      <w:r w:rsidR="00F267EC" w:rsidRPr="00883125">
        <w:t>201</w:t>
      </w:r>
      <w:r w:rsidR="00F267EC">
        <w:t>6</w:t>
      </w:r>
      <w:r w:rsidR="00F267EC" w:rsidRPr="00883125">
        <w:t xml:space="preserve"> </w:t>
      </w:r>
      <w:r w:rsidRPr="00883125">
        <w:t>report (for Frontier),</w:t>
      </w:r>
      <w:r w:rsidRPr="00883125">
        <w:rPr>
          <w:rStyle w:val="FootnoteReference"/>
        </w:rPr>
        <w:footnoteReference w:id="622"/>
      </w:r>
      <w:r w:rsidRPr="00883125">
        <w:t xml:space="preserve"> to warrant us changing our view on any of the material below set out in our decisions released in </w:t>
      </w:r>
      <w:r w:rsidR="00F267EC">
        <w:t>October</w:t>
      </w:r>
      <w:r w:rsidR="00F267EC" w:rsidRPr="00883125">
        <w:t xml:space="preserve"> </w:t>
      </w:r>
      <w:r w:rsidRPr="00883125">
        <w:t xml:space="preserve">and </w:t>
      </w:r>
      <w:r w:rsidR="00F267EC">
        <w:t xml:space="preserve">November </w:t>
      </w:r>
      <w:r w:rsidR="00F267EC" w:rsidRPr="00883125">
        <w:t xml:space="preserve"> </w:t>
      </w:r>
      <w:r w:rsidRPr="00883125">
        <w:t>2015.</w:t>
      </w:r>
    </w:p>
    <w:p w:rsidR="00B27BE5" w:rsidRPr="00883125" w:rsidRDefault="00B27BE5" w:rsidP="00B27BE5">
      <w:pPr>
        <w:pStyle w:val="HeadingBoldBlue"/>
      </w:pPr>
      <w:r w:rsidRPr="00883125">
        <w:t>These studies can produce nonsensical estimates of the utilisation rate; that is, greater than one or less than zero.</w:t>
      </w:r>
    </w:p>
    <w:p w:rsidR="00B27BE5" w:rsidRPr="00883125" w:rsidRDefault="00B27BE5" w:rsidP="00B27BE5">
      <w:r w:rsidRPr="00883125">
        <w:t>We accept that this limitation does not apply to SFG’s study. Its estimate of the utilisation rate is 0.35.</w:t>
      </w:r>
    </w:p>
    <w:p w:rsidR="00B27BE5" w:rsidRPr="00883125" w:rsidRDefault="00B27BE5" w:rsidP="00B27BE5">
      <w:pPr>
        <w:pStyle w:val="HeadingBoldBlue"/>
      </w:pPr>
      <w:r w:rsidRPr="00883125">
        <w:t>The results of these studies can reflect factors, such as differential personal taxes and risk, which are not relevant to the utilisation rate.</w:t>
      </w:r>
    </w:p>
    <w:p w:rsidR="00B27BE5" w:rsidRPr="00883125" w:rsidRDefault="00B27BE5" w:rsidP="00B27BE5">
      <w:r w:rsidRPr="00883125">
        <w:t>Both Handley and Lally advised that the results from SFG’s dividend drop off study reflect these factors.</w:t>
      </w:r>
      <w:r w:rsidRPr="00883125">
        <w:rPr>
          <w:rStyle w:val="FootnoteReference"/>
        </w:rPr>
        <w:footnoteReference w:id="623"/>
      </w:r>
      <w:r w:rsidRPr="00883125">
        <w:t xml:space="preserve"> A number of service providers themselves also acknowledged this elsewhere in their revised proposals:</w:t>
      </w:r>
      <w:r w:rsidRPr="00883125">
        <w:rPr>
          <w:rStyle w:val="FootnoteReference"/>
        </w:rPr>
        <w:footnoteReference w:id="624"/>
      </w:r>
    </w:p>
    <w:p w:rsidR="00B27BE5" w:rsidRPr="00883125" w:rsidRDefault="00B27BE5" w:rsidP="00B27BE5">
      <w:pPr>
        <w:pStyle w:val="AERquote"/>
      </w:pPr>
      <w:r w:rsidRPr="00883125">
        <w:lastRenderedPageBreak/>
        <w:t>…even if the AER’s definition of theta were to be adopted, there is a relatively simple adjustment that can be made to estimates from market value studies to address this concern. As explained by Associate Professor Handley, this involves ‘grossing up’ the theta estimate from a market value study to reflect the effect of personal taxes and personal costs.</w:t>
      </w:r>
    </w:p>
    <w:p w:rsidR="00B27BE5" w:rsidRPr="00883125" w:rsidRDefault="00B27BE5" w:rsidP="00B27BE5">
      <w:r w:rsidRPr="00883125">
        <w:t>Therefore, we conclude that this limitation does apply to SFG’s study.</w:t>
      </w:r>
    </w:p>
    <w:p w:rsidR="00B27BE5" w:rsidRPr="00883125" w:rsidRDefault="00B27BE5" w:rsidP="00B27BE5">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881794">
        <w:t>A.15.3</w:t>
      </w:r>
      <w:r w:rsidRPr="00883125">
        <w:rPr>
          <w:rStyle w:val="AERtexthighlight"/>
        </w:rPr>
        <w:fldChar w:fldCharType="end"/>
      </w:r>
      <w:r w:rsidRPr="00883125">
        <w:t xml:space="preserve"> we have also provided a worked example of how personal taxes influence market value of dividend and imputation credits in market studies.</w:t>
      </w:r>
    </w:p>
    <w:p w:rsidR="00B27BE5" w:rsidRPr="00883125" w:rsidRDefault="00B27BE5" w:rsidP="00B27BE5">
      <w:pPr>
        <w:pStyle w:val="HeadingBoldBlue"/>
      </w:pPr>
      <w:r w:rsidRPr="00883125">
        <w:t>The results of these studies might not be reflective of the value of imputation credits to investors in the market as a whole.</w:t>
      </w:r>
    </w:p>
    <w:p w:rsidR="00B27BE5" w:rsidRPr="00883125" w:rsidRDefault="00B27BE5" w:rsidP="00B27BE5">
      <w:r w:rsidRPr="00883125">
        <w:t>Gray’s response to this point (for SFG) was:</w:t>
      </w:r>
      <w:r w:rsidRPr="00883125">
        <w:rPr>
          <w:rStyle w:val="FootnoteReference"/>
        </w:rPr>
        <w:footnoteReference w:id="625"/>
      </w:r>
    </w:p>
    <w:p w:rsidR="00B27BE5" w:rsidRPr="00883125" w:rsidRDefault="00B27BE5" w:rsidP="00B27BE5">
      <w:pPr>
        <w:pStyle w:val="AERquote"/>
      </w:pPr>
      <w:r w:rsidRPr="00883125">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B27BE5" w:rsidRPr="00883125" w:rsidRDefault="00B27BE5" w:rsidP="00B27BE5">
      <w:pPr>
        <w:pStyle w:val="AERquote"/>
      </w:pPr>
      <w:r w:rsidRPr="00883125">
        <w:t>I have previously addressed this issue at pp. 31-32 of SFG (2014 Gamma) and at ENA (2013), Section 7.9, pp.119-123.</w:t>
      </w:r>
    </w:p>
    <w:p w:rsidR="00B27BE5" w:rsidRPr="00883125" w:rsidRDefault="00B27BE5" w:rsidP="00B27BE5">
      <w:r w:rsidRPr="00883125">
        <w:t>The ENA (2013) report referred to by Gray (for SFG) was a response to our draft rate of return Guideline. Lally reviewed our draft Guideline and the ENA response. His conclusion was:</w:t>
      </w:r>
      <w:r w:rsidRPr="00883125">
        <w:rPr>
          <w:rStyle w:val="FootnoteReference"/>
        </w:rPr>
        <w:footnoteReference w:id="626"/>
      </w:r>
    </w:p>
    <w:p w:rsidR="00B27BE5" w:rsidRPr="00883125" w:rsidRDefault="00B27BE5" w:rsidP="00B27BE5">
      <w:pPr>
        <w:pStyle w:val="AERquote"/>
      </w:pPr>
      <w:r w:rsidRPr="00883125">
        <w:t>The AER’s third approach to estimating [the utilisation rate] involves estimates derived from market prices (AER, 2013, pp. 133–134, 239–247). The AER does not consider that these estimates are useful for a number of reasons.</w:t>
      </w:r>
    </w:p>
    <w:p w:rsidR="00B27BE5" w:rsidRPr="00883125" w:rsidRDefault="00B27BE5" w:rsidP="00B27BE5">
      <w:pPr>
        <w:pStyle w:val="AERquote"/>
      </w:pPr>
      <w:r w:rsidRPr="00883125">
        <w:t>…</w:t>
      </w:r>
    </w:p>
    <w:p w:rsidR="00B27BE5" w:rsidRPr="00883125" w:rsidRDefault="00B27BE5" w:rsidP="00B27BE5">
      <w:pPr>
        <w:pStyle w:val="AERquote"/>
      </w:pPr>
      <w:r w:rsidRPr="00883125">
        <w:t>I concur with all of these concerns, and I have additional concerns about these studies or their interpretation.</w:t>
      </w:r>
    </w:p>
    <w:p w:rsidR="00B27BE5" w:rsidRPr="00883125" w:rsidRDefault="00B27BE5" w:rsidP="00B27BE5">
      <w:r w:rsidRPr="00883125">
        <w:t>Regarding the particular limitation at hand, Lally noted:</w:t>
      </w:r>
      <w:r w:rsidRPr="00883125">
        <w:rPr>
          <w:rStyle w:val="FootnoteReference"/>
        </w:rPr>
        <w:footnoteReference w:id="627"/>
      </w:r>
    </w:p>
    <w:p w:rsidR="00B27BE5" w:rsidRPr="00883125" w:rsidRDefault="00B27BE5" w:rsidP="00B27BE5">
      <w:pPr>
        <w:pStyle w:val="AERquote"/>
      </w:pPr>
      <w:r w:rsidRPr="00883125">
        <w:t xml:space="preserve">Tenthly, although the utilisation rate is a value-weighted average over all investors in the market, the use of market prices will produce an estimate that reflects the tax position, transactions costs and motives of those investors who transact at the </w:t>
      </w:r>
      <w:r w:rsidRPr="00883125">
        <w:lastRenderedPageBreak/>
        <w:t>relevant times (such as tax arbitrageurs) and these investors may be quite unrepresentative of the entire market.</w:t>
      </w:r>
    </w:p>
    <w:p w:rsidR="00B27BE5" w:rsidRPr="00883125" w:rsidRDefault="00B27BE5" w:rsidP="00B27BE5">
      <w:r w:rsidRPr="00883125">
        <w:t>And on the effect of trading around the ex-dividend date, Lally noted:</w:t>
      </w:r>
      <w:r w:rsidRPr="00883125">
        <w:rPr>
          <w:rStyle w:val="FootnoteReference"/>
        </w:rPr>
        <w:footnoteReference w:id="628"/>
      </w:r>
    </w:p>
    <w:p w:rsidR="00B27BE5" w:rsidRPr="00883125" w:rsidRDefault="00B27BE5" w:rsidP="00B27BE5">
      <w:pPr>
        <w:pStyle w:val="AERquote"/>
      </w:pPr>
      <w:r w:rsidRPr="00883125">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B27BE5" w:rsidRPr="00883125" w:rsidRDefault="00B27BE5" w:rsidP="00B27BE5">
      <w:r w:rsidRPr="00883125">
        <w:t>Thus, Lally appeared unconvinced by the ENA’s views and provided no indication that SFG’s study (or any implied market value study) should necessarily be deemed free of this limitation.</w:t>
      </w:r>
    </w:p>
    <w:p w:rsidR="00B27BE5" w:rsidRPr="00883125" w:rsidRDefault="00B27BE5" w:rsidP="00B27BE5">
      <w:r w:rsidRPr="00883125">
        <w:t>Handley also appeared unconvinced by the views of Gray (for SFG) in his 2014 report on this limitation, noting in his September 2014 report:</w:t>
      </w:r>
      <w:r w:rsidRPr="00883125">
        <w:rPr>
          <w:rStyle w:val="FootnoteReference"/>
        </w:rPr>
        <w:footnoteReference w:id="629"/>
      </w:r>
    </w:p>
    <w:p w:rsidR="00B27BE5" w:rsidRPr="00883125" w:rsidRDefault="00B27BE5" w:rsidP="00B27BE5">
      <w:pPr>
        <w:pStyle w:val="AERquote"/>
      </w:pPr>
      <w:r w:rsidRPr="00883125">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B27BE5" w:rsidRPr="00883125" w:rsidRDefault="00B27BE5" w:rsidP="00B27BE5">
      <w:r w:rsidRPr="00883125">
        <w:t>Handley reiterated this view in his April 2015 report.</w:t>
      </w:r>
      <w:r w:rsidRPr="00883125">
        <w:rPr>
          <w:rStyle w:val="FootnoteReference"/>
        </w:rPr>
        <w:footnoteReference w:id="630"/>
      </w:r>
    </w:p>
    <w:p w:rsidR="00B27BE5" w:rsidRPr="00883125" w:rsidRDefault="00B27BE5" w:rsidP="00B27BE5">
      <w:r w:rsidRPr="00883125">
        <w:t>Finally, we note the South Australian Centre for Economic Studies recommended disregarding evidence from all dividend drop off studies due to this limitation entirely:</w:t>
      </w:r>
      <w:r w:rsidRPr="00883125">
        <w:rPr>
          <w:rStyle w:val="FootnoteReference"/>
        </w:rPr>
        <w:footnoteReference w:id="631"/>
      </w:r>
    </w:p>
    <w:p w:rsidR="00B27BE5" w:rsidRPr="00883125" w:rsidRDefault="00B27BE5" w:rsidP="00B27BE5">
      <w:pPr>
        <w:pStyle w:val="AERquote"/>
      </w:pPr>
      <w:r w:rsidRPr="00883125">
        <w:t>The studies included by SFG consulting in their review of estimates for theta all appear to be of good quality and are undertaken in a manner which reflects the current best practice in the literature.</w:t>
      </w:r>
    </w:p>
    <w:p w:rsidR="00B27BE5" w:rsidRPr="00883125" w:rsidRDefault="00B27BE5" w:rsidP="00B27BE5">
      <w:pPr>
        <w:pStyle w:val="AERquote"/>
      </w:pPr>
      <w:r w:rsidRPr="00883125">
        <w:t xml:space="preserve">However, purchase of stocks in any given period is dominated by a relatively small share of equity holders who engage in active trading equities. Overall ownership of equities, however, is dominated by those who trade infrequently. As such there is no </w:t>
      </w:r>
      <w:r w:rsidRPr="00883125">
        <w:lastRenderedPageBreak/>
        <w:t>reason to believe that the value placed on franking credits by active traders of equities is the same as that placed on franking credits by those who trade infrequently.</w:t>
      </w:r>
    </w:p>
    <w:p w:rsidR="00B27BE5" w:rsidRPr="00883125" w:rsidRDefault="00B27BE5" w:rsidP="00B27BE5">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B27BE5" w:rsidRPr="00883125" w:rsidRDefault="00B27BE5" w:rsidP="00B27BE5">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B27BE5" w:rsidRPr="00883125" w:rsidRDefault="00B27BE5" w:rsidP="00B27BE5">
      <w:r w:rsidRPr="00883125">
        <w:t>We consider that there is sufficient evidence in the expert views quoted above to suggest that SFG's dividend drop off study is subject to this limitation.</w:t>
      </w:r>
    </w:p>
    <w:p w:rsidR="00B27BE5" w:rsidRPr="00883125" w:rsidRDefault="00B27BE5" w:rsidP="00B27BE5">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881794">
        <w:t>A.15.3</w:t>
      </w:r>
      <w:r w:rsidRPr="00883125">
        <w:rPr>
          <w:rStyle w:val="AERtexthighlight"/>
        </w:rPr>
        <w:fldChar w:fldCharType="end"/>
      </w:r>
      <w:r w:rsidRPr="00883125">
        <w:t xml:space="preserve"> it was outlined the dividend drop off ratio in market studies varies depending on the investor's marginal tax rate. Low (high) marginal tax rate investors have a higher (lower) dividend drop off ratio all else equal. The dividend drop off ratio that prevails in the market is determined by the marginal investor</w:t>
      </w:r>
      <w:r w:rsidR="008D0B13">
        <w:t>,</w:t>
      </w:r>
      <w:r w:rsidRPr="00883125">
        <w:t xml:space="preserve"> that trades around the ex-dividend date</w:t>
      </w:r>
      <w:r w:rsidR="008D0B13">
        <w:t>,</w:t>
      </w:r>
      <w:r w:rsidRPr="00883125">
        <w:t xml:space="preserve"> marginal tax rate. However, the marginal investor dividend drop off ratio is not relevant for estimating gamma in the regulatory context for two reasons:</w:t>
      </w:r>
    </w:p>
    <w:p w:rsidR="00B27BE5" w:rsidRPr="00B27BE5" w:rsidRDefault="00B27BE5" w:rsidP="00B27BE5">
      <w:pPr>
        <w:pStyle w:val="AERbulletlistfirststyle"/>
      </w:pPr>
      <w:r w:rsidRPr="00883125">
        <w:t xml:space="preserve">The purpose of gamma </w:t>
      </w:r>
      <w:r w:rsidRPr="00B27BE5">
        <w:t xml:space="preserve">is to </w:t>
      </w:r>
      <w:r w:rsidR="008317C0" w:rsidRPr="00B27BE5">
        <w:t>de</w:t>
      </w:r>
      <w:r w:rsidR="008317C0">
        <w:t>duct the</w:t>
      </w:r>
      <w:r w:rsidR="008317C0" w:rsidRPr="00B27BE5">
        <w:t xml:space="preserve"> </w:t>
      </w:r>
      <w:r w:rsidRPr="00B27BE5">
        <w:t>proportion of company tax is a pre-payment of personal tax</w:t>
      </w:r>
      <w:r w:rsidR="008317C0">
        <w:t xml:space="preserve"> from the allowed regulated revenues</w:t>
      </w:r>
      <w:r w:rsidRPr="00B27BE5">
        <w:t>. In order to determine this proportion the analysis has to focus on the aggregate investors and not the marginal investors that trade around the ex-dividend date.</w:t>
      </w:r>
    </w:p>
    <w:p w:rsidR="00B27BE5" w:rsidRPr="00B27BE5" w:rsidRDefault="00B27BE5" w:rsidP="00B27BE5">
      <w:pPr>
        <w:pStyle w:val="AERbulletlistfirststyle"/>
      </w:pPr>
      <w:r w:rsidRPr="00883125">
        <w:t>This dividend drop off ratio is neither a pre-personal nor a post-persona tax measure of dividends</w:t>
      </w:r>
      <w:r w:rsidRPr="00B27BE5">
        <w:t xml:space="preserve"> and imputation credits. It is just the change in the stock price between the cum and ex-dividend date which is determined by the size of the dividend, imputation credits and influenced by differential personal taxation of dividend/imputation credit and capital gains. This is further discussed in section </w:t>
      </w:r>
      <w:r w:rsidRPr="00B27BE5">
        <w:rPr>
          <w:rStyle w:val="AERtexthighlight"/>
        </w:rPr>
        <w:fldChar w:fldCharType="begin"/>
      </w:r>
      <w:r w:rsidRPr="00B27BE5">
        <w:instrText xml:space="preserve"> REF _Ref435171205 \r \h </w:instrText>
      </w:r>
      <w:r w:rsidRPr="00B27BE5">
        <w:rPr>
          <w:rStyle w:val="AERtexthighlight"/>
        </w:rPr>
      </w:r>
      <w:r w:rsidRPr="00B27BE5">
        <w:rPr>
          <w:rStyle w:val="AERtexthighlight"/>
        </w:rPr>
        <w:fldChar w:fldCharType="separate"/>
      </w:r>
      <w:r w:rsidR="00881794">
        <w:t>A.15.3</w:t>
      </w:r>
      <w:r w:rsidRPr="00B27BE5">
        <w:rPr>
          <w:rStyle w:val="AERtexthighlight"/>
        </w:rPr>
        <w:fldChar w:fldCharType="end"/>
      </w:r>
      <w:r w:rsidRPr="00B27BE5">
        <w:t>.</w:t>
      </w:r>
    </w:p>
    <w:p w:rsidR="00B27BE5" w:rsidRPr="00883125" w:rsidRDefault="00B27BE5" w:rsidP="00B27BE5">
      <w:pPr>
        <w:pStyle w:val="HeadingBoldBlue"/>
      </w:pPr>
      <w:r w:rsidRPr="00883125">
        <w:t>These studies can be data intensive and employ complex and sometimes problematic estimation methodologies.</w:t>
      </w:r>
    </w:p>
    <w:p w:rsidR="00B27BE5" w:rsidRPr="00883125" w:rsidRDefault="00B27BE5" w:rsidP="00B27BE5">
      <w:r w:rsidRPr="00883125">
        <w:t>We consider the idea that the SFG dividend drop off study is data intensive is evident in pages 4 to 14 of the 2011 version of that study and section 3 of the updated 2013 version.</w:t>
      </w:r>
      <w:r w:rsidRPr="00883125">
        <w:rPr>
          <w:rStyle w:val="FootnoteReference"/>
        </w:rPr>
        <w:footnoteReference w:id="632"/>
      </w:r>
    </w:p>
    <w:p w:rsidR="00B27BE5" w:rsidRPr="00883125" w:rsidRDefault="00B27BE5" w:rsidP="00B27BE5">
      <w:r w:rsidRPr="00883125">
        <w:lastRenderedPageBreak/>
        <w:t xml:space="preserve">Regarding whether the SFG study employs a complex and potentially problematic estimation methodology, we have regard to the views on dividend drop off studies expressed by academics and other regulators. A wide selection of these views is set out in section </w:t>
      </w:r>
      <w:r w:rsidRPr="00883125">
        <w:fldChar w:fldCharType="begin"/>
      </w:r>
      <w:r w:rsidRPr="00883125">
        <w:instrText xml:space="preserve"> REF _Ref414619467 \r \h </w:instrText>
      </w:r>
      <w:r w:rsidRPr="00883125">
        <w:fldChar w:fldCharType="separate"/>
      </w:r>
      <w:r w:rsidR="00881794">
        <w:t>0</w:t>
      </w:r>
      <w:r w:rsidRPr="00883125">
        <w:fldChar w:fldCharType="end"/>
      </w:r>
      <w:r w:rsidRPr="00883125">
        <w:t xml:space="preserve"> below. All but one of these views were expressed subsequent to SFG's dividend drop off study. It is not clear why experts would continue to canvass the methodological issues associated with dividend drop off studies in general if SFG's dividend drop off study overcame these issues. This notwithstanding, we also have regard to the Tribunal's acceptance of the results from SFG's dividend drop off study in 2011.</w:t>
      </w:r>
    </w:p>
    <w:p w:rsidR="00B27BE5" w:rsidRPr="00883125" w:rsidRDefault="00B27BE5" w:rsidP="00B27BE5">
      <w:r w:rsidRPr="00883125">
        <w:t>Therefore, we consider that there is evidence both for and against the idea that this limitation applies to SFG's dividend drop off study.</w:t>
      </w:r>
    </w:p>
    <w:p w:rsidR="00B27BE5" w:rsidRPr="00883125" w:rsidRDefault="00B27BE5" w:rsidP="00B27BE5">
      <w:r w:rsidRPr="00883125">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373BE8" w:rsidRDefault="00B27BE5" w:rsidP="00B27BE5">
      <w:r w:rsidRPr="00883125">
        <w:t>Firstly, we note that it is strictly incorrect to say that the value of the combined package of dividends and imputation credits can be 'observed'. The service providers support this by quoting Gray that empirical evidence provides a very clear and consistent view of the combined value of credit and dividend.</w:t>
      </w:r>
      <w:r w:rsidRPr="00883125">
        <w:rPr>
          <w:rStyle w:val="FootnoteReference"/>
        </w:rPr>
        <w:footnoteReference w:id="633"/>
      </w:r>
      <w:r w:rsidRPr="00883125">
        <w:t xml:space="preserve"> This is because this value is actually estimated based on assumptions about what the ex-dividend price change represents. In any case, because imputation credits are only ever distributed with franked dividends, all dividend drop off studies must make this allocation/separation. Therefore this limitation applies to SFG's dividend drop off study. </w:t>
      </w:r>
      <w:bookmarkStart w:id="192" w:name="_Ref402180002"/>
      <w:bookmarkStart w:id="193" w:name="_Ref414619467"/>
    </w:p>
    <w:p w:rsidR="00B27BE5" w:rsidRPr="00B27BE5" w:rsidRDefault="00B27BE5" w:rsidP="005764F6">
      <w:pPr>
        <w:pStyle w:val="Heading9"/>
      </w:pPr>
      <w:r w:rsidRPr="00883125">
        <w:t>The views of academics and other regulators</w:t>
      </w:r>
      <w:bookmarkEnd w:id="192"/>
      <w:r w:rsidRPr="00883125">
        <w:t xml:space="preserve"> on dividend drop off studies</w:t>
      </w:r>
      <w:bookmarkEnd w:id="193"/>
    </w:p>
    <w:p w:rsidR="00B27BE5" w:rsidRPr="00883125" w:rsidRDefault="00B27BE5" w:rsidP="00B27BE5">
      <w:pPr>
        <w:numPr>
          <w:ilvl w:val="0"/>
          <w:numId w:val="24"/>
        </w:numPr>
      </w:pPr>
      <w:r w:rsidRPr="00883125">
        <w:t>A number of academics and regulators have recognised the limitations of dividend drop off studies. Moreover, many of these concerns continue to be expressed even after the first version of SFG's dividend drop off study in 2011 (which was relied upon by the Tribunal in the Energex matter), and the 2013 update of that study (which was relied upon in service providers' current proposals).</w:t>
      </w:r>
      <w:r w:rsidRPr="00883125">
        <w:rPr>
          <w:rStyle w:val="FootnoteReference"/>
        </w:rPr>
        <w:footnoteReference w:id="634"/>
      </w:r>
      <w:r w:rsidRPr="00883125">
        <w:t xml:space="preserve"> The comments of academics and other regulators support </w:t>
      </w:r>
      <w:r w:rsidRPr="00883125">
        <w:lastRenderedPageBreak/>
        <w:t xml:space="preserve">the lesser reliance we place on SFG's dividend drop off study in estimating the utilisation rate. </w:t>
      </w:r>
    </w:p>
    <w:p w:rsidR="00B27BE5" w:rsidRPr="00883125" w:rsidRDefault="00B27BE5" w:rsidP="00B27BE5">
      <w:pPr>
        <w:numPr>
          <w:ilvl w:val="0"/>
          <w:numId w:val="24"/>
        </w:numPr>
      </w:pPr>
      <w:r w:rsidRPr="00883125">
        <w:t>Some academics have identified a number of practical and methodological issues:</w:t>
      </w:r>
    </w:p>
    <w:p w:rsidR="00B27BE5" w:rsidRPr="00883125" w:rsidRDefault="00B27BE5" w:rsidP="00B27BE5">
      <w:pPr>
        <w:pStyle w:val="AERbulletlistfirststyle"/>
      </w:pPr>
      <w:r w:rsidRPr="00883125">
        <w:t>Cannavan, Finn and Gray (2004):</w:t>
      </w:r>
      <w:r w:rsidRPr="00883125">
        <w:rPr>
          <w:rStyle w:val="FootnoteReference"/>
        </w:rPr>
        <w:footnoteReference w:id="635"/>
      </w:r>
    </w:p>
    <w:p w:rsidR="00B27BE5" w:rsidRPr="00883125" w:rsidRDefault="00B27BE5" w:rsidP="00B27BE5">
      <w:pPr>
        <w:pStyle w:val="AERquote"/>
      </w:pPr>
      <w:r w:rsidRPr="00883125">
        <w:t>…it is unlikely that the traditional ex-dividend day drop-off methodology will be able to separately identify the value of cash dividends and imputation credits.</w:t>
      </w:r>
    </w:p>
    <w:p w:rsidR="00B27BE5" w:rsidRPr="00883125" w:rsidRDefault="00B27BE5" w:rsidP="00B27BE5">
      <w:pPr>
        <w:pStyle w:val="AERbulletlistfirststyle"/>
      </w:pPr>
      <w:r w:rsidRPr="00883125">
        <w:t>Siau, Sault and Warren (2013):</w:t>
      </w:r>
      <w:r w:rsidRPr="00883125">
        <w:rPr>
          <w:rStyle w:val="FootnoteReference"/>
        </w:rPr>
        <w:footnoteReference w:id="636"/>
      </w:r>
    </w:p>
    <w:p w:rsidR="00B27BE5" w:rsidRPr="00883125" w:rsidRDefault="00B27BE5" w:rsidP="00B27BE5">
      <w:pPr>
        <w:pStyle w:val="AERquote"/>
      </w:pPr>
      <w:r w:rsidRPr="00883125">
        <w:t xml:space="preserve">Despite a large number of studies, the market value of imputation credits remains broadly disputed (see, for example, Gray and Hall, 2006; Lally, 2008; Partington and Truong, 2008; Gray, 2008). The majority of empirical studies have drawn inferences by focusing on the pricing of dividend distributions. This includes analysis of stock price declines around ex-dividend dates (‘ex-dividend drop-off studies’); and comparative pricing of instruments that differ only in their dividend and imputation entitlements. These studies are subject to a number of issues, such as imprecise estimates that may be influenced by the presence of short-term traders arbitraging dividends and limited samples in the case of comparative studies. </w:t>
      </w:r>
    </w:p>
    <w:p w:rsidR="00B27BE5" w:rsidRPr="00883125" w:rsidRDefault="00B27BE5" w:rsidP="00B27BE5">
      <w:pPr>
        <w:pStyle w:val="AERquote"/>
      </w:pPr>
      <w:r w:rsidRPr="00883125">
        <w:t>…</w:t>
      </w:r>
    </w:p>
    <w:p w:rsidR="00B27BE5" w:rsidRPr="00883125" w:rsidRDefault="00B27BE5" w:rsidP="00B27BE5">
      <w:pPr>
        <w:pStyle w:val="AERquote"/>
      </w:pPr>
      <w:r w:rsidRPr="00883125">
        <w:t>The variability of estimates joins with issues over design to cast some doubt over estimates for the market value of imputation credits arising from drop-off studies. A key methodological issue is that price movements around ex-dividend events encapsulate not only the tax differential effect, but may also reflect the presence of traders seeking to arbitrage dividends and noise associated with trading activity around ex-dividend dates. Drop-off ratios can be distorted by the need to compensate traders for transaction costs (Eades, Hess, and Kim ,1984); Lakonishok and Vermaelen, 1986; Karpoff and Walkling, 1988, 1990; Bali and Francis, 2011); or the risk involved (Fedenia and Grammatikos, 1993; Grammatikos, 1989; Heath and Jarrow, 1988; Michaely and Vila, 1995). Transaction costs may be substantial, and can drive the drop-off ratio below one (Kalay 1982, 1984; Boyd and Jagannathan, 1994). Market microstructure effects may also complicate estimation of market value, as discrete tick sizes can bias drop-off ratios downwards (Dubofsky, 1992; Bali and Hite, 1998).</w:t>
      </w:r>
    </w:p>
    <w:p w:rsidR="00B27BE5" w:rsidRPr="00883125" w:rsidRDefault="00B27BE5" w:rsidP="00B27BE5">
      <w:pPr>
        <w:pStyle w:val="AERquote"/>
      </w:pPr>
      <w:r w:rsidRPr="00883125">
        <w:t>A further key methodological issue is the difficulty in attributing the observed drop-off value between cash dividends and imputation credits. Dempsey and Partington (2008) nominate this identification problem as a serious limitation of ex-dividend drop-</w:t>
      </w:r>
      <w:r w:rsidRPr="00883125">
        <w:lastRenderedPageBreak/>
        <w:t>off studies. Drop-off studies are afflicted by multicollinearity issues. Cannavan et al. (2004) and Bellamy and Gray (2006) reveal that imputation credits are nearly perfectly collinear with their respective cash dividends. This is exacerbated by corporate tax rates being almost constant and partially-franked dividends being the exception rather than the norm. Gray (2008) points out that the value attributed to imputation credits is conditional on the assumed value on cash dividends by design, to the extent that they are supplementary components within a single package. This notion is reinforced by evidence of offsetting variation in the value attributed to dividends and imputation credits across samples (see Bellamy and Gray, 2006; Gray, 2008).</w:t>
      </w:r>
    </w:p>
    <w:p w:rsidR="00B27BE5" w:rsidRPr="00883125" w:rsidRDefault="00B27BE5" w:rsidP="00B27BE5">
      <w:pPr>
        <w:pStyle w:val="AERbulletlistfirststyle"/>
      </w:pPr>
      <w:r w:rsidRPr="00883125">
        <w:t>McKenzie and Partington (2013):</w:t>
      </w:r>
      <w:r w:rsidRPr="00883125">
        <w:rPr>
          <w:rStyle w:val="FootnoteReference"/>
        </w:rPr>
        <w:footnoteReference w:id="637"/>
      </w:r>
    </w:p>
    <w:p w:rsidR="00B27BE5" w:rsidRPr="00883125" w:rsidRDefault="00B27BE5" w:rsidP="00B27BE5">
      <w:pPr>
        <w:pStyle w:val="AERquote"/>
      </w:pPr>
      <w:r w:rsidRPr="00883125">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franking credits is a major challenge.</w:t>
      </w:r>
    </w:p>
    <w:p w:rsidR="00B27BE5" w:rsidRPr="00883125" w:rsidRDefault="00B27BE5" w:rsidP="00B27BE5">
      <w:pPr>
        <w:pStyle w:val="AERquote"/>
      </w:pPr>
      <w:r w:rsidRPr="00883125">
        <w:t>It is well understood that the market value of the package of dividends and franking credits mixes together not just dividends and credits, but the effects of income and capital gains taxes, transactions costs, discounting for time and risk and possibly market microstructure effects as well. This leads to what we call the allocation problem. That is how we attribute the value consequence of these effects between the value of dividends and the value of franking credits. All methods of splitting up the package value of dividends and franking credit involve an explicit or implicit allocation. The problem with allocations is that by their nature they are arbitrary. Thus, separating out the estimated value of the franking credits is also a major challenge.</w:t>
      </w:r>
    </w:p>
    <w:p w:rsidR="00B27BE5" w:rsidRPr="00883125" w:rsidRDefault="00B27BE5" w:rsidP="00B27BE5">
      <w:pPr>
        <w:pStyle w:val="AERquote"/>
      </w:pPr>
      <w:r w:rsidRPr="00883125">
        <w:t>One approach to the estimation of the value of dividends and franking credits is to measure the price drop when the stock goes ex-dividend. It is on the basis of [SFG's dividend drop off study] that theta was taken to be 0.35 and hence the value of gamma is given by 0.7 x 0.35, which rounded up furnishes a value of 0.25 or 25%.</w:t>
      </w:r>
    </w:p>
    <w:p w:rsidR="00B27BE5" w:rsidRPr="00883125" w:rsidRDefault="00B27BE5" w:rsidP="00B27BE5">
      <w:pPr>
        <w:pStyle w:val="AERquote"/>
      </w:pPr>
      <w:r w:rsidRPr="00883125">
        <w:t xml:space="preserve">We have several problems with this estimate of gamma. First, given the difficulties in estimating theta, the estimate of theta and hence gamma should not be based on one study, or on one method. Rather, it should be triangulated across multiple studies and multiple methods. In particular the estimate of theta should not just be reliant on ex-dividend studies, which are afflicted with many problems. This issue is discussed extensively in McKenzie and Partington (2010). In this paper, we argue that it is very unlikely that an accurate and reliable estimate of the value of franking credits will come out of a traditional ex-dividend study due to a number of problems including the extremely noisy data (it is not unusual to have a price movement up or down of more </w:t>
      </w:r>
      <w:r w:rsidRPr="00883125">
        <w:lastRenderedPageBreak/>
        <w:t xml:space="preserve">than twenty times the dividend on the ex-dividend day). Results are also sensitive to data filtering, the choice of estimation method and whether the ex-dividend day price is measured at the open or close of trading. 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 and franking credit valuation that reflects the clientele of investors normally holding the stock. Finally, there are conceptual and econometric problems. For example, </w:t>
      </w:r>
      <w:r w:rsidR="00164D25" w:rsidRPr="00883125">
        <w:t>multicollinearity</w:t>
      </w:r>
      <w:r w:rsidRPr="00883125">
        <w:t xml:space="preserve"> in the regression equation used to separate the value of the dividends and franking credits. Reflecting the inaccuracy of the ex-dividend method and associated regression technique, the standard errors of the estimates from the regression equations are typically quite large.</w:t>
      </w:r>
    </w:p>
    <w:p w:rsidR="00B27BE5" w:rsidRPr="00883125" w:rsidRDefault="00B27BE5" w:rsidP="00B27BE5">
      <w:pPr>
        <w:pStyle w:val="AERbulletlistfirststyle"/>
      </w:pPr>
      <w:r w:rsidRPr="00883125">
        <w:t>Lally (2013):</w:t>
      </w:r>
      <w:r w:rsidRPr="00883125">
        <w:rPr>
          <w:rStyle w:val="FootnoteReference"/>
        </w:rPr>
        <w:footnoteReference w:id="638"/>
      </w:r>
    </w:p>
    <w:p w:rsidR="00B27BE5" w:rsidRPr="00883125" w:rsidRDefault="00B27BE5" w:rsidP="00B27BE5">
      <w:pPr>
        <w:pStyle w:val="AERquote"/>
      </w:pPr>
      <w:r w:rsidRPr="00883125">
        <w:t xml:space="preserve">The AER’s third approach to estimating </w:t>
      </w:r>
      <w:r w:rsidRPr="00883125">
        <w:rPr>
          <w:rStyle w:val="AERtextitalic"/>
        </w:rPr>
        <w:t>U</w:t>
      </w:r>
      <w:r w:rsidRPr="00883125">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B27BE5" w:rsidRPr="00883125" w:rsidRDefault="00B27BE5" w:rsidP="00B27BE5">
      <w:pPr>
        <w:pStyle w:val="AERquote"/>
      </w:pPr>
      <w:r w:rsidRPr="00883125">
        <w:t>I concur with all of these concerns, and I have additional concerns about these studies or their interpretation.</w:t>
      </w:r>
    </w:p>
    <w:p w:rsidR="00B27BE5" w:rsidRPr="00883125" w:rsidRDefault="00B27BE5" w:rsidP="00B27BE5">
      <w:r w:rsidRPr="00883125">
        <w:t>Other academics have focussed on the specific issue of whether dividend drop off studies produce results that are reflective of investors in the market as a whole:</w:t>
      </w:r>
    </w:p>
    <w:p w:rsidR="00B27BE5" w:rsidRPr="00883125" w:rsidRDefault="00B27BE5" w:rsidP="00B27BE5">
      <w:pPr>
        <w:pStyle w:val="AERbulletlistfirststyle"/>
      </w:pPr>
      <w:r w:rsidRPr="00883125">
        <w:t>Handley (2014):</w:t>
      </w:r>
      <w:r w:rsidRPr="00883125">
        <w:rPr>
          <w:rStyle w:val="FootnoteReference"/>
        </w:rPr>
        <w:footnoteReference w:id="639"/>
      </w:r>
    </w:p>
    <w:p w:rsidR="00B27BE5" w:rsidRPr="00883125" w:rsidRDefault="00B27BE5" w:rsidP="00B27BE5">
      <w:pPr>
        <w:pStyle w:val="AERquote"/>
      </w:pPr>
      <w:r w:rsidRPr="00883125">
        <w:t xml:space="preserve">The second issue also concerns the correct interpretation of the regression coefficient – but at a more fundamental level. Adjusting the coefficient to remove the impact of differential personal taxes and risk gives us the (after-company-before-personal-tax) value of a dollar of imputation credits but the question is value to whom? In other words, 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w:t>
      </w:r>
      <w:r w:rsidRPr="00883125">
        <w:lastRenderedPageBreak/>
        <w:t>ex-dividend dates is representative of the value of imputation credits to the market as a whole.</w:t>
      </w:r>
    </w:p>
    <w:p w:rsidR="00B27BE5" w:rsidRPr="00883125" w:rsidRDefault="00B27BE5" w:rsidP="00B27BE5">
      <w:pPr>
        <w:pStyle w:val="AERbulletlistfirststyle"/>
      </w:pPr>
      <w:r w:rsidRPr="00883125">
        <w:t>South Australian Centre for Economic Studies (2015):</w:t>
      </w:r>
      <w:r w:rsidRPr="00883125">
        <w:rPr>
          <w:rStyle w:val="FootnoteReference"/>
        </w:rPr>
        <w:footnoteReference w:id="640"/>
      </w:r>
    </w:p>
    <w:p w:rsidR="00B27BE5" w:rsidRPr="00883125" w:rsidRDefault="00B27BE5" w:rsidP="00B27BE5">
      <w:pPr>
        <w:pStyle w:val="AERquote"/>
      </w:pPr>
      <w:r w:rsidRPr="00883125">
        <w:t>In order for a dividend drop-off study to provide useful evidence of the value of franking credits to a representative owner of equity three conditions need to be met:</w:t>
      </w:r>
    </w:p>
    <w:p w:rsidR="00B27BE5" w:rsidRPr="00883125" w:rsidRDefault="00B27BE5" w:rsidP="00B27BE5">
      <w:pPr>
        <w:pStyle w:val="AERquotebullet1"/>
      </w:pPr>
      <w:r w:rsidRPr="00883125">
        <w:t>the studies being drawn on need to be of high quality;</w:t>
      </w:r>
    </w:p>
    <w:p w:rsidR="00B27BE5" w:rsidRPr="00883125" w:rsidRDefault="00B27BE5" w:rsidP="00B27BE5">
      <w:pPr>
        <w:pStyle w:val="AERquotebullet1"/>
      </w:pPr>
      <w:r w:rsidRPr="00883125">
        <w:t>the equity holders who buy shares in the period after dividends are issued need to be representative of the whole class of equity holders; and</w:t>
      </w:r>
    </w:p>
    <w:p w:rsidR="00B27BE5" w:rsidRPr="00883125" w:rsidRDefault="00B27BE5" w:rsidP="00B27BE5">
      <w:pPr>
        <w:pStyle w:val="AERquotebullet1"/>
      </w:pPr>
      <w:r w:rsidRPr="00883125">
        <w:t>the equity for which data is drawn on for the dividend drop off study needs to be representative of the overall stock of equity in the Australian economy</w:t>
      </w:r>
    </w:p>
    <w:p w:rsidR="00B27BE5" w:rsidRPr="00883125" w:rsidRDefault="00B27BE5" w:rsidP="00B27BE5">
      <w:pPr>
        <w:pStyle w:val="AERquote"/>
      </w:pPr>
      <w:r w:rsidRPr="00883125">
        <w:t>We would contend that only the first of these three conditions is definitely met.</w:t>
      </w:r>
    </w:p>
    <w:p w:rsidR="00B27BE5" w:rsidRPr="00883125" w:rsidRDefault="00B27BE5" w:rsidP="00B27BE5">
      <w:pPr>
        <w:pStyle w:val="AERquote"/>
      </w:pPr>
      <w:r w:rsidRPr="00883125">
        <w:t>The studies included by SFG consulting in their review of estimates for theta all appear to be of good quality and are undertaken in a manner which reflects the current best practice in the literature.</w:t>
      </w:r>
    </w:p>
    <w:p w:rsidR="00B27BE5" w:rsidRPr="00883125" w:rsidRDefault="00B27BE5" w:rsidP="00B27BE5">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B27BE5" w:rsidRPr="00883125" w:rsidRDefault="00B27BE5" w:rsidP="00B27BE5">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B27BE5" w:rsidRPr="00883125" w:rsidRDefault="00B27BE5" w:rsidP="00B27BE5">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B27BE5" w:rsidRPr="00883125" w:rsidRDefault="00B27BE5" w:rsidP="00B27BE5">
      <w:r w:rsidRPr="00883125">
        <w:t>The limitations identified have been recognised by other regulators and reflected in their respective approaches to determining the utilisation rate:</w:t>
      </w:r>
    </w:p>
    <w:p w:rsidR="00B27BE5" w:rsidRPr="00883125" w:rsidRDefault="00B27BE5" w:rsidP="00164D25">
      <w:pPr>
        <w:pStyle w:val="AERbulletlistfirststyle"/>
        <w:keepNext/>
      </w:pPr>
      <w:r w:rsidRPr="00883125">
        <w:lastRenderedPageBreak/>
        <w:t>QCA (2014):</w:t>
      </w:r>
      <w:r w:rsidRPr="00883125">
        <w:rPr>
          <w:rStyle w:val="FootnoteReference"/>
        </w:rPr>
        <w:footnoteReference w:id="641"/>
      </w:r>
    </w:p>
    <w:p w:rsidR="00B27BE5" w:rsidRPr="00883125" w:rsidRDefault="00B27BE5" w:rsidP="00164D25">
      <w:pPr>
        <w:pStyle w:val="AERquote"/>
        <w:keepNext/>
      </w:pPr>
      <w:r w:rsidRPr="00883125">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B27BE5" w:rsidRPr="00883125" w:rsidRDefault="00B27BE5" w:rsidP="00B27BE5">
      <w:pPr>
        <w:pStyle w:val="AERbulletlistfirststyle"/>
      </w:pPr>
      <w:r w:rsidRPr="00883125">
        <w:t>The ERA, which until the publication of a revised draft Guideline in November 2014 preferred the use of dividend drop off studies, stated:</w:t>
      </w:r>
      <w:r w:rsidRPr="00883125">
        <w:rPr>
          <w:rStyle w:val="FootnoteReference"/>
        </w:rPr>
        <w:footnoteReference w:id="642"/>
      </w:r>
    </w:p>
    <w:p w:rsidR="00B27BE5" w:rsidRPr="00883125" w:rsidRDefault="00B27BE5" w:rsidP="00B27BE5">
      <w:pPr>
        <w:pStyle w:val="AERquote"/>
      </w:pPr>
      <w:r w:rsidRPr="00883125">
        <w:t>…dividend drop-off studies are known to suffer from a variety of estimation issues that result in the estimated value of theta being vulnerable to the dividend sample, parametric form of the regression equation and regression technique used. As a consequence, the Authority is of the view that it is more appropriate to use a range of dividend drop-off studies.</w:t>
      </w:r>
    </w:p>
    <w:p w:rsidR="00373BE8" w:rsidRPr="00373BE8" w:rsidRDefault="00373BE8" w:rsidP="00373BE8">
      <w:pPr>
        <w:pStyle w:val="Heading8"/>
      </w:pPr>
      <w:bookmarkStart w:id="194" w:name="_Ref403481482"/>
      <w:bookmarkStart w:id="195" w:name="_Toc433449226"/>
      <w:bookmarkStart w:id="196" w:name="_Toc451928290"/>
      <w:r w:rsidRPr="00373BE8">
        <w:t>Revised consideration of the conceptual goalposts approach</w:t>
      </w:r>
      <w:bookmarkEnd w:id="194"/>
      <w:bookmarkEnd w:id="195"/>
      <w:bookmarkEnd w:id="196"/>
    </w:p>
    <w:p w:rsidR="00373BE8" w:rsidRPr="00373BE8" w:rsidRDefault="00373BE8" w:rsidP="00373BE8">
      <w:pPr>
        <w:numPr>
          <w:ilvl w:val="0"/>
          <w:numId w:val="24"/>
        </w:numPr>
      </w:pPr>
      <w:r w:rsidRPr="00373BE8">
        <w:t>We placed a degree of reliance upon the conceptual goalposts approach when coming to an estimate for the utilisation rate in the Guideline. However, we do not rely on the conceptual goalposts approach in this final decision. This is mainly to be consistent with Handley's advice on the conceptual framework, which we have accepted in making this final decision. Further, we do not consider this to be a significant departure from the Guideline given we placed only limited reliance on the conceptual goalposts approach in the Guideline.</w:t>
      </w:r>
      <w:r w:rsidRPr="00373BE8" w:rsidDel="007E6C35">
        <w:t xml:space="preserve"> </w:t>
      </w:r>
      <w:r w:rsidRPr="00373BE8">
        <w:t>We note we do not consider Lally's support of the conceptual goal posts approach, upon which we do not rely, supports the proposition that our conceptual analysis is confused and unsafe.</w:t>
      </w:r>
      <w:r w:rsidRPr="00373BE8">
        <w:rPr>
          <w:rStyle w:val="FootnoteReference"/>
        </w:rPr>
        <w:footnoteReference w:id="643"/>
      </w:r>
      <w:r w:rsidRPr="00373BE8">
        <w:t xml:space="preserve"> We also note the preference for Handley's advice over Lally's is to the benefit of the service providers as it results in a lower estimate of the value for imputation credits than would have been the case had we followed Lally's advice on this issue. Our revised consideration of the approach is set out in this section.</w:t>
      </w:r>
    </w:p>
    <w:p w:rsidR="00373BE8" w:rsidRPr="00373BE8" w:rsidRDefault="00373BE8" w:rsidP="00373BE8">
      <w:pPr>
        <w:pStyle w:val="Heading9"/>
      </w:pPr>
      <w:r w:rsidRPr="00373BE8">
        <w:t>Description of the approach</w:t>
      </w:r>
    </w:p>
    <w:p w:rsidR="00373BE8" w:rsidRPr="00373BE8" w:rsidRDefault="00373BE8" w:rsidP="00373BE8">
      <w:pPr>
        <w:numPr>
          <w:ilvl w:val="0"/>
          <w:numId w:val="24"/>
        </w:numPr>
      </w:pPr>
      <w:r w:rsidRPr="00373BE8">
        <w:t xml:space="preserve">The conceptual goalposts approach to informing estimates of the utilisation rate is based on a test devised by Lally to consider the 'reasonableness' of such estimates. To explain the approach, however, we must first explain some theoretical aspects of the modelling </w:t>
      </w:r>
      <w:r w:rsidRPr="00373BE8">
        <w:lastRenderedPageBreak/>
        <w:t>framework that we employ. The starting point for a CAPM is a given set of assets and a given set of investors who hold them.</w:t>
      </w:r>
      <w:r w:rsidRPr="00373BE8">
        <w:rPr>
          <w:rStyle w:val="FootnoteReference"/>
        </w:rPr>
        <w:footnoteReference w:id="644"/>
      </w:r>
      <w:r w:rsidRPr="00373BE8">
        <w:t xml:space="preserve"> In the Officer CAPM, the given set of assets is the domestic market and Lally considered that the given set of investors is domestic investors; that is, the domestic market is assumed to be 'fully segmented' from international markets.</w:t>
      </w:r>
      <w:r w:rsidRPr="00373BE8">
        <w:rPr>
          <w:rStyle w:val="FootnoteReference"/>
        </w:rPr>
        <w:footnoteReference w:id="645"/>
      </w:r>
    </w:p>
    <w:p w:rsidR="00373BE8" w:rsidRPr="00373BE8" w:rsidRDefault="00373BE8" w:rsidP="00373BE8">
      <w:pPr>
        <w:numPr>
          <w:ilvl w:val="0"/>
          <w:numId w:val="24"/>
        </w:numPr>
      </w:pPr>
      <w:r w:rsidRPr="00373BE8">
        <w:t>Lally considered it paramount to estimate the utilisation rate consistently with the underlying theoretical framework:</w:t>
      </w:r>
      <w:r w:rsidRPr="00373BE8">
        <w:rPr>
          <w:rStyle w:val="FootnoteReference"/>
        </w:rPr>
        <w:footnoteReference w:id="646"/>
      </w:r>
    </w:p>
    <w:p w:rsidR="00373BE8" w:rsidRPr="00373BE8" w:rsidRDefault="00373BE8" w:rsidP="00373BE8">
      <w:pPr>
        <w:pStyle w:val="AERquote"/>
      </w:pPr>
      <w:r w:rsidRPr="00373BE8">
        <w:t xml:space="preserve">In my view, the most important requirements in selecting a methodology for estimating </w:t>
      </w:r>
      <w:r w:rsidRPr="00373BE8">
        <w:rPr>
          <w:rStyle w:val="AERtextitalic"/>
        </w:rPr>
        <w:t>U</w:t>
      </w:r>
      <w:r w:rsidRPr="00373BE8">
        <w:t xml:space="preserve"> [the utilisation rate] are that the estimate be consistent with the definition of </w:t>
      </w:r>
      <w:r w:rsidRPr="00373BE8">
        <w:rPr>
          <w:rStyle w:val="AERtextitalic"/>
        </w:rPr>
        <w:t>U</w:t>
      </w:r>
      <w:r w:rsidRPr="00373BE8">
        <w:t>, as a value-weighted average over the utilisation rates of all investors who are relevant to the Officer CAPM, that the parameter estimate is likely to give rise to an estimated cost of equity from the Officer model that lies within the bounds arising from either complete segmentation or complete integration of equity markets, and that the estimate is reasonably precise.</w:t>
      </w:r>
    </w:p>
    <w:p w:rsidR="00373BE8" w:rsidRPr="00373BE8" w:rsidRDefault="00373BE8" w:rsidP="00373BE8">
      <w:pPr>
        <w:numPr>
          <w:ilvl w:val="0"/>
          <w:numId w:val="24"/>
        </w:numPr>
      </w:pPr>
      <w:r w:rsidRPr="00373BE8">
        <w:t>The importance of theoretical consistency led Lally to recommend that the optimal estimate of the utilisation rate is 1, on these conceptual grounds:</w:t>
      </w:r>
      <w:r w:rsidRPr="00373BE8">
        <w:rPr>
          <w:rStyle w:val="FootnoteReference"/>
        </w:rPr>
        <w:footnoteReference w:id="647"/>
      </w:r>
    </w:p>
    <w:p w:rsidR="00373BE8" w:rsidRPr="00373BE8" w:rsidRDefault="00373BE8" w:rsidP="00373BE8">
      <w:pPr>
        <w:pStyle w:val="AERquote"/>
      </w:pPr>
      <w:r w:rsidRPr="00373BE8">
        <w:t xml:space="preserve">In respect of </w:t>
      </w:r>
      <w:r w:rsidRPr="00373BE8">
        <w:rPr>
          <w:rStyle w:val="AERtextitalic"/>
        </w:rPr>
        <w:t>U</w:t>
      </w:r>
      <w:r w:rsidRPr="00373BE8">
        <w:t>, there are five possible approaches to estimating it. The first of these arises from the definition of the parameter as a weighted average across all investors; coupled with ignoring foreigners (consistent with the Officer CAPM), this yields an estimate of 1 (the utilisation rate of local investors).</w:t>
      </w:r>
    </w:p>
    <w:p w:rsidR="00373BE8" w:rsidRPr="00373BE8" w:rsidRDefault="00373BE8" w:rsidP="00373BE8">
      <w:pPr>
        <w:pStyle w:val="AERquote"/>
      </w:pPr>
      <w:r w:rsidRPr="00373BE8">
        <w:t>…</w:t>
      </w:r>
    </w:p>
    <w:p w:rsidR="00373BE8" w:rsidRPr="00373BE8" w:rsidRDefault="00373BE8" w:rsidP="00373BE8">
      <w:pPr>
        <w:pStyle w:val="AERquote"/>
      </w:pPr>
      <w:r w:rsidRPr="00373BE8">
        <w:t>Using the three criteria described above, my preferred estimate is 1 from the first approach…</w:t>
      </w:r>
    </w:p>
    <w:p w:rsidR="00373BE8" w:rsidRPr="00373BE8" w:rsidRDefault="00373BE8" w:rsidP="00373BE8">
      <w:pPr>
        <w:numPr>
          <w:ilvl w:val="0"/>
          <w:numId w:val="24"/>
        </w:numPr>
      </w:pPr>
      <w:r w:rsidRPr="00373BE8">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373BE8" w:rsidRPr="00373BE8" w:rsidRDefault="00373BE8" w:rsidP="00373BE8">
      <w:pPr>
        <w:numPr>
          <w:ilvl w:val="0"/>
          <w:numId w:val="24"/>
        </w:numPr>
      </w:pPr>
      <w:r w:rsidRPr="00373BE8">
        <w:t xml:space="preserve">Both in the Guideline and in this final decision, we propose an approach to estimating the utilisation rate that recognises foreign investors to the extent that they invest in the Australian market. Thus, our approach sits between the alternative positions of Lally's </w:t>
      </w:r>
      <w:r w:rsidRPr="00373BE8">
        <w:lastRenderedPageBreak/>
        <w:t>interpretation of the Officer framework (where only domestic investors are recognised) and an international framework. This was recognised by Lally:</w:t>
      </w:r>
      <w:r w:rsidRPr="00373BE8">
        <w:rPr>
          <w:rStyle w:val="FootnoteReference"/>
        </w:rPr>
        <w:footnoteReference w:id="648"/>
      </w:r>
    </w:p>
    <w:p w:rsidR="00373BE8" w:rsidRPr="00373BE8" w:rsidRDefault="00373BE8" w:rsidP="00373BE8">
      <w:pPr>
        <w:pStyle w:val="AERquote"/>
      </w:pPr>
      <w:r w:rsidRPr="00373BE8">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373BE8">
        <w:rPr>
          <w:rStyle w:val="AERtextitalic"/>
        </w:rPr>
        <w:t>U</w:t>
      </w:r>
      <w:r w:rsidRPr="00373BE8">
        <w:t>) that is inconsistent with this model.</w:t>
      </w:r>
    </w:p>
    <w:p w:rsidR="00373BE8" w:rsidRPr="00373BE8" w:rsidRDefault="00373BE8" w:rsidP="00373BE8">
      <w:pPr>
        <w:numPr>
          <w:ilvl w:val="0"/>
          <w:numId w:val="24"/>
        </w:numPr>
      </w:pPr>
      <w:r w:rsidRPr="00373BE8">
        <w:t>Lally considered the overarching concern is whether the inconsistency between input parameters and model definitions might produce an unreasonable outcome. That is, even if the individual components are each justified in isolation, the combination might produce an overall result that is no longer reasonable:</w:t>
      </w:r>
      <w:r w:rsidRPr="00373BE8">
        <w:rPr>
          <w:rStyle w:val="FootnoteReference"/>
        </w:rPr>
        <w:footnoteReference w:id="649"/>
      </w:r>
      <w:r w:rsidRPr="00373BE8">
        <w:t xml:space="preserve"> </w:t>
      </w:r>
    </w:p>
    <w:p w:rsidR="00373BE8" w:rsidRPr="00373BE8" w:rsidRDefault="00373BE8" w:rsidP="00373BE8">
      <w:pPr>
        <w:pStyle w:val="AERquote"/>
      </w:pPr>
      <w:r w:rsidRPr="00373BE8">
        <w:t xml:space="preserve">The Officer (1994) CAPM implicitly assumes that national markets for risky assets are completely segmented, in the sense that investors are precluded from purchasing foreign risky assets. However, most estimates of </w:t>
      </w:r>
      <w:r w:rsidRPr="00373BE8">
        <w:rPr>
          <w:rStyle w:val="AERtextitalic"/>
        </w:rPr>
        <w:t>U</w:t>
      </w:r>
      <w:r w:rsidRPr="00373BE8">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event the partial recognition of foreign investors would effectively constitute cherry-picking that maximises the revenue or price cap, i.e., ignoring foreign investors when it is favourable to regulated firms (choosing the CAPM) and also estimating </w:t>
      </w:r>
      <w:r w:rsidRPr="00373BE8">
        <w:rPr>
          <w:rStyle w:val="AERtextitalic"/>
        </w:rPr>
        <w:t>U</w:t>
      </w:r>
      <w:r w:rsidRPr="00373BE8">
        <w:t xml:space="preserve"> by a methodology that reflects the presence of these investors when it is also favourable to regulated firms. We therefore assess whether various estimates of </w:t>
      </w:r>
      <w:r w:rsidRPr="00373BE8">
        <w:rPr>
          <w:rStyle w:val="AERtextitalic"/>
        </w:rPr>
        <w:t>U</w:t>
      </w:r>
      <w:r w:rsidRPr="00373BE8">
        <w:t xml:space="preserve"> lead to this outcome.</w:t>
      </w:r>
    </w:p>
    <w:p w:rsidR="00373BE8" w:rsidRPr="00373BE8" w:rsidRDefault="00373BE8" w:rsidP="00373BE8">
      <w:pPr>
        <w:pStyle w:val="AERquote"/>
      </w:pPr>
      <w:r w:rsidRPr="00373BE8">
        <w:t>To do so it is necessary to consider the implications for the cost of equity of complete integration and complete segmentation of national markets for risky assets.</w:t>
      </w:r>
    </w:p>
    <w:p w:rsidR="00373BE8" w:rsidRPr="00373BE8" w:rsidRDefault="00373BE8" w:rsidP="00373BE8">
      <w:pPr>
        <w:numPr>
          <w:ilvl w:val="0"/>
          <w:numId w:val="24"/>
        </w:numPr>
      </w:pPr>
      <w:r w:rsidRPr="00373BE8">
        <w:t>Lally pointed out that, while there is some uncertainty about the return on equity in a partial integration scenario, it must lie within two boundaries. At one end, there is the return on equity that would be required if the domestic market was fully segmented from international markets. At the other extreme is the return on equity if the capital market was fully integrated with international markets. To assess whether the approach in the draft Guideline passed this test, Lally estimated for the average Australian firm:</w:t>
      </w:r>
      <w:r w:rsidRPr="00373BE8">
        <w:rPr>
          <w:rStyle w:val="FootnoteReference"/>
        </w:rPr>
        <w:footnoteReference w:id="650"/>
      </w:r>
      <w:r w:rsidRPr="00373BE8">
        <w:t xml:space="preserve"> </w:t>
      </w:r>
    </w:p>
    <w:p w:rsidR="00373BE8" w:rsidRPr="00373BE8" w:rsidRDefault="00373BE8" w:rsidP="00373BE8">
      <w:pPr>
        <w:pStyle w:val="AERbulletlistfirststyle"/>
      </w:pPr>
      <w:r w:rsidRPr="00373BE8">
        <w:t>The return on equity under segmentation, using a domestic-only (segmented) CAPM populated with domestic parameters. That is, a market risk premium for a segmented Australian market, an equity beta relative to the Australian market, and a utilisation rate of 1.</w:t>
      </w:r>
    </w:p>
    <w:p w:rsidR="00373BE8" w:rsidRPr="00373BE8" w:rsidRDefault="00373BE8" w:rsidP="00373BE8">
      <w:pPr>
        <w:pStyle w:val="AERbulletlistfirststyle"/>
      </w:pPr>
      <w:r w:rsidRPr="00373BE8">
        <w:lastRenderedPageBreak/>
        <w:t>The return on equity under integration, using an international CAPM (based on Solnik, 1974) populated with global parameters. That is, using a market risk premium for an integrated (global) market, an equity beta relative to the global market and a utilisation rate of 0.</w:t>
      </w:r>
    </w:p>
    <w:p w:rsidR="00373BE8" w:rsidRPr="00373BE8" w:rsidRDefault="00373BE8" w:rsidP="00373BE8">
      <w:pPr>
        <w:pStyle w:val="AERbulletlistfirststyle"/>
      </w:pPr>
      <w:r w:rsidRPr="00373BE8">
        <w:t xml:space="preserve">The return on equity using a segmented (Officer) CAPM, populated with parameters that accord with our 'partially integrated' market definition. That is, a market risk premium and an equity beta that reflect the domestic market, but recognising foreign investors to the extent that they invest in the domestic (Australian) market. </w:t>
      </w:r>
    </w:p>
    <w:p w:rsidR="00373BE8" w:rsidRPr="00373BE8" w:rsidRDefault="00373BE8" w:rsidP="00373BE8">
      <w:pPr>
        <w:numPr>
          <w:ilvl w:val="0"/>
          <w:numId w:val="24"/>
        </w:numPr>
      </w:pPr>
      <w:r w:rsidRPr="00373BE8">
        <w:t>Lally's aim was to ascertain what utilisation rates under the third scenario will result in a return on equity that lies between the two 'goalposts' represented by the return on equity from the first two scenarios (full segmentation and full integration). This is how Lally presented the results of this assessment:</w:t>
      </w:r>
      <w:r w:rsidRPr="00373BE8">
        <w:rPr>
          <w:rStyle w:val="FootnoteReference"/>
        </w:rPr>
        <w:footnoteReference w:id="651"/>
      </w:r>
      <w:r w:rsidRPr="00373BE8">
        <w:t xml:space="preserve"> </w:t>
      </w:r>
    </w:p>
    <w:p w:rsidR="00373BE8" w:rsidRPr="00373BE8" w:rsidRDefault="00373BE8" w:rsidP="00373BE8">
      <w:pPr>
        <w:pStyle w:val="AERquote"/>
      </w:pPr>
      <w:r w:rsidRPr="00373BE8">
        <w:t xml:space="preserve">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integration).  However, estimates of </w:t>
      </w:r>
      <w:r w:rsidRPr="00373BE8">
        <w:rPr>
          <w:rStyle w:val="AERtextitalic"/>
        </w:rPr>
        <w:t>U</w:t>
      </w:r>
      <w:r w:rsidRPr="00373BE8">
        <w:t xml:space="preserve"> that are significantly less than 1 fail this test in virtually every case examined, and are therefore deficient. In effect, combining Officer’s CAPM with a 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373BE8" w:rsidRPr="00373BE8" w:rsidRDefault="00373BE8" w:rsidP="00373BE8">
      <w:pPr>
        <w:numPr>
          <w:ilvl w:val="0"/>
          <w:numId w:val="24"/>
        </w:numPr>
      </w:pPr>
      <w:r w:rsidRPr="00373BE8">
        <w:t>This analysis contributes to Lally's conclusion that the utilisation rate should be 1 or close to it. To refine this estimate, we undertook further analysis using the approach set out by Lally. This indicated that utilisation rates between 0.8 and 1 generate a reasonable return on equity (that is, one that lies between the goalposts) in the majority of permutation scenarios.  Further, when interpreting this sensitivity analysis, it is also relevant to consider whether each particular scenario has arisen from an extreme permutation—that is, if the individual parameters are all at their highest (or lowest) possible values. Such a scenario is much less likely than a permutation where most of the parameters are at their expected values. A utilisation rate of 0.6 or below generates very few return on equity results that are reasonable (between the goalposts), and these all arise at extreme permutations.</w:t>
      </w:r>
    </w:p>
    <w:p w:rsidR="00373BE8" w:rsidRPr="00373BE8" w:rsidRDefault="00373BE8" w:rsidP="00373BE8">
      <w:pPr>
        <w:numPr>
          <w:ilvl w:val="0"/>
          <w:numId w:val="24"/>
        </w:numPr>
      </w:pPr>
      <w:r w:rsidRPr="00373BE8">
        <w:lastRenderedPageBreak/>
        <w:t>In conclusion, in the Guideline we considered that the conceptual goalposts approach supported an estimate of the utilisation rate in the range 0.8 to 1. We considered also that it suggested that a utilisation rate of 0.6 or below was unreasonable.</w:t>
      </w:r>
    </w:p>
    <w:p w:rsidR="00373BE8" w:rsidRPr="00373BE8" w:rsidRDefault="00373BE8" w:rsidP="00373BE8">
      <w:pPr>
        <w:pStyle w:val="Heading9"/>
      </w:pPr>
      <w:r w:rsidRPr="00373BE8">
        <w:t>Advice received since the Guideline</w:t>
      </w:r>
    </w:p>
    <w:p w:rsidR="00373BE8" w:rsidRPr="00373BE8" w:rsidRDefault="00373BE8" w:rsidP="00373BE8">
      <w:pPr>
        <w:numPr>
          <w:ilvl w:val="0"/>
          <w:numId w:val="24"/>
        </w:numPr>
      </w:pPr>
      <w:r w:rsidRPr="00373BE8">
        <w:t>In advice received since the Guideline's publication, Handley advised that he does not consider the conceptual goalposts approach to be a reasonable approach to estimating the utilisation rate:</w:t>
      </w:r>
      <w:r w:rsidRPr="00373BE8">
        <w:rPr>
          <w:rStyle w:val="FootnoteReference"/>
        </w:rPr>
        <w:footnoteReference w:id="652"/>
      </w:r>
    </w:p>
    <w:p w:rsidR="00373BE8" w:rsidRPr="00373BE8" w:rsidRDefault="00373BE8" w:rsidP="00373BE8">
      <w:pPr>
        <w:pStyle w:val="AERquote"/>
      </w:pPr>
      <w:r w:rsidRPr="00373BE8">
        <w:t>I do not consider the conceptual goalpost approach to be a reasonable approach to estimation as first, it is motivated by a faulty premise – that the CAPM suggested by Officer implicitly assumes that national markets for risky assets are completely segmented in the sense that all domestic assets are held by domestic investors only and all foreign assets are held by foreign investors only – and second, that it seeks to sure up one uncertain estimate by reference to two other estimates (the “goalposts”) which themselves are subject to substantial uncertainty.</w:t>
      </w:r>
    </w:p>
    <w:p w:rsidR="00373BE8" w:rsidRPr="00373BE8" w:rsidRDefault="00373BE8" w:rsidP="00373BE8">
      <w:pPr>
        <w:numPr>
          <w:ilvl w:val="0"/>
          <w:numId w:val="24"/>
        </w:numPr>
      </w:pPr>
      <w:r w:rsidRPr="00373BE8">
        <w:t>Handley expanded on his first point elsewhere in his advice:</w:t>
      </w:r>
      <w:r w:rsidRPr="00373BE8">
        <w:rPr>
          <w:rStyle w:val="FootnoteReference"/>
        </w:rPr>
        <w:footnoteReference w:id="653"/>
      </w:r>
    </w:p>
    <w:p w:rsidR="00373BE8" w:rsidRPr="00373BE8" w:rsidRDefault="00373BE8" w:rsidP="00373BE8">
      <w:pPr>
        <w:pStyle w:val="AERquote"/>
      </w:pPr>
      <w:r w:rsidRPr="00373BE8">
        <w:t xml:space="preserve">Lally (2013) adopts an unnecessarily narrow interpretation of segmentation in suggesting that foreign investors should be excluded completely. But once you choose a proxy for the market portfolio you define not only the set of assets that are relevant for pricing purposes but you also define the set of investors that are relevant for pricing purposes – in other words, it is a joint assumption. Lally’s suggestion that we include the full set of </w:t>
      </w:r>
      <w:r w:rsidRPr="00373BE8">
        <w:rPr>
          <w:rStyle w:val="AERtextitalic"/>
        </w:rPr>
        <w:t>n</w:t>
      </w:r>
      <w:r w:rsidRPr="00373BE8">
        <w:t xml:space="preserve"> assets but only a subset of the of </w:t>
      </w:r>
      <w:r w:rsidRPr="00373BE8">
        <w:rPr>
          <w:rStyle w:val="AERtextitalic"/>
        </w:rPr>
        <w:t>m</w:t>
      </w:r>
      <w:r w:rsidRPr="00373BE8">
        <w:t xml:space="preserve"> investors not only contradicts the starting point of the CAPM but also does not accord with the reality that foreign investors are present in and influence the pricing of assets in the domestic market. This notion of (complete) segmentation – that only domestic assets are held by domestic investors – is an assumption of Lally but is not an assumption of the CAPM.</w:t>
      </w:r>
    </w:p>
    <w:p w:rsidR="00373BE8" w:rsidRPr="00373BE8" w:rsidRDefault="00373BE8" w:rsidP="00373BE8">
      <w:pPr>
        <w:numPr>
          <w:ilvl w:val="0"/>
          <w:numId w:val="24"/>
        </w:numPr>
      </w:pPr>
      <w:r w:rsidRPr="00373BE8">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sidRPr="00373BE8">
        <w:rPr>
          <w:rStyle w:val="FootnoteReference"/>
        </w:rPr>
        <w:footnoteReference w:id="654"/>
      </w:r>
    </w:p>
    <w:p w:rsidR="00373BE8" w:rsidRPr="00373BE8" w:rsidRDefault="00373BE8" w:rsidP="00373BE8">
      <w:r w:rsidRPr="00373BE8">
        <w:lastRenderedPageBreak/>
        <w:t>Gray (for SFG) also raised concerns with the approach, and a number of these have been responded to by Lally.</w:t>
      </w:r>
      <w:r w:rsidRPr="00373BE8">
        <w:rPr>
          <w:rStyle w:val="FootnoteReference"/>
        </w:rPr>
        <w:footnoteReference w:id="655"/>
      </w:r>
    </w:p>
    <w:p w:rsidR="00647479" w:rsidRPr="00AA3BDF" w:rsidRDefault="00647479" w:rsidP="00B27BE5"/>
    <w:sectPr w:rsidR="00647479" w:rsidRPr="00AA3BDF" w:rsidSect="00883125">
      <w:headerReference w:type="even" r:id="rId17"/>
      <w:footerReference w:type="even" r:id="rId18"/>
      <w:footerReference w:type="default" r:id="rId19"/>
      <w:headerReference w:type="first" r:id="rId20"/>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794" w:rsidRPr="00290C63" w:rsidRDefault="00881794" w:rsidP="00290C63">
      <w:r>
        <w:separator/>
      </w:r>
    </w:p>
    <w:p w:rsidR="00881794" w:rsidRDefault="00881794"/>
  </w:endnote>
  <w:endnote w:type="continuationSeparator" w:id="0">
    <w:p w:rsidR="00881794" w:rsidRPr="00290C63" w:rsidRDefault="00881794" w:rsidP="00290C63">
      <w:r>
        <w:continuationSeparator/>
      </w:r>
    </w:p>
    <w:p w:rsidR="00881794" w:rsidRDefault="00881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38659"/>
      <w:docPartObj>
        <w:docPartGallery w:val="Page Numbers (Bottom of Page)"/>
        <w:docPartUnique/>
      </w:docPartObj>
    </w:sdtPr>
    <w:sdtEndPr/>
    <w:sdtContent>
      <w:p w:rsidR="00881794" w:rsidRPr="00824CC8" w:rsidRDefault="00881794" w:rsidP="00ED4FB6">
        <w:pPr>
          <w:pStyle w:val="Footer"/>
        </w:pPr>
        <w:r w:rsidRPr="00824CC8">
          <w:fldChar w:fldCharType="begin"/>
        </w:r>
        <w:r w:rsidRPr="00824CC8">
          <w:instrText xml:space="preserve"> PAGE   \* MERGEFORMAT </w:instrText>
        </w:r>
        <w:r w:rsidRPr="00824CC8">
          <w:fldChar w:fldCharType="separate"/>
        </w:r>
        <w:r>
          <w:rPr>
            <w:noProof/>
          </w:rPr>
          <w:t>4-76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94" w:rsidRPr="00C97C1E" w:rsidRDefault="00881794" w:rsidP="00C97C1E">
    <w:pPr>
      <w:pStyle w:val="Footer"/>
    </w:pPr>
    <w:r w:rsidRPr="00C97C1E">
      <w:fldChar w:fldCharType="begin"/>
    </w:r>
    <w:r w:rsidRPr="00C97C1E">
      <w:instrText xml:space="preserve"> PAGE   \* MERGEFORMAT </w:instrText>
    </w:r>
    <w:r w:rsidRPr="00C97C1E">
      <w:fldChar w:fldCharType="separate"/>
    </w:r>
    <w:r w:rsidR="00984055">
      <w:rPr>
        <w:noProof/>
      </w:rPr>
      <w:t>4-1</w:t>
    </w:r>
    <w:r w:rsidRPr="00C97C1E">
      <w:fldChar w:fldCharType="end"/>
    </w:r>
    <w:r w:rsidRPr="00C97C1E">
      <w:t xml:space="preserve">    </w:t>
    </w:r>
    <w:r>
      <w:t xml:space="preserve">     </w:t>
    </w:r>
    <w:r w:rsidRPr="00C97C1E">
      <w:t>Attachment 4 - Value of imputation credits |</w:t>
    </w:r>
    <w:r w:rsidRPr="00CA52A2">
      <w:t xml:space="preserve"> </w:t>
    </w:r>
    <w:r>
      <w:t>Final decision: Australian Gas Networks Access Arrangement 2016</w:t>
    </w:r>
    <w:r w:rsidRPr="00CA52A2">
      <w:t>–</w:t>
    </w:r>
    <w: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94" w:rsidRDefault="008817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881794" w:rsidRDefault="00881794">
    <w:pPr>
      <w:pStyle w:val="Footer"/>
    </w:pPr>
  </w:p>
  <w:p w:rsidR="00881794" w:rsidRDefault="00881794">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p w:rsidR="00881794" w:rsidRDefault="0088179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881794" w:rsidRPr="00CA52A2" w:rsidRDefault="00881794" w:rsidP="00CA52A2">
        <w:pPr>
          <w:pStyle w:val="Footer"/>
        </w:pPr>
        <w:r w:rsidRPr="00CA52A2">
          <w:fldChar w:fldCharType="begin"/>
        </w:r>
        <w:r>
          <w:instrText xml:space="preserve"> PAGE   \* MERGEFORMAT </w:instrText>
        </w:r>
        <w:r w:rsidRPr="00CA52A2">
          <w:fldChar w:fldCharType="separate"/>
        </w:r>
        <w:r w:rsidR="00984055">
          <w:rPr>
            <w:noProof/>
          </w:rPr>
          <w:t>4-159</w:t>
        </w:r>
        <w:r w:rsidRPr="00CA52A2">
          <w:fldChar w:fldCharType="end"/>
        </w:r>
        <w:r w:rsidRPr="00CA52A2">
          <w:t xml:space="preserve">          Attachment </w:t>
        </w:r>
        <w:r>
          <w:t xml:space="preserve">4 </w:t>
        </w:r>
        <w:r w:rsidRPr="00CA52A2">
          <w:t xml:space="preserve">– </w:t>
        </w:r>
        <w:r>
          <w:t xml:space="preserve">Value of imputation credits </w:t>
        </w:r>
        <w:r w:rsidRPr="00CA52A2">
          <w:t xml:space="preserve">| </w:t>
        </w:r>
        <w:r>
          <w:t>Final decision: Australian Gas Networks Access Arrangement 2016</w:t>
        </w:r>
        <w:r w:rsidRPr="00CA52A2">
          <w:t>–</w:t>
        </w:r>
        <w:r>
          <w:t>21</w:t>
        </w:r>
      </w:p>
    </w:sdtContent>
  </w:sdt>
  <w:p w:rsidR="00881794" w:rsidRDefault="00881794">
    <w:pPr>
      <w:pStyle w:val="Footer"/>
      <w:tabs>
        <w:tab w:val="right" w:pos="9639"/>
      </w:tabs>
      <w:rPr>
        <w:rFonts w:ascii="Cambridge Round" w:hAnsi="Cambridge Round"/>
        <w:szCs w:val="18"/>
      </w:rPr>
    </w:pPr>
  </w:p>
  <w:p w:rsidR="00881794" w:rsidRDefault="008817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794" w:rsidRPr="00290C63" w:rsidRDefault="00881794" w:rsidP="00290C63">
      <w:r>
        <w:separator/>
      </w:r>
    </w:p>
    <w:p w:rsidR="00881794" w:rsidRDefault="00881794"/>
  </w:footnote>
  <w:footnote w:type="continuationSeparator" w:id="0">
    <w:p w:rsidR="00881794" w:rsidRPr="00290C63" w:rsidRDefault="00881794" w:rsidP="00290C63">
      <w:r>
        <w:continuationSeparator/>
      </w:r>
    </w:p>
    <w:p w:rsidR="00881794" w:rsidRDefault="00881794"/>
  </w:footnote>
  <w:footnote w:id="1">
    <w:p w:rsidR="00881794" w:rsidRDefault="00881794" w:rsidP="003A197F">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881794" w:rsidRDefault="00881794" w:rsidP="003A197F">
      <w:pPr>
        <w:pStyle w:val="FootnoteText"/>
      </w:pPr>
      <w:r>
        <w:rPr>
          <w:rStyle w:val="FootnoteReference"/>
        </w:rPr>
        <w:footnoteRef/>
      </w:r>
      <w:r>
        <w:t xml:space="preserve"> </w:t>
      </w:r>
      <w:r>
        <w:tab/>
        <w:t>While the return on equity is not reduced to take into account the value of imputation credits, we note our estimate of the market risk premium (MRP) does consider the value we use for imputation credits to ensure it reflects the value to investors in the domestic Australian market inclusive of credits.</w:t>
      </w:r>
    </w:p>
  </w:footnote>
  <w:footnote w:id="3">
    <w:p w:rsidR="00881794" w:rsidRDefault="00881794" w:rsidP="003A197F">
      <w:pPr>
        <w:pStyle w:val="FootnoteText"/>
      </w:pPr>
      <w:r>
        <w:rPr>
          <w:rStyle w:val="FootnoteReference"/>
        </w:rPr>
        <w:footnoteRef/>
      </w:r>
      <w:r>
        <w:t xml:space="preserve"> </w:t>
      </w:r>
      <w:r>
        <w:tab/>
        <w:t>NER, cll. 6.4.3(a)(4), 6.4.3(b)(4), 6.5.3, 6A.5.4(a)(4), 6A.5.4(b)(4), 6A.6.4; NGR, rr. 76(c), 87A.</w:t>
      </w:r>
    </w:p>
  </w:footnote>
  <w:footnote w:id="4">
    <w:p w:rsidR="00881794" w:rsidRDefault="00881794" w:rsidP="00883125">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t>A.1</w:t>
      </w:r>
      <w:r>
        <w:fldChar w:fldCharType="end"/>
      </w:r>
      <w:r>
        <w:t xml:space="preserve"> of appendix A.</w:t>
      </w:r>
    </w:p>
  </w:footnote>
  <w:footnote w:id="5">
    <w:p w:rsidR="00881794" w:rsidRDefault="00881794" w:rsidP="00883125">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881794" w:rsidRDefault="00881794">
      <w:pPr>
        <w:pStyle w:val="FootnoteText"/>
      </w:pPr>
      <w:r>
        <w:rPr>
          <w:rStyle w:val="FootnoteReference"/>
        </w:rPr>
        <w:footnoteRef/>
      </w:r>
      <w:r>
        <w:t xml:space="preserve"> </w:t>
      </w:r>
      <w:r>
        <w:tab/>
        <w:t xml:space="preserve">The Officer framework is discussed in detail in section </w:t>
      </w:r>
      <w:r>
        <w:fldChar w:fldCharType="begin"/>
      </w:r>
      <w:r>
        <w:instrText xml:space="preserve"> REF _Ref400965182 \r \h </w:instrText>
      </w:r>
      <w:r>
        <w:fldChar w:fldCharType="separate"/>
      </w:r>
      <w:r>
        <w:t>A.6</w:t>
      </w:r>
      <w:r>
        <w:fldChar w:fldCharType="end"/>
      </w:r>
      <w:r>
        <w:t>.</w:t>
      </w:r>
    </w:p>
  </w:footnote>
  <w:footnote w:id="7">
    <w:p w:rsidR="00881794" w:rsidRDefault="00881794">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8">
    <w:p w:rsidR="00881794" w:rsidRDefault="00881794">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9">
    <w:p w:rsidR="00881794" w:rsidRDefault="00881794" w:rsidP="00B87684">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_Ref451464892 \r \h </w:instrText>
      </w:r>
      <w:r>
        <w:fldChar w:fldCharType="separate"/>
      </w:r>
      <w:r>
        <w:t>4.4</w:t>
      </w:r>
      <w:r>
        <w:fldChar w:fldCharType="end"/>
      </w:r>
      <w:r>
        <w:t>.</w:t>
      </w:r>
    </w:p>
  </w:footnote>
  <w:footnote w:id="10">
    <w:p w:rsidR="00881794" w:rsidRDefault="00881794">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1">
    <w:p w:rsidR="00881794" w:rsidRDefault="00881794">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rPr>
          <w:rStyle w:val="AERtextitalic"/>
        </w:rPr>
        <w:t>Applications by Public Interest Advocacy Centre Ltd and Ausgrid [2016] ACompT 1</w:t>
      </w:r>
      <w:r>
        <w:t>, 26 February 2016, para 1(c).</w:t>
      </w:r>
    </w:p>
  </w:footnote>
  <w:footnote w:id="12">
    <w:p w:rsidR="00881794" w:rsidRPr="009516BF" w:rsidRDefault="00881794" w:rsidP="00583683">
      <w:pPr>
        <w:pStyle w:val="FootnoteText"/>
      </w:pPr>
      <w:r>
        <w:rPr>
          <w:rStyle w:val="FootnoteReference"/>
        </w:rPr>
        <w:footnoteRef/>
      </w:r>
      <w:r>
        <w:t xml:space="preserve"> </w:t>
      </w:r>
      <w:r>
        <w:tab/>
      </w:r>
      <w:r w:rsidRPr="005764F6">
        <w:t xml:space="preserve">United Energy, </w:t>
      </w:r>
      <w:r w:rsidRPr="00583683">
        <w:rPr>
          <w:rStyle w:val="AERtextitalic"/>
        </w:rPr>
        <w:t>Submission on AER preliminary determination - Submission on gamma</w:t>
      </w:r>
      <w:r w:rsidRPr="005764F6">
        <w:t xml:space="preserve">, 26 April 2016; CitiPower/Powercor, </w:t>
      </w:r>
      <w:r w:rsidRPr="00583683">
        <w:rPr>
          <w:rStyle w:val="AERtextitalic"/>
        </w:rPr>
        <w:t>Submission on implications of recent Australian Competition Tribunal Decision</w:t>
      </w:r>
      <w:r w:rsidRPr="005764F6">
        <w:t xml:space="preserve">, 18 April 2016; ActewAGL, </w:t>
      </w:r>
      <w:r w:rsidRPr="00583683">
        <w:rPr>
          <w:rStyle w:val="AERtextitalic"/>
        </w:rPr>
        <w:t>Implication of recent Tribunal decisions for final decision and updates to the allowed rate of return and forecast inflation estimate</w:t>
      </w:r>
      <w:r w:rsidRPr="005764F6">
        <w:t>, 12 May 2016.</w:t>
      </w:r>
    </w:p>
  </w:footnote>
  <w:footnote w:id="13">
    <w:p w:rsidR="00881794" w:rsidRDefault="00881794">
      <w:pPr>
        <w:pStyle w:val="FootnoteText"/>
      </w:pPr>
      <w:r>
        <w:rPr>
          <w:rStyle w:val="FootnoteReference"/>
        </w:rPr>
        <w:footnoteRef/>
      </w:r>
      <w:r>
        <w:t xml:space="preserve"> </w:t>
      </w:r>
      <w:r>
        <w:tab/>
        <w:t>CitiPower and Powercor's submission covers most of the issues raised in United Energy's submission. See CitiPower and Powercor, CitiPower and Powercor 2016-2020 distribution determinations—Submission on implications of recent Australian Competition Tribunal decisions, 18 April 2016.</w:t>
      </w:r>
    </w:p>
  </w:footnote>
  <w:footnote w:id="14">
    <w:p w:rsidR="00881794" w:rsidRDefault="00881794" w:rsidP="009516BF">
      <w:pPr>
        <w:pStyle w:val="FootnoteText"/>
      </w:pPr>
      <w:r>
        <w:rPr>
          <w:rStyle w:val="FootnoteReference"/>
        </w:rPr>
        <w:footnoteRef/>
      </w:r>
      <w:r>
        <w:t xml:space="preserve"> </w:t>
      </w:r>
      <w:r>
        <w:tab/>
      </w:r>
      <w:r w:rsidRPr="009A6FC1">
        <w:t>Lally, Gamma and the ACT Decision, May 2016.</w:t>
      </w:r>
    </w:p>
  </w:footnote>
  <w:footnote w:id="15">
    <w:p w:rsidR="00881794" w:rsidRDefault="00881794" w:rsidP="00427EE5">
      <w:pPr>
        <w:pStyle w:val="FootnoteText"/>
      </w:pPr>
      <w:r>
        <w:rPr>
          <w:rStyle w:val="FootnoteReference"/>
        </w:rPr>
        <w:footnoteRef/>
      </w:r>
      <w:r>
        <w:t xml:space="preserve"> </w:t>
      </w:r>
      <w:r>
        <w:tab/>
      </w:r>
      <w:r w:rsidRPr="009A6FC1">
        <w:t>Lally, Gamma and the ACT Decision, May 2016, pp. 18–20.</w:t>
      </w:r>
    </w:p>
  </w:footnote>
  <w:footnote w:id="16">
    <w:p w:rsidR="00881794" w:rsidRDefault="00881794">
      <w:pPr>
        <w:pStyle w:val="FootnoteText"/>
      </w:pPr>
      <w:r>
        <w:rPr>
          <w:rStyle w:val="FootnoteReference"/>
        </w:rPr>
        <w:footnoteRef/>
      </w:r>
      <w:r>
        <w:t xml:space="preserve"> </w:t>
      </w:r>
      <w:r>
        <w:tab/>
      </w:r>
      <w:r w:rsidRPr="00297495">
        <w:t xml:space="preserve">Lally, </w:t>
      </w:r>
      <w:r w:rsidRPr="005764F6">
        <w:rPr>
          <w:rStyle w:val="AERtextitalic"/>
        </w:rPr>
        <w:t>Gamma and the ACT Decision</w:t>
      </w:r>
      <w:r w:rsidRPr="00297495">
        <w:t xml:space="preserve">, May 2016, p. </w:t>
      </w:r>
      <w:r>
        <w:t>5</w:t>
      </w:r>
      <w:r w:rsidRPr="00297495">
        <w:t>.</w:t>
      </w:r>
    </w:p>
  </w:footnote>
  <w:footnote w:id="17">
    <w:p w:rsidR="00881794" w:rsidRDefault="00881794" w:rsidP="00427EE5">
      <w:pPr>
        <w:pStyle w:val="FootnoteText"/>
      </w:pPr>
      <w:r>
        <w:rPr>
          <w:rStyle w:val="FootnoteReference"/>
        </w:rPr>
        <w:footnoteRef/>
      </w:r>
      <w:r>
        <w:t xml:space="preserve"> </w:t>
      </w:r>
      <w:r>
        <w:tab/>
      </w:r>
      <w:r w:rsidRPr="009A6FC1">
        <w:t>Lally, Gamma and the ACT Decision, May 2016, p. 22.</w:t>
      </w:r>
    </w:p>
  </w:footnote>
  <w:footnote w:id="18">
    <w:p w:rsidR="00881794" w:rsidRDefault="00881794" w:rsidP="00F431DC">
      <w:pPr>
        <w:pStyle w:val="FootnoteText"/>
      </w:pPr>
      <w:r>
        <w:rPr>
          <w:rStyle w:val="FootnoteReference"/>
        </w:rPr>
        <w:footnoteRef/>
      </w:r>
      <w:r>
        <w:t xml:space="preserve"> </w:t>
      </w:r>
      <w:r>
        <w:tab/>
      </w:r>
      <w:r w:rsidRPr="009A6FC1">
        <w:t>Australian Competition Tribunal, Application by Public Interest Advocacy Centre Ltd and Ausgrid [2016] ACompT 1, 26 February 2016, paras. 1048, 1090 and 1095.</w:t>
      </w:r>
    </w:p>
  </w:footnote>
  <w:footnote w:id="19">
    <w:p w:rsidR="00881794" w:rsidRDefault="00881794" w:rsidP="00227C2B">
      <w:pPr>
        <w:pStyle w:val="FootnoteText"/>
      </w:pPr>
      <w:r>
        <w:rPr>
          <w:rStyle w:val="FootnoteReference"/>
        </w:rPr>
        <w:footnoteRef/>
      </w:r>
      <w:r>
        <w:t xml:space="preserve"> </w:t>
      </w:r>
      <w:r>
        <w:tab/>
      </w:r>
      <w:r w:rsidRPr="009A6FC1">
        <w:t>Lally, Gamma and the ACT Decision, May 2016, p. 20.</w:t>
      </w:r>
    </w:p>
  </w:footnote>
  <w:footnote w:id="20">
    <w:p w:rsidR="00881794" w:rsidRDefault="00881794">
      <w:pPr>
        <w:pStyle w:val="FootnoteText"/>
      </w:pPr>
      <w:r>
        <w:rPr>
          <w:rStyle w:val="FootnoteReference"/>
        </w:rPr>
        <w:footnoteRef/>
      </w:r>
      <w:r>
        <w:t xml:space="preserve"> </w:t>
      </w:r>
      <w:r>
        <w:tab/>
        <w:t xml:space="preserve">See </w:t>
      </w:r>
      <w:r w:rsidRPr="001B2D3D">
        <w:t xml:space="preserve">Lally, </w:t>
      </w:r>
      <w:r w:rsidRPr="005764F6">
        <w:rPr>
          <w:rStyle w:val="AERtextitalic"/>
        </w:rPr>
        <w:t>Gamma and the ACT Decision</w:t>
      </w:r>
      <w:r>
        <w:t>, May 2016, pp. 24–26</w:t>
      </w:r>
      <w:r w:rsidRPr="001B2D3D">
        <w:t>.</w:t>
      </w:r>
    </w:p>
  </w:footnote>
  <w:footnote w:id="21">
    <w:p w:rsidR="00881794" w:rsidRDefault="00881794" w:rsidP="00AB0625">
      <w:pPr>
        <w:pStyle w:val="FootnoteText"/>
      </w:pPr>
      <w:r>
        <w:rPr>
          <w:rStyle w:val="FootnoteReference"/>
        </w:rPr>
        <w:footnoteRef/>
      </w:r>
      <w:r>
        <w:t xml:space="preserve"> </w:t>
      </w:r>
      <w:r>
        <w:tab/>
      </w:r>
      <w:r w:rsidRPr="00714353">
        <w:t xml:space="preserve">This is because, in principle, the distribution rate is a firm specific parameter and the utilisation rate is a market wide parameter. </w:t>
      </w:r>
      <w:r>
        <w:t xml:space="preserve">See </w:t>
      </w:r>
      <w:r w:rsidRPr="00E0166D">
        <w:t xml:space="preserve">Lally, </w:t>
      </w:r>
      <w:r w:rsidRPr="005764F6">
        <w:rPr>
          <w:rStyle w:val="AERtextitalic"/>
        </w:rPr>
        <w:t>Gamma and the ACT Decision</w:t>
      </w:r>
      <w:r>
        <w:t>, May 2016, p. 25</w:t>
      </w:r>
      <w:r w:rsidRPr="00E0166D">
        <w:t>.</w:t>
      </w:r>
    </w:p>
  </w:footnote>
  <w:footnote w:id="22">
    <w:p w:rsidR="00881794" w:rsidRDefault="00881794">
      <w:pPr>
        <w:pStyle w:val="FootnoteText"/>
      </w:pPr>
      <w:r>
        <w:rPr>
          <w:rStyle w:val="FootnoteReference"/>
        </w:rPr>
        <w:footnoteRef/>
      </w:r>
      <w:r>
        <w:t xml:space="preserve"> </w:t>
      </w:r>
      <w:r>
        <w:tab/>
      </w:r>
      <w:r w:rsidRPr="00E0166D">
        <w:t xml:space="preserve">Lally, </w:t>
      </w:r>
      <w:r w:rsidRPr="00886601">
        <w:rPr>
          <w:rStyle w:val="AERtextitalic"/>
        </w:rPr>
        <w:t>Gamma and the ACT Decision</w:t>
      </w:r>
      <w:r>
        <w:t>, May 2016, p. 4–6</w:t>
      </w:r>
      <w:r w:rsidRPr="00E0166D">
        <w:t>.</w:t>
      </w:r>
    </w:p>
  </w:footnote>
  <w:footnote w:id="23">
    <w:p w:rsidR="00881794" w:rsidRDefault="00881794">
      <w:pPr>
        <w:pStyle w:val="FootnoteText"/>
      </w:pPr>
      <w:r>
        <w:rPr>
          <w:rStyle w:val="FootnoteReference"/>
        </w:rPr>
        <w:footnoteRef/>
      </w:r>
      <w:r>
        <w:t xml:space="preserve"> </w:t>
      </w:r>
      <w:r>
        <w:tab/>
      </w:r>
      <w:r w:rsidRPr="00F14413">
        <w:t xml:space="preserve">Lally, </w:t>
      </w:r>
      <w:r w:rsidRPr="005764F6">
        <w:rPr>
          <w:rStyle w:val="AERtextitalic"/>
        </w:rPr>
        <w:t>Gamma and the ACT Decision</w:t>
      </w:r>
      <w:r w:rsidRPr="00F14413">
        <w:t>, May 2016, p</w:t>
      </w:r>
      <w:r>
        <w:t>p. 3–6</w:t>
      </w:r>
      <w:r w:rsidRPr="00F14413">
        <w:t>.</w:t>
      </w:r>
    </w:p>
  </w:footnote>
  <w:footnote w:id="24">
    <w:p w:rsidR="00881794" w:rsidRDefault="00881794">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 20.</w:t>
      </w:r>
    </w:p>
  </w:footnote>
  <w:footnote w:id="25">
    <w:p w:rsidR="00881794" w:rsidRDefault="00881794">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19, 30.</w:t>
      </w:r>
    </w:p>
  </w:footnote>
  <w:footnote w:id="26">
    <w:p w:rsidR="00881794" w:rsidRDefault="00881794">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xml:space="preserve">, May 2016, p. 20. </w:t>
      </w:r>
      <w:r w:rsidRPr="00583683">
        <w:t>We note Lally considered the 0.45 from our previous decisions in his report. However, his analysis would hold with respect to our updated estimate from taxations statistics of 0.48.</w:t>
      </w:r>
    </w:p>
  </w:footnote>
  <w:footnote w:id="27">
    <w:p w:rsidR="00881794" w:rsidRDefault="00881794" w:rsidP="00385731">
      <w:pPr>
        <w:pStyle w:val="FootnoteText"/>
      </w:pPr>
      <w:r>
        <w:rPr>
          <w:rStyle w:val="FootnoteReference"/>
        </w:rPr>
        <w:footnoteRef/>
      </w:r>
      <w:r>
        <w:t xml:space="preserve"> </w:t>
      </w:r>
      <w:r>
        <w:tab/>
        <w:t xml:space="preserve">This relies on cumulative distribution rate based on FAB data being used which matches to the 0.48 tax statistic. </w:t>
      </w:r>
    </w:p>
  </w:footnote>
  <w:footnote w:id="28">
    <w:p w:rsidR="00881794" w:rsidRDefault="00881794" w:rsidP="00385731">
      <w:pPr>
        <w:pStyle w:val="FootnoteText"/>
      </w:pPr>
      <w:r>
        <w:rPr>
          <w:rStyle w:val="FootnoteReference"/>
        </w:rPr>
        <w:footnoteRef/>
      </w:r>
      <w:r>
        <w:t xml:space="preserve"> </w:t>
      </w:r>
      <w:r>
        <w:tab/>
        <w:t>This relies on cumulative distribution rate based on FAB data being used which matches to the 0.48 tax statistic.</w:t>
      </w:r>
    </w:p>
  </w:footnote>
  <w:footnote w:id="29">
    <w:p w:rsidR="00881794" w:rsidRDefault="00881794">
      <w:pPr>
        <w:pStyle w:val="FootnoteText"/>
      </w:pPr>
      <w:r>
        <w:rPr>
          <w:rStyle w:val="FootnoteReference"/>
        </w:rPr>
        <w:footnoteRef/>
      </w:r>
      <w:r>
        <w:t xml:space="preserve"> </w:t>
      </w:r>
      <w:r>
        <w:tab/>
        <w:t>This relies on the distribution rate of the top 20 firms. Lally considers that financial statements are more reliable to estimate the distribution rate that ATO data.</w:t>
      </w:r>
    </w:p>
  </w:footnote>
  <w:footnote w:id="30">
    <w:p w:rsidR="00881794" w:rsidRDefault="00881794">
      <w:pPr>
        <w:pStyle w:val="FootnoteText"/>
      </w:pPr>
      <w:r>
        <w:rPr>
          <w:rStyle w:val="FootnoteReference"/>
        </w:rPr>
        <w:footnoteRef/>
      </w:r>
      <w:r>
        <w:t xml:space="preserve"> </w:t>
      </w:r>
      <w:r>
        <w:tab/>
        <w:t>We note even if the FAB data is reliable and therefore we can use an estimate a of the  utilisation rate of around 0.48 (with uncertainty around it), the 0.48 point estimate still gives an estimate of 0.4 when combined with Lally preferred estimate of the distribution rate for the efficient benchmark entity of 0.83.</w:t>
      </w:r>
    </w:p>
  </w:footnote>
  <w:footnote w:id="31">
    <w:p w:rsidR="00881794" w:rsidRDefault="00881794">
      <w:pPr>
        <w:pStyle w:val="FootnoteText"/>
      </w:pPr>
      <w:r>
        <w:rPr>
          <w:rStyle w:val="FootnoteReference"/>
        </w:rPr>
        <w:footnoteRef/>
      </w:r>
      <w:r>
        <w:t xml:space="preserve"> </w:t>
      </w:r>
      <w:r>
        <w:tab/>
      </w:r>
      <w:r w:rsidRPr="004E65F8">
        <w:t>N. Hathaway, Imputation credit redemption ATO data 1988–2011: Where have all the credits gone?, September 2013</w:t>
      </w:r>
      <w:r>
        <w:t>.</w:t>
      </w:r>
    </w:p>
  </w:footnote>
  <w:footnote w:id="32">
    <w:p w:rsidR="00881794" w:rsidRPr="00AB0B17" w:rsidRDefault="00881794" w:rsidP="000A66C3">
      <w:pPr>
        <w:pStyle w:val="FootnoteText"/>
      </w:pPr>
      <w:r>
        <w:rPr>
          <w:rStyle w:val="FootnoteReference"/>
        </w:rPr>
        <w:footnoteRef/>
      </w:r>
      <w:r>
        <w:t xml:space="preserve"> </w:t>
      </w:r>
      <w:r>
        <w:tab/>
      </w:r>
      <w:r w:rsidRPr="004E65F8">
        <w:t>N. Hathaway, Imputation credit redemption ATO data 1988–2011: Where have all the credits gone?, September 2013.</w:t>
      </w:r>
    </w:p>
  </w:footnote>
  <w:footnote w:id="33">
    <w:p w:rsidR="00881794" w:rsidRDefault="00881794">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29.</w:t>
      </w:r>
    </w:p>
  </w:footnote>
  <w:footnote w:id="34">
    <w:p w:rsidR="00881794" w:rsidRDefault="00881794">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26.</w:t>
      </w:r>
    </w:p>
  </w:footnote>
  <w:footnote w:id="35">
    <w:p w:rsidR="00881794" w:rsidRDefault="00881794" w:rsidP="0088312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Also see AER, </w:t>
      </w:r>
      <w:r w:rsidRPr="00E82D06">
        <w:rPr>
          <w:rStyle w:val="AERtextitalic"/>
        </w:rPr>
        <w:t>Draft decision: Australian Gas Networks access arrangement 2016 to 2021—Attachment 4: Value of imputation credits</w:t>
      </w:r>
      <w:r>
        <w:t xml:space="preserve">, November 2015. </w:t>
      </w:r>
      <w:r w:rsidRPr="00F641BE">
        <w:t xml:space="preserve">In </w:t>
      </w:r>
      <w:r>
        <w:t>our</w:t>
      </w:r>
      <w:r w:rsidRPr="00F641BE">
        <w:t xml:space="preserve"> </w:t>
      </w:r>
      <w:r>
        <w:t xml:space="preserve">recent </w:t>
      </w:r>
      <w:r w:rsidRPr="00F641BE">
        <w:t>decisions, we broadly maintained the approach we set out in the Guideline, although a re-examination of the evidence resulted in us choosing a value for imputation credits of 0.4.</w:t>
      </w:r>
    </w:p>
  </w:footnote>
  <w:footnote w:id="36">
    <w:p w:rsidR="00881794" w:rsidRDefault="00881794" w:rsidP="0088312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w:t>
      </w:r>
      <w:r w:rsidRPr="00577F31">
        <w:t xml:space="preserve"> </w:t>
      </w:r>
      <w:r w:rsidRPr="00883125">
        <w:t xml:space="preserve">This is consistent with </w:t>
      </w:r>
      <w:r>
        <w:t>its</w:t>
      </w:r>
      <w:r w:rsidRPr="00883125">
        <w:t xml:space="preserve"> initial proposal and the value in its current access arrangement</w:t>
      </w:r>
      <w:r>
        <w:t>.</w:t>
      </w:r>
    </w:p>
  </w:footnote>
  <w:footnote w:id="37">
    <w:p w:rsidR="00881794" w:rsidRDefault="00881794" w:rsidP="00883125">
      <w:pPr>
        <w:pStyle w:val="FootnoteText"/>
      </w:pPr>
      <w:r>
        <w:rPr>
          <w:rStyle w:val="FootnoteReference"/>
        </w:rPr>
        <w:footnoteRef/>
      </w:r>
      <w:r>
        <w:t xml:space="preserve"> </w:t>
      </w:r>
      <w:r>
        <w:tab/>
        <w:t xml:space="preserve">Frontier Economics, </w:t>
      </w:r>
      <w:r>
        <w:rPr>
          <w:rStyle w:val="AERtextitalic"/>
        </w:rPr>
        <w:t>The appropriate use of tax statistics when estimating gamma</w:t>
      </w:r>
      <w:r>
        <w:t>, January 2016, p. 30.</w:t>
      </w:r>
    </w:p>
  </w:footnote>
  <w:footnote w:id="38">
    <w:p w:rsidR="00881794" w:rsidRDefault="00881794" w:rsidP="00883125">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xml:space="preserve"> Dividend drop off studies are explained in section </w:t>
      </w:r>
      <w:r>
        <w:fldChar w:fldCharType="begin"/>
      </w:r>
      <w:r>
        <w:instrText xml:space="preserve"> REF _Ref402791521 \r \h </w:instrText>
      </w:r>
      <w:r>
        <w:fldChar w:fldCharType="separate"/>
      </w:r>
      <w:r>
        <w:t>A.15.1</w:t>
      </w:r>
      <w:r>
        <w:fldChar w:fldCharType="end"/>
      </w:r>
      <w:r>
        <w:t>.</w:t>
      </w:r>
    </w:p>
  </w:footnote>
  <w:footnote w:id="39">
    <w:p w:rsidR="00881794" w:rsidRDefault="00881794">
      <w:pPr>
        <w:pStyle w:val="FootnoteText"/>
      </w:pPr>
      <w:r>
        <w:rPr>
          <w:rStyle w:val="FootnoteReference"/>
        </w:rPr>
        <w:footnoteRef/>
      </w:r>
      <w:r>
        <w:t xml:space="preserve"> </w:t>
      </w:r>
      <w:r>
        <w:tab/>
        <w:t xml:space="preserve">These service providers are: </w:t>
      </w:r>
      <w:r w:rsidRPr="00577F31">
        <w:t>ActewAGL, Ausgrid, Directlink, Endeavour Energy, Essential Energy, Jemena Gas Networks (JGN), TransGrid, SA Power Networks, Energex, Ergon Energy, AusNet Services, CitiPower, Powercor, Jemena Electricity Networks (JEN), ActewAGL Distribution, Australian Gas Networks, and APT Pipeline (NT) Pty Ltd (APTNT)</w:t>
      </w:r>
      <w:r>
        <w:t>.</w:t>
      </w:r>
    </w:p>
  </w:footnote>
  <w:footnote w:id="40">
    <w:p w:rsidR="00881794" w:rsidRDefault="00881794">
      <w:pPr>
        <w:pStyle w:val="FootnoteText"/>
      </w:pPr>
      <w:r>
        <w:rPr>
          <w:rStyle w:val="FootnoteReference"/>
        </w:rPr>
        <w:footnoteRef/>
      </w:r>
      <w:r>
        <w:t xml:space="preserve"> </w:t>
      </w:r>
      <w:r>
        <w:tab/>
        <w:t xml:space="preserve">Frontier Economics, </w:t>
      </w:r>
      <w:r w:rsidRPr="00692859">
        <w:rPr>
          <w:rStyle w:val="AERtextitalic"/>
        </w:rPr>
        <w:t>The appropriate use of tax statistics when estimating gamma</w:t>
      </w:r>
      <w:r>
        <w:t xml:space="preserve">, January 2016; Frontier Economics, </w:t>
      </w:r>
      <w:r w:rsidRPr="00D14DE4">
        <w:rPr>
          <w:rStyle w:val="AERtextitalic"/>
        </w:rPr>
        <w:t>An appropriate regulatory estimate of gamma</w:t>
      </w:r>
      <w:r>
        <w:t xml:space="preserve">, June 2015; NERA Economic Consulting, </w:t>
      </w:r>
      <w:r w:rsidRPr="005764F6">
        <w:rPr>
          <w:rStyle w:val="AERtextitalic"/>
        </w:rPr>
        <w:t>Estimating Distribution and Redemption Rates: Response to the AER's Final Decisions for the NSW and ACT Electricity Distributors, and for Jemena Gas Networks</w:t>
      </w:r>
      <w:r>
        <w:t>, June 2015.</w:t>
      </w:r>
    </w:p>
  </w:footnote>
  <w:footnote w:id="41">
    <w:p w:rsidR="00881794" w:rsidRDefault="00881794">
      <w:pPr>
        <w:pStyle w:val="FootnoteText"/>
      </w:pPr>
      <w:r>
        <w:rPr>
          <w:rStyle w:val="FootnoteReference"/>
        </w:rPr>
        <w:footnoteRef/>
      </w:r>
      <w:r>
        <w:t xml:space="preserve"> </w:t>
      </w:r>
      <w:r>
        <w:tab/>
        <w:t>NER, cll. 6.5.3, 6A.6.4; NGR, r. 87A.</w:t>
      </w:r>
    </w:p>
  </w:footnote>
  <w:footnote w:id="42">
    <w:p w:rsidR="00881794" w:rsidRDefault="00881794" w:rsidP="00883125">
      <w:pPr>
        <w:pStyle w:val="FootnoteText"/>
      </w:pPr>
      <w:r>
        <w:rPr>
          <w:rStyle w:val="FootnoteReference"/>
        </w:rPr>
        <w:footnoteRef/>
      </w:r>
      <w:r>
        <w:t xml:space="preserve"> </w:t>
      </w:r>
      <w:r>
        <w:tab/>
        <w:t>NER, cll. 6.5.2(d)(2), 6A.6.2(d)(2); NGR, r. 87(4)(b).</w:t>
      </w:r>
    </w:p>
  </w:footnote>
  <w:footnote w:id="43">
    <w:p w:rsidR="00881794" w:rsidRDefault="00881794" w:rsidP="0088312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44">
    <w:p w:rsidR="00881794" w:rsidRDefault="00881794" w:rsidP="0088312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45">
    <w:p w:rsidR="00881794" w:rsidRDefault="00881794" w:rsidP="0088312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46">
    <w:p w:rsidR="00881794" w:rsidRDefault="00881794" w:rsidP="00883125">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47">
    <w:p w:rsidR="00881794" w:rsidRDefault="00881794" w:rsidP="00883125">
      <w:pPr>
        <w:pStyle w:val="FootnoteText"/>
      </w:pPr>
      <w:r>
        <w:rPr>
          <w:rStyle w:val="FootnoteReference"/>
        </w:rPr>
        <w:footnoteRef/>
      </w:r>
      <w:r>
        <w:t xml:space="preserve"> </w:t>
      </w:r>
      <w:r>
        <w:tab/>
        <w:t xml:space="preserve">ENA, </w:t>
      </w:r>
      <w:r>
        <w:rPr>
          <w:rStyle w:val="AERtextitalic"/>
        </w:rPr>
        <w:t>Response to the 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48">
    <w:p w:rsidR="00881794" w:rsidRDefault="00881794" w:rsidP="00883125">
      <w:pPr>
        <w:pStyle w:val="FootnoteText"/>
      </w:pPr>
      <w:r>
        <w:rPr>
          <w:rStyle w:val="FootnoteReference"/>
        </w:rPr>
        <w:footnoteRef/>
      </w:r>
      <w:r>
        <w:t xml:space="preserve"> </w:t>
      </w:r>
      <w:r>
        <w:tab/>
        <w:t>NER, cll. 6.5.2, 6A.6.2;</w:t>
      </w:r>
      <w:r w:rsidRPr="0042735A">
        <w:t xml:space="preserve"> </w:t>
      </w:r>
      <w:r>
        <w:t>NGR, r. 87.</w:t>
      </w:r>
    </w:p>
  </w:footnote>
  <w:footnote w:id="49">
    <w:p w:rsidR="00881794" w:rsidRDefault="00881794" w:rsidP="00883125">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50">
    <w:p w:rsidR="00881794" w:rsidRDefault="00881794" w:rsidP="00787306">
      <w:pPr>
        <w:pStyle w:val="FootnoteText"/>
      </w:pPr>
      <w:r>
        <w:rPr>
          <w:rStyle w:val="FootnoteReference"/>
        </w:rPr>
        <w:footnoteRef/>
      </w:r>
      <w:r>
        <w:tab/>
        <w:t>NEL, s. 16(1)(a); NGL, s. 28(1)(a).</w:t>
      </w:r>
    </w:p>
  </w:footnote>
  <w:footnote w:id="51">
    <w:p w:rsidR="00881794" w:rsidRDefault="00881794" w:rsidP="00883125">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52">
    <w:p w:rsidR="00881794" w:rsidRDefault="00881794" w:rsidP="0088312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53">
    <w:p w:rsidR="00881794" w:rsidRDefault="00881794" w:rsidP="00883125">
      <w:pPr>
        <w:pStyle w:val="FootnoteText"/>
      </w:pPr>
      <w:r>
        <w:rPr>
          <w:rStyle w:val="FootnoteReference"/>
        </w:rPr>
        <w:footnoteRef/>
      </w:r>
      <w:r>
        <w:tab/>
        <w:t>NEL, s. 16(1)(a); NGL, s. 28(1)(a).</w:t>
      </w:r>
    </w:p>
  </w:footnote>
  <w:footnote w:id="54">
    <w:p w:rsidR="00881794" w:rsidRDefault="00881794" w:rsidP="00883125">
      <w:pPr>
        <w:pStyle w:val="FootnoteText"/>
      </w:pPr>
      <w:r>
        <w:rPr>
          <w:rStyle w:val="FootnoteReference"/>
        </w:rPr>
        <w:footnoteRef/>
      </w:r>
      <w:r>
        <w:t xml:space="preserve"> </w:t>
      </w:r>
      <w:r>
        <w:tab/>
        <w:t>NEL, s. 16(2)(a)(i); NGL, s. 28(2)(a)(i).</w:t>
      </w:r>
    </w:p>
  </w:footnote>
  <w:footnote w:id="55">
    <w:p w:rsidR="00881794" w:rsidRDefault="00881794" w:rsidP="00883125">
      <w:pPr>
        <w:pStyle w:val="FootnoteText"/>
      </w:pPr>
      <w:r>
        <w:rPr>
          <w:rStyle w:val="FootnoteReference"/>
        </w:rPr>
        <w:footnoteRef/>
      </w:r>
      <w:r>
        <w:t xml:space="preserve"> </w:t>
      </w:r>
      <w:r>
        <w:tab/>
        <w:t>NEL, ss. 7A(2)–(7); NGL, ss. 24(2)–(7).</w:t>
      </w:r>
    </w:p>
  </w:footnote>
  <w:footnote w:id="56">
    <w:p w:rsidR="00881794" w:rsidRDefault="00881794" w:rsidP="00883125">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w:t>
      </w:r>
      <w:r w:rsidRPr="00F8556F">
        <w:t>http://www.aer.gov.au/node/18859</w:t>
      </w:r>
      <w:r>
        <w:t>.</w:t>
      </w:r>
    </w:p>
  </w:footnote>
  <w:footnote w:id="57">
    <w:p w:rsidR="00881794" w:rsidRDefault="00881794" w:rsidP="00883125">
      <w:pPr>
        <w:pStyle w:val="FootnoteText"/>
      </w:pPr>
      <w:r>
        <w:rPr>
          <w:rStyle w:val="FootnoteReference"/>
        </w:rPr>
        <w:footnoteRef/>
      </w:r>
      <w:r>
        <w:t xml:space="preserve"> </w:t>
      </w:r>
      <w:r>
        <w:tab/>
        <w:t>NER, cll. 6.5.2(n</w:t>
      </w:r>
      <w:r w:rsidRPr="0090536E">
        <w:t>)</w:t>
      </w:r>
      <w:r>
        <w:t>,</w:t>
      </w:r>
      <w:r w:rsidRPr="0090536E">
        <w:t xml:space="preserve"> </w:t>
      </w:r>
      <w:r>
        <w:t>6A.6.2(n); NGR, r. 87(14).</w:t>
      </w:r>
    </w:p>
  </w:footnote>
  <w:footnote w:id="58">
    <w:p w:rsidR="00881794" w:rsidRDefault="00881794" w:rsidP="00883125">
      <w:pPr>
        <w:pStyle w:val="FootnoteText"/>
      </w:pPr>
      <w:r>
        <w:rPr>
          <w:rStyle w:val="FootnoteReference"/>
        </w:rPr>
        <w:footnoteRef/>
      </w:r>
      <w:r>
        <w:t xml:space="preserve"> </w:t>
      </w:r>
      <w:r>
        <w:tab/>
        <w:t xml:space="preserve">NER, cll. </w:t>
      </w:r>
      <w:r w:rsidRPr="001E5B06">
        <w:t>6.5.2(n)</w:t>
      </w:r>
      <w:r>
        <w:t>(2), 6.A.6.2(n)(2); NGR, r. 87(14)(b).</w:t>
      </w:r>
    </w:p>
  </w:footnote>
  <w:footnote w:id="59">
    <w:p w:rsidR="00881794" w:rsidRDefault="00881794" w:rsidP="00883125">
      <w:pPr>
        <w:pStyle w:val="FootnoteText"/>
      </w:pPr>
      <w:r>
        <w:rPr>
          <w:rStyle w:val="FootnoteReference"/>
        </w:rPr>
        <w:footnoteRef/>
      </w:r>
      <w:r>
        <w:t xml:space="preserve"> </w:t>
      </w:r>
      <w:r>
        <w:tab/>
        <w:t>NER, cll. 6.2.8(c), 6A.2.3(c); NGR, r. 87(18).</w:t>
      </w:r>
    </w:p>
  </w:footnote>
  <w:footnote w:id="60">
    <w:p w:rsidR="00881794" w:rsidRDefault="00881794" w:rsidP="00883125">
      <w:pPr>
        <w:pStyle w:val="FootnoteText"/>
      </w:pPr>
      <w:r>
        <w:rPr>
          <w:rStyle w:val="FootnoteReference"/>
        </w:rPr>
        <w:footnoteRef/>
      </w:r>
      <w:r>
        <w:t xml:space="preserve"> </w:t>
      </w:r>
      <w:r>
        <w:tab/>
        <w:t xml:space="preserve">NER, ss. </w:t>
      </w:r>
      <w:r w:rsidRPr="00A609E3">
        <w:t>S6.1.3</w:t>
      </w:r>
      <w:r>
        <w:t>(9)–(9B), S6A.1.3(4)(vi),(4A)–(4C); NGR, r. 72(1)(g).</w:t>
      </w:r>
    </w:p>
  </w:footnote>
  <w:footnote w:id="61">
    <w:p w:rsidR="00881794" w:rsidRDefault="00881794" w:rsidP="00883125">
      <w:pPr>
        <w:pStyle w:val="FootnoteText"/>
      </w:pPr>
      <w:r>
        <w:rPr>
          <w:rStyle w:val="FootnoteReference"/>
        </w:rPr>
        <w:footnoteRef/>
      </w:r>
      <w:r>
        <w:t xml:space="preserve"> </w:t>
      </w:r>
      <w:r>
        <w:tab/>
      </w:r>
      <w:r w:rsidRPr="007646B1">
        <w:t xml:space="preserve">AER, </w:t>
      </w:r>
      <w:r w:rsidRPr="007646B1">
        <w:rPr>
          <w:rStyle w:val="AERtextitalic"/>
        </w:rPr>
        <w:t xml:space="preserve">Better </w:t>
      </w:r>
      <w:r>
        <w:rPr>
          <w:rStyle w:val="AERtextitalic"/>
        </w:rPr>
        <w:t>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62">
    <w:p w:rsidR="00881794" w:rsidRDefault="00881794" w:rsidP="00883125">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63">
    <w:p w:rsidR="00881794" w:rsidRDefault="00881794" w:rsidP="00883125">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64">
    <w:p w:rsidR="00881794" w:rsidRDefault="00881794" w:rsidP="00883125">
      <w:pPr>
        <w:pStyle w:val="FootnoteText"/>
      </w:pPr>
      <w:r>
        <w:rPr>
          <w:rStyle w:val="FootnoteReference"/>
        </w:rPr>
        <w:footnoteRef/>
      </w:r>
      <w:r>
        <w:t xml:space="preserve"> </w:t>
      </w:r>
      <w:r>
        <w:tab/>
        <w:t>NER, cll. 6.5.2(d)(2), 6A.6.2(d)(2); NGR, r. 87(4)(b).</w:t>
      </w:r>
    </w:p>
  </w:footnote>
  <w:footnote w:id="65">
    <w:p w:rsidR="00881794" w:rsidRDefault="00881794" w:rsidP="0088312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66">
    <w:p w:rsidR="00881794" w:rsidRDefault="00881794">
      <w:pPr>
        <w:pStyle w:val="FootnoteText"/>
      </w:pPr>
      <w:r>
        <w:rPr>
          <w:rStyle w:val="FootnoteReference"/>
        </w:rPr>
        <w:footnoteRef/>
      </w:r>
      <w:r>
        <w:t xml:space="preserve"> </w:t>
      </w:r>
      <w:r>
        <w:tab/>
      </w:r>
      <w:r w:rsidRPr="00583683">
        <w:t xml:space="preserve">J. Handley, </w:t>
      </w:r>
      <w:r w:rsidRPr="00583683">
        <w:rPr>
          <w:rStyle w:val="AERtextitalic"/>
        </w:rPr>
        <w:t>Report prepared for the Australian Energy Regulator: Advice on the value of imputation credits</w:t>
      </w:r>
      <w:r w:rsidRPr="00583683">
        <w:t xml:space="preserve">, 29 September 2014; J. Handley, </w:t>
      </w:r>
      <w:r w:rsidRPr="00583683">
        <w:rPr>
          <w:rStyle w:val="AERtextitalic"/>
        </w:rPr>
        <w:t>Report prepared for the Australian Energy Regulator: Further advice on the value of imputation credits</w:t>
      </w:r>
      <w:r w:rsidRPr="00583683">
        <w:t xml:space="preserve">, 16 April 2015. J. Handley, </w:t>
      </w:r>
      <w:r w:rsidRPr="00583683">
        <w:rPr>
          <w:rStyle w:val="AERtextitalic"/>
        </w:rPr>
        <w:t>Report prepared for the Australian Energy Regulator: Advice on the NERA report 'Estimating distribution and redemption rates from taxation statistics'</w:t>
      </w:r>
      <w:r w:rsidRPr="00583683">
        <w:t xml:space="preserve">, 20 May 2015. Lally, </w:t>
      </w:r>
      <w:r w:rsidRPr="00583683">
        <w:rPr>
          <w:rStyle w:val="AERtextitalic"/>
        </w:rPr>
        <w:t>Gamma and the ACT decision</w:t>
      </w:r>
      <w:r w:rsidRPr="005764F6">
        <w:t>, May 2016.</w:t>
      </w:r>
    </w:p>
  </w:footnote>
  <w:footnote w:id="67">
    <w:p w:rsidR="00881794" w:rsidRDefault="00881794" w:rsidP="0088312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Frontier Economics, </w:t>
      </w:r>
      <w:r w:rsidRPr="00D14DE4">
        <w:rPr>
          <w:rStyle w:val="AERtextitalic"/>
        </w:rPr>
        <w:t>An appropriate regulatory estimate of gamma</w:t>
      </w:r>
      <w:r>
        <w:t xml:space="preserve">, June 2015; Frontier, </w:t>
      </w:r>
      <w:r>
        <w:rPr>
          <w:i/>
        </w:rPr>
        <w:t xml:space="preserve">The appropriate use of tax statistics when estimating gamma, </w:t>
      </w:r>
      <w:r>
        <w:t>January 2016.</w:t>
      </w:r>
    </w:p>
  </w:footnote>
  <w:footnote w:id="68">
    <w:p w:rsidR="00881794" w:rsidRDefault="00881794" w:rsidP="00883125">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xml:space="preserve">, March 2015. NERA, </w:t>
      </w:r>
      <w:r w:rsidRPr="00906B59">
        <w:rPr>
          <w:rStyle w:val="AERtextitalic"/>
        </w:rPr>
        <w:t>Do imputation credits lower the cost of equity? Cross-sectional tests</w:t>
      </w:r>
      <w:r>
        <w:t xml:space="preserve">, April 2015. NERA, </w:t>
      </w:r>
      <w:r w:rsidRPr="00D54762">
        <w:rPr>
          <w:rStyle w:val="AERtextitalic"/>
        </w:rPr>
        <w:t>Estimating distribution and redemption rates: Response to the AER's final decisions for the NSW and ACT electricity distributors, and for Jemena Gas Networks</w:t>
      </w:r>
      <w:r>
        <w:t>, June 2015.</w:t>
      </w:r>
    </w:p>
  </w:footnote>
  <w:footnote w:id="69">
    <w:p w:rsidR="00881794" w:rsidRDefault="00881794" w:rsidP="00883125">
      <w:pPr>
        <w:pStyle w:val="FootnoteText"/>
      </w:pPr>
      <w:r>
        <w:rPr>
          <w:rStyle w:val="FootnoteReference"/>
        </w:rPr>
        <w:footnoteRef/>
      </w:r>
      <w:r>
        <w:t xml:space="preserve"> </w:t>
      </w:r>
      <w:r>
        <w:tab/>
        <w:t xml:space="preserve">M. Lally, </w:t>
      </w:r>
      <w:r w:rsidRPr="002519FD">
        <w:rPr>
          <w:rStyle w:val="AERtextitalic"/>
        </w:rPr>
        <w:t>Estimating gamma</w:t>
      </w:r>
      <w:r>
        <w:t xml:space="preserve">, 25 November 2013. M. Lally, </w:t>
      </w:r>
      <w:r w:rsidRPr="008916E4">
        <w:rPr>
          <w:rStyle w:val="AERtextitalic"/>
        </w:rPr>
        <w:t>Review of submissions to the QCA on the MRP, risk-free rate and gamma</w:t>
      </w:r>
      <w:r>
        <w:t>, 12 March 2014.</w:t>
      </w:r>
    </w:p>
  </w:footnote>
  <w:footnote w:id="70">
    <w:p w:rsidR="00881794" w:rsidRDefault="00881794" w:rsidP="00883125">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71">
    <w:p w:rsidR="00881794" w:rsidRDefault="00881794" w:rsidP="0088312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2">
    <w:p w:rsidR="00881794" w:rsidRDefault="00881794" w:rsidP="00883125">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3">
    <w:p w:rsidR="00881794" w:rsidRDefault="00881794" w:rsidP="00883125">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t>A.1</w:t>
      </w:r>
      <w:r>
        <w:fldChar w:fldCharType="end"/>
      </w:r>
      <w:r>
        <w:t xml:space="preserve"> and </w:t>
      </w:r>
      <w:r>
        <w:fldChar w:fldCharType="begin"/>
      </w:r>
      <w:r>
        <w:instrText xml:space="preserve"> REF _Ref414621875 \r \h </w:instrText>
      </w:r>
      <w:r>
        <w:fldChar w:fldCharType="separate"/>
      </w:r>
      <w:r>
        <w:t>A.2</w:t>
      </w:r>
      <w:r>
        <w:fldChar w:fldCharType="end"/>
      </w:r>
      <w:r>
        <w:t xml:space="preserve"> of appendix A.</w:t>
      </w:r>
    </w:p>
  </w:footnote>
  <w:footnote w:id="74">
    <w:p w:rsidR="00881794" w:rsidRDefault="00881794" w:rsidP="00883125">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t>A.5</w:t>
      </w:r>
      <w:r>
        <w:fldChar w:fldCharType="end"/>
      </w:r>
      <w:r>
        <w:t xml:space="preserve"> of appendix A.</w:t>
      </w:r>
    </w:p>
  </w:footnote>
  <w:footnote w:id="75">
    <w:p w:rsidR="00881794" w:rsidRDefault="00881794" w:rsidP="00883125">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t>4.3.1</w:t>
      </w:r>
      <w:r>
        <w:fldChar w:fldCharType="end"/>
      </w:r>
      <w:r>
        <w:t xml:space="preserve"> and </w:t>
      </w:r>
      <w:r>
        <w:fldChar w:fldCharType="begin"/>
      </w:r>
      <w:r>
        <w:instrText xml:space="preserve"> REF _Ref400965182 \r \h </w:instrText>
      </w:r>
      <w:r>
        <w:fldChar w:fldCharType="separate"/>
      </w:r>
      <w:r>
        <w:t>A.6</w:t>
      </w:r>
      <w:r>
        <w:fldChar w:fldCharType="end"/>
      </w:r>
      <w:r>
        <w:t xml:space="preserve"> of appendix A. </w:t>
      </w:r>
    </w:p>
  </w:footnote>
  <w:footnote w:id="76">
    <w:p w:rsidR="00881794" w:rsidRDefault="00881794" w:rsidP="00883125">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t>A.6</w:t>
      </w:r>
      <w:r>
        <w:fldChar w:fldCharType="end"/>
      </w:r>
      <w:r>
        <w:t xml:space="preserve"> of appendix A.</w:t>
      </w:r>
    </w:p>
  </w:footnote>
  <w:footnote w:id="77">
    <w:p w:rsidR="00881794" w:rsidRDefault="00881794">
      <w:pPr>
        <w:pStyle w:val="FootnoteText"/>
      </w:pPr>
      <w:r>
        <w:rPr>
          <w:rStyle w:val="FootnoteReference"/>
        </w:rPr>
        <w:footnoteRef/>
      </w:r>
      <w:r>
        <w:t xml:space="preserve"> </w:t>
      </w:r>
      <w:r>
        <w:tab/>
      </w:r>
      <w:r w:rsidRPr="00AB4156">
        <w:t xml:space="preserve">Lally, </w:t>
      </w:r>
      <w:r w:rsidRPr="005764F6">
        <w:rPr>
          <w:rStyle w:val="AERtextitalic"/>
        </w:rPr>
        <w:t>Gamma and the ACT Decision</w:t>
      </w:r>
      <w:r>
        <w:t>, May 2016, p. 29</w:t>
      </w:r>
      <w:r w:rsidRPr="00AB4156">
        <w:t>.</w:t>
      </w:r>
    </w:p>
  </w:footnote>
  <w:footnote w:id="78">
    <w:p w:rsidR="00881794" w:rsidRDefault="00881794">
      <w:pPr>
        <w:pStyle w:val="FootnoteText"/>
      </w:pPr>
      <w:r>
        <w:rPr>
          <w:rStyle w:val="FootnoteReference"/>
        </w:rPr>
        <w:footnoteRef/>
      </w:r>
      <w:r>
        <w:t xml:space="preserve"> </w:t>
      </w:r>
      <w:r>
        <w:tab/>
        <w:t xml:space="preserve">See section </w:t>
      </w:r>
      <w:r>
        <w:fldChar w:fldCharType="begin"/>
      </w:r>
      <w:r>
        <w:instrText xml:space="preserve"> REF _Ref451240526 \r \h </w:instrText>
      </w:r>
      <w:r>
        <w:fldChar w:fldCharType="separate"/>
      </w:r>
      <w:r>
        <w:t>4.4</w:t>
      </w:r>
      <w:r>
        <w:fldChar w:fldCharType="end"/>
      </w:r>
      <w:r>
        <w:t>.</w:t>
      </w:r>
    </w:p>
  </w:footnote>
  <w:footnote w:id="79">
    <w:p w:rsidR="00881794" w:rsidRDefault="00881794">
      <w:pPr>
        <w:pStyle w:val="FootnoteText"/>
      </w:pPr>
      <w:r>
        <w:rPr>
          <w:rStyle w:val="FootnoteReference"/>
        </w:rPr>
        <w:footnoteRef/>
      </w:r>
      <w:r>
        <w:t xml:space="preserve"> </w:t>
      </w:r>
      <w:r>
        <w:tab/>
        <w:t xml:space="preserve">See section </w:t>
      </w:r>
      <w:r>
        <w:fldChar w:fldCharType="begin"/>
      </w:r>
      <w:r>
        <w:instrText xml:space="preserve"> REF _Ref451240541 \r \h </w:instrText>
      </w:r>
      <w:r>
        <w:fldChar w:fldCharType="separate"/>
      </w:r>
      <w:r>
        <w:t>4.4</w:t>
      </w:r>
      <w:r>
        <w:fldChar w:fldCharType="end"/>
      </w:r>
      <w:r>
        <w:t>.</w:t>
      </w:r>
    </w:p>
  </w:footnote>
  <w:footnote w:id="80">
    <w:p w:rsidR="00881794" w:rsidRDefault="00881794">
      <w:pPr>
        <w:pStyle w:val="FootnoteText"/>
      </w:pPr>
      <w:r>
        <w:rPr>
          <w:rStyle w:val="FootnoteReference"/>
        </w:rPr>
        <w:footnoteRef/>
      </w:r>
      <w:r>
        <w:t xml:space="preserve"> </w:t>
      </w:r>
      <w:r>
        <w:tab/>
        <w:t xml:space="preserve">See section </w:t>
      </w:r>
      <w:r>
        <w:fldChar w:fldCharType="begin"/>
      </w:r>
      <w:r>
        <w:instrText xml:space="preserve"> REF _Ref451240553 \r \h </w:instrText>
      </w:r>
      <w:r>
        <w:fldChar w:fldCharType="separate"/>
      </w:r>
      <w:r>
        <w:t>4.4</w:t>
      </w:r>
      <w:r>
        <w:fldChar w:fldCharType="end"/>
      </w:r>
      <w:r>
        <w:t>.</w:t>
      </w:r>
    </w:p>
  </w:footnote>
  <w:footnote w:id="81">
    <w:p w:rsidR="00881794" w:rsidRDefault="00881794">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4–5.</w:t>
      </w:r>
    </w:p>
  </w:footnote>
  <w:footnote w:id="82">
    <w:p w:rsidR="00881794" w:rsidRDefault="00881794">
      <w:pPr>
        <w:pStyle w:val="FootnoteText"/>
      </w:pPr>
      <w:r>
        <w:rPr>
          <w:rStyle w:val="FootnoteReference"/>
        </w:rPr>
        <w:footnoteRef/>
      </w:r>
      <w:r>
        <w:t xml:space="preserve"> </w:t>
      </w:r>
      <w:r>
        <w:tab/>
      </w:r>
      <w:r w:rsidRPr="00DE7959">
        <w:t>Rather, they measure the dividend drop off ratio which is influenced</w:t>
      </w:r>
      <w:r>
        <w:t xml:space="preserve"> by personal tax factors. This i</w:t>
      </w:r>
      <w:r w:rsidRPr="00DE7959">
        <w:t>s not appropriate given our post (corporate) tax regulatory framework based on Officer's 1994 paper</w:t>
      </w:r>
      <w:r>
        <w:t xml:space="preserve"> (see </w:t>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r w:rsidRPr="00DE7959">
        <w:t>.</w:t>
      </w:r>
    </w:p>
  </w:footnote>
  <w:footnote w:id="83">
    <w:p w:rsidR="00881794" w:rsidRDefault="00881794" w:rsidP="00D74F29">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We note that Lally, in his latest report, recommends that the distribution rate should be set with reference to the financial reports of the top 20 listed companies (as he considers this is most representative of the firm specific distribution rate for a benchmark efficient entity) and the utilisation rate should be set with reference to all equity (as he considers this likely the best estimate of the economy wide theta value) (see </w:t>
      </w:r>
      <w:r w:rsidRPr="00BD34F4">
        <w:t xml:space="preserve">Lally, </w:t>
      </w:r>
      <w:r w:rsidRPr="005764F6">
        <w:rPr>
          <w:rStyle w:val="AERtextitalic"/>
        </w:rPr>
        <w:t>Gamma and the ACT Decision</w:t>
      </w:r>
      <w:r>
        <w:t xml:space="preserve">, May 2016, pp. 4–6). See section </w:t>
      </w:r>
      <w:r>
        <w:fldChar w:fldCharType="begin"/>
      </w:r>
      <w:r>
        <w:instrText xml:space="preserve"> REF _Ref401048631 \r \h </w:instrText>
      </w:r>
      <w:r>
        <w:fldChar w:fldCharType="separate"/>
      </w:r>
      <w:r>
        <w:t>A.9.1</w:t>
      </w:r>
      <w:r>
        <w:fldChar w:fldCharType="end"/>
      </w:r>
      <w:r>
        <w:t xml:space="preserve"> of appendix A for more discussion. </w:t>
      </w:r>
    </w:p>
  </w:footnote>
  <w:footnote w:id="84">
    <w:p w:rsidR="00881794" w:rsidRDefault="00881794" w:rsidP="0088312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85">
    <w:p w:rsidR="00881794" w:rsidRDefault="00881794" w:rsidP="0088312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86">
    <w:p w:rsidR="00881794" w:rsidRDefault="00881794" w:rsidP="0088312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87">
    <w:p w:rsidR="00881794" w:rsidRDefault="00881794">
      <w:pPr>
        <w:pStyle w:val="FootnoteText"/>
      </w:pPr>
      <w:r>
        <w:rPr>
          <w:rStyle w:val="FootnoteReference"/>
        </w:rPr>
        <w:footnoteRef/>
      </w:r>
      <w:r>
        <w:t xml:space="preserve"> </w:t>
      </w:r>
      <w:r>
        <w:tab/>
      </w:r>
      <w:r w:rsidRPr="005942A6">
        <w:t xml:space="preserve">Lally, </w:t>
      </w:r>
      <w:r w:rsidRPr="005764F6">
        <w:rPr>
          <w:rStyle w:val="AERtextitalic"/>
        </w:rPr>
        <w:t>Gamma and the ACT Decision</w:t>
      </w:r>
      <w:r w:rsidRPr="005942A6">
        <w:t xml:space="preserve">, </w:t>
      </w:r>
      <w:r>
        <w:t>May 2016, pp. 3–6</w:t>
      </w:r>
      <w:r w:rsidRPr="005942A6">
        <w:t>.</w:t>
      </w:r>
    </w:p>
  </w:footnote>
  <w:footnote w:id="88">
    <w:p w:rsidR="00881794" w:rsidRDefault="00881794" w:rsidP="0088312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t>A.1</w:t>
      </w:r>
      <w:r>
        <w:fldChar w:fldCharType="end"/>
      </w:r>
      <w:r>
        <w:t xml:space="preserve"> of appendix A.</w:t>
      </w:r>
    </w:p>
  </w:footnote>
  <w:footnote w:id="89">
    <w:p w:rsidR="00881794" w:rsidRDefault="00881794" w:rsidP="0088312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90">
    <w:p w:rsidR="00881794" w:rsidRDefault="00881794" w:rsidP="00CA5038">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24–25, 28.</w:t>
      </w:r>
    </w:p>
  </w:footnote>
  <w:footnote w:id="91">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4–6, 18, 25. In making this choice, Lally considered there is </w:t>
      </w:r>
      <w:r w:rsidRPr="0035206C">
        <w:t>a trade-off between statistical reliability (</w:t>
      </w:r>
      <w:r>
        <w:t xml:space="preserve">which is </w:t>
      </w:r>
      <w:r w:rsidRPr="0035206C">
        <w:t xml:space="preserve">greater </w:t>
      </w:r>
      <w:r>
        <w:t xml:space="preserve">if </w:t>
      </w:r>
      <w:r w:rsidRPr="0035206C">
        <w:t>a market-wide estimate</w:t>
      </w:r>
      <w:r>
        <w:t xml:space="preserve"> is used</w:t>
      </w:r>
      <w:r w:rsidRPr="0035206C">
        <w:t>) versus potential bias (</w:t>
      </w:r>
      <w:r>
        <w:t>worse from a sector-wide estimate</w:t>
      </w:r>
      <w:r w:rsidRPr="0035206C">
        <w:t>).</w:t>
      </w:r>
      <w:r>
        <w:t xml:space="preserve"> Lally discussed various issues with using firm-specific data, industry averages and market-wide data to estimate the distribution rate.</w:t>
      </w:r>
    </w:p>
  </w:footnote>
  <w:footnote w:id="92">
    <w:p w:rsidR="00881794" w:rsidRDefault="00881794" w:rsidP="00217DF9">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93">
    <w:p w:rsidR="00881794" w:rsidRDefault="00881794">
      <w:pPr>
        <w:pStyle w:val="FootnoteText"/>
      </w:pPr>
      <w:r>
        <w:rPr>
          <w:rStyle w:val="FootnoteReference"/>
        </w:rPr>
        <w:footnoteRef/>
      </w:r>
      <w:r>
        <w:t xml:space="preserve"> </w:t>
      </w:r>
      <w:r>
        <w:tab/>
        <w:t>Lally recommends a gamma estimate of at least 0.5 which is based on a distribution rate of at least 0.83 and a utilisation rate of 0.6. See:</w:t>
      </w:r>
      <w:r w:rsidRPr="004B7D28">
        <w:t xml:space="preserve"> </w:t>
      </w:r>
      <w:r w:rsidRPr="00712BC2">
        <w:t xml:space="preserve">M. Lally, </w:t>
      </w:r>
      <w:r>
        <w:rPr>
          <w:rStyle w:val="AERtextitalic"/>
        </w:rPr>
        <w:t>Gamma and the ACT Decision</w:t>
      </w:r>
      <w:r>
        <w:t>, May 2016, p. 6.</w:t>
      </w:r>
    </w:p>
  </w:footnote>
  <w:footnote w:id="94">
    <w:p w:rsidR="00881794" w:rsidRDefault="00881794" w:rsidP="00883125">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95">
    <w:p w:rsidR="00881794" w:rsidRDefault="00881794" w:rsidP="00E405F1">
      <w:pPr>
        <w:pStyle w:val="FootnoteText"/>
      </w:pPr>
      <w:r>
        <w:rPr>
          <w:rStyle w:val="FootnoteReference"/>
        </w:rPr>
        <w:footnoteRef/>
      </w:r>
      <w:r>
        <w:t xml:space="preserve"> </w:t>
      </w:r>
      <w:r>
        <w:tab/>
        <w:t xml:space="preserve">For example, </w:t>
      </w:r>
      <w:r w:rsidRPr="00883125">
        <w:t>Handley and Lally advised that other classes of evidence are more valuable.</w:t>
      </w:r>
      <w:r w:rsidRPr="00E405F1">
        <w:t xml:space="preserve"> </w:t>
      </w:r>
      <w:r>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_Ref450761230 \r \h </w:instrText>
      </w:r>
      <w:r>
        <w:fldChar w:fldCharType="separate"/>
      </w:r>
      <w:r>
        <w:t>4.4.1</w:t>
      </w:r>
      <w:r>
        <w:fldChar w:fldCharType="end"/>
      </w:r>
      <w:r>
        <w:t xml:space="preserve">. Also, </w:t>
      </w:r>
      <w:r w:rsidRPr="00883125">
        <w:t xml:space="preserve">McKenzie and Partington's report for the Queensland Resources Council </w:t>
      </w:r>
      <w:r>
        <w:t xml:space="preserve">also </w:t>
      </w:r>
      <w:r w:rsidRPr="00883125">
        <w:t>suggested that it is reasonable to have regard to other classes of evidence</w:t>
      </w:r>
      <w:r>
        <w:t xml:space="preserve">. 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96">
    <w:p w:rsidR="00881794" w:rsidRDefault="00881794">
      <w:pPr>
        <w:pStyle w:val="FootnoteText"/>
      </w:pPr>
      <w:r>
        <w:rPr>
          <w:rStyle w:val="FootnoteReference"/>
        </w:rPr>
        <w:footnoteRef/>
      </w:r>
      <w:r>
        <w:t xml:space="preserve"> </w:t>
      </w:r>
      <w:r>
        <w:tab/>
        <w:t xml:space="preserve">SA Centre for Economic Studies suggested this in a </w:t>
      </w:r>
      <w:r w:rsidRPr="00883125">
        <w:t>report for the South Australian Council of Social Service</w:t>
      </w:r>
      <w:r>
        <w:t>.</w:t>
      </w:r>
      <w:r w:rsidRPr="00883125">
        <w:t xml:space="preserve"> </w:t>
      </w:r>
      <w:r>
        <w:t xml:space="preserve">See 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97">
    <w:p w:rsidR="00881794" w:rsidRDefault="00881794">
      <w:pPr>
        <w:pStyle w:val="FootnoteText"/>
      </w:pPr>
      <w:r>
        <w:rPr>
          <w:rStyle w:val="FootnoteReference"/>
        </w:rPr>
        <w:footnoteRef/>
      </w:r>
      <w:r>
        <w:t xml:space="preserve"> </w:t>
      </w:r>
      <w:r>
        <w:tab/>
      </w:r>
      <w:r w:rsidRPr="00CE62A1">
        <w:t xml:space="preserve">R. Officer, 'The cost of capital of a company under an imputation system', </w:t>
      </w:r>
      <w:r w:rsidRPr="00CE62A1">
        <w:rPr>
          <w:rStyle w:val="AERtextitalic"/>
        </w:rPr>
        <w:t>Accounting and finance</w:t>
      </w:r>
      <w:r w:rsidRPr="00CE62A1">
        <w:t>, vol. 34(1), May 1994, pg</w:t>
      </w:r>
      <w:r w:rsidRPr="005764F6">
        <w:t>. </w:t>
      </w:r>
      <w:r w:rsidRPr="00CE62A1">
        <w:t>8.</w:t>
      </w:r>
    </w:p>
  </w:footnote>
  <w:footnote w:id="98">
    <w:p w:rsidR="00881794" w:rsidRDefault="00881794" w:rsidP="00883125">
      <w:pPr>
        <w:pStyle w:val="FootnoteText"/>
      </w:pPr>
      <w:r>
        <w:rPr>
          <w:rStyle w:val="FootnoteReference"/>
        </w:rPr>
        <w:footnoteRef/>
      </w:r>
      <w:r>
        <w:t xml:space="preserve"> </w:t>
      </w:r>
      <w:r>
        <w:tab/>
        <w:t xml:space="preserve">We note that there may be a very small diminution in value from face value due to the time value of money. However, we consider this immaterial for the reasons discussed in section </w:t>
      </w:r>
      <w:r>
        <w:fldChar w:fldCharType="begin"/>
      </w:r>
      <w:r>
        <w:instrText xml:space="preserve"> REF _Ref414099389 \r \h </w:instrText>
      </w:r>
      <w:r>
        <w:fldChar w:fldCharType="separate"/>
      </w:r>
      <w:r>
        <w:t>A.8.3</w:t>
      </w:r>
      <w:r>
        <w:fldChar w:fldCharType="end"/>
      </w:r>
      <w:r>
        <w:t>.</w:t>
      </w:r>
    </w:p>
  </w:footnote>
  <w:footnote w:id="99">
    <w:p w:rsidR="00881794" w:rsidRDefault="00881794" w:rsidP="00856171">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100">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101">
    <w:p w:rsidR="00881794" w:rsidRDefault="00881794" w:rsidP="00856171">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A.10</w:t>
      </w:r>
      <w:r>
        <w:fldChar w:fldCharType="end"/>
      </w:r>
      <w:r w:rsidRPr="007F4E38">
        <w:t xml:space="preserve"> of </w:t>
      </w:r>
      <w:r>
        <w:t>appendix A.</w:t>
      </w:r>
    </w:p>
  </w:footnote>
  <w:footnote w:id="102">
    <w:p w:rsidR="00881794" w:rsidRDefault="00881794" w:rsidP="00856171">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103">
    <w:p w:rsidR="00881794" w:rsidRDefault="00881794" w:rsidP="00856171">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04">
    <w:p w:rsidR="00881794" w:rsidRDefault="00881794" w:rsidP="00856171">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05">
    <w:p w:rsidR="00881794" w:rsidRDefault="00881794" w:rsidP="00856171">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t>A.10</w:t>
      </w:r>
      <w:r>
        <w:fldChar w:fldCharType="end"/>
      </w:r>
      <w:r>
        <w:t xml:space="preserve"> of appendix A. NERA, </w:t>
      </w:r>
      <w:r w:rsidRPr="001763FD">
        <w:rPr>
          <w:rStyle w:val="AERtextitalic"/>
        </w:rPr>
        <w:t>Estimating distribution and redemption rates from taxation statistics</w:t>
      </w:r>
      <w:r>
        <w:t xml:space="preserve">, March 2015. 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106">
    <w:p w:rsidR="00881794" w:rsidRDefault="00881794" w:rsidP="00856171">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pp. 7, 18-19.</w:t>
      </w:r>
    </w:p>
  </w:footnote>
  <w:footnote w:id="107">
    <w:p w:rsidR="00881794" w:rsidRDefault="00881794" w:rsidP="00856171">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 7.</w:t>
      </w:r>
    </w:p>
  </w:footnote>
  <w:footnote w:id="108">
    <w:p w:rsidR="00881794" w:rsidRDefault="00881794" w:rsidP="00856171">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09">
    <w:p w:rsidR="00881794" w:rsidRDefault="00881794" w:rsidP="00856171">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t>A.10</w:t>
      </w:r>
      <w:r>
        <w:fldChar w:fldCharType="end"/>
      </w:r>
      <w:r>
        <w:t xml:space="preserve"> for more detail.</w:t>
      </w:r>
    </w:p>
  </w:footnote>
  <w:footnote w:id="110">
    <w:p w:rsidR="00881794" w:rsidRDefault="00881794" w:rsidP="00856171">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t>A.10</w:t>
      </w:r>
      <w:r>
        <w:fldChar w:fldCharType="end"/>
      </w:r>
      <w:r>
        <w:t xml:space="preserve"> of appendix A. </w:t>
      </w:r>
    </w:p>
  </w:footnote>
  <w:footnote w:id="111">
    <w:p w:rsidR="00881794" w:rsidRDefault="00881794" w:rsidP="000E7689">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112">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113">
    <w:p w:rsidR="00881794" w:rsidRDefault="00881794" w:rsidP="003F1D6B">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114">
    <w:p w:rsidR="00881794" w:rsidRDefault="00881794">
      <w:pPr>
        <w:pStyle w:val="FootnoteText"/>
      </w:pPr>
      <w:r>
        <w:rPr>
          <w:rStyle w:val="FootnoteReference"/>
        </w:rPr>
        <w:footnoteRef/>
      </w:r>
      <w:r>
        <w:t xml:space="preserve"> </w:t>
      </w:r>
      <w:r>
        <w:tab/>
      </w:r>
      <w:r w:rsidRPr="005764F6">
        <w:rPr>
          <w:rStyle w:val="FootnoteReference"/>
          <w:vertAlign w:val="baseline"/>
        </w:rPr>
        <w:t xml:space="preserve">Lally's view on this issue appears consistent with the views of Gray. See Frontier Economics, </w:t>
      </w:r>
      <w:r w:rsidRPr="00CE62A1">
        <w:rPr>
          <w:rStyle w:val="AERtextitalic"/>
        </w:rPr>
        <w:t>An appropriate regulatory estimate of gamma</w:t>
      </w:r>
      <w:r w:rsidRPr="005764F6">
        <w:rPr>
          <w:rStyle w:val="FootnoteReference"/>
          <w:vertAlign w:val="baseline"/>
        </w:rPr>
        <w:t>, June 2015, pp. 12–13.</w:t>
      </w:r>
    </w:p>
  </w:footnote>
  <w:footnote w:id="115">
    <w:p w:rsidR="00881794" w:rsidRDefault="00881794" w:rsidP="009F6E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116">
    <w:p w:rsidR="00881794" w:rsidRDefault="00881794" w:rsidP="00856171">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17">
    <w:p w:rsidR="00881794" w:rsidRDefault="00881794" w:rsidP="00856171">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A.8.1</w:t>
      </w:r>
      <w:r>
        <w:fldChar w:fldCharType="end"/>
      </w:r>
      <w:r>
        <w:t xml:space="preserve"> of appendix A.</w:t>
      </w:r>
    </w:p>
  </w:footnote>
  <w:footnote w:id="118">
    <w:p w:rsidR="00881794" w:rsidRDefault="00881794" w:rsidP="00856171">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p>
  </w:footnote>
  <w:footnote w:id="119">
    <w:p w:rsidR="00881794" w:rsidRDefault="00881794">
      <w:pPr>
        <w:pStyle w:val="FootnoteText"/>
      </w:pPr>
      <w:r>
        <w:rPr>
          <w:rStyle w:val="FootnoteReference"/>
        </w:rPr>
        <w:footnoteRef/>
      </w:r>
      <w:r>
        <w:t xml:space="preserve"> </w:t>
      </w:r>
      <w:r>
        <w:tab/>
        <w:t>Personal tax is levied on the gross dividend which is the sum of the face value of the franked dividend and the face vlaue of the imputation credit.</w:t>
      </w:r>
    </w:p>
  </w:footnote>
  <w:footnote w:id="120">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21">
    <w:p w:rsidR="00881794" w:rsidRDefault="00881794" w:rsidP="0085617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122">
    <w:p w:rsidR="00881794" w:rsidRDefault="00881794" w:rsidP="00856171">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A.11</w:t>
      </w:r>
      <w:r>
        <w:fldChar w:fldCharType="end"/>
      </w:r>
      <w:r>
        <w:t xml:space="preserve"> of appendix A.</w:t>
      </w:r>
    </w:p>
  </w:footnote>
  <w:footnote w:id="123">
    <w:p w:rsidR="00881794" w:rsidRDefault="00881794" w:rsidP="00856171">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124">
    <w:p w:rsidR="00881794" w:rsidRDefault="00881794">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1048.</w:t>
      </w:r>
    </w:p>
  </w:footnote>
  <w:footnote w:id="125">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  23.</w:t>
      </w:r>
    </w:p>
  </w:footnote>
  <w:footnote w:id="126">
    <w:p w:rsidR="00881794" w:rsidRDefault="00881794" w:rsidP="004F21F7">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127">
    <w:p w:rsidR="00881794" w:rsidRDefault="00881794" w:rsidP="00856171">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128">
    <w:p w:rsidR="00881794" w:rsidRDefault="00881794" w:rsidP="0085617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29">
    <w:p w:rsidR="00881794" w:rsidRDefault="00881794" w:rsidP="0085617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Also see </w:t>
      </w:r>
      <w:r w:rsidRPr="00712BC2">
        <w:t xml:space="preserve">M. Lally, </w:t>
      </w:r>
      <w:r>
        <w:rPr>
          <w:rStyle w:val="AERtextitalic"/>
        </w:rPr>
        <w:t>Gamma and the ACT Decision</w:t>
      </w:r>
      <w:r>
        <w:t>, May 2016, p. 4–5.</w:t>
      </w:r>
    </w:p>
  </w:footnote>
  <w:footnote w:id="130">
    <w:p w:rsidR="00881794" w:rsidRDefault="00881794" w:rsidP="0085617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t>, 25</w:t>
      </w:r>
      <w:r w:rsidRPr="00582678">
        <w:t xml:space="preserve"> November 2013</w:t>
      </w:r>
      <w:r>
        <w:t xml:space="preserve">, p. 4. Also see </w:t>
      </w:r>
      <w:r w:rsidRPr="00712BC2">
        <w:t xml:space="preserve">M. Lally, </w:t>
      </w:r>
      <w:r>
        <w:rPr>
          <w:rStyle w:val="AERtextitalic"/>
        </w:rPr>
        <w:t>Gamma and the ACT Decision</w:t>
      </w:r>
      <w:r>
        <w:t>, May 2016, p. 4–5.</w:t>
      </w:r>
    </w:p>
  </w:footnote>
  <w:footnote w:id="131">
    <w:p w:rsidR="00881794" w:rsidRDefault="00881794" w:rsidP="00856171">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132">
    <w:p w:rsidR="00881794" w:rsidRDefault="00881794" w:rsidP="00856171">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133">
    <w:p w:rsidR="00881794" w:rsidRDefault="00881794" w:rsidP="00856171">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A.9.1</w:t>
      </w:r>
      <w:r>
        <w:fldChar w:fldCharType="end"/>
      </w:r>
      <w:r>
        <w:t xml:space="preserve"> of appendix A.</w:t>
      </w:r>
    </w:p>
  </w:footnote>
  <w:footnote w:id="134">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 26, 30.</w:t>
      </w:r>
    </w:p>
  </w:footnote>
  <w:footnote w:id="135">
    <w:p w:rsidR="00881794" w:rsidRDefault="00881794" w:rsidP="00856171">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136">
    <w:p w:rsidR="00881794" w:rsidRDefault="00881794" w:rsidP="00856171">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137">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 25.</w:t>
      </w:r>
    </w:p>
  </w:footnote>
  <w:footnote w:id="138">
    <w:p w:rsidR="00881794" w:rsidRDefault="00881794" w:rsidP="00856171">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p>
  </w:footnote>
  <w:footnote w:id="139">
    <w:p w:rsidR="00881794" w:rsidRDefault="00881794" w:rsidP="0085617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40">
    <w:p w:rsidR="00881794" w:rsidRDefault="00881794" w:rsidP="0085617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141">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w:t>
      </w:r>
    </w:p>
  </w:footnote>
  <w:footnote w:id="142">
    <w:p w:rsidR="00881794" w:rsidRDefault="00881794" w:rsidP="0085617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43">
    <w:p w:rsidR="00881794" w:rsidRDefault="00881794" w:rsidP="0085617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44">
    <w:p w:rsidR="00881794" w:rsidRDefault="00881794" w:rsidP="00375E4D">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45">
    <w:p w:rsidR="00881794" w:rsidRDefault="00881794" w:rsidP="00856171">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46">
    <w:p w:rsidR="00881794" w:rsidRDefault="00881794" w:rsidP="00856171">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147">
    <w:p w:rsidR="00881794" w:rsidRDefault="00881794" w:rsidP="0085617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148">
    <w:p w:rsidR="00881794" w:rsidRDefault="00881794" w:rsidP="0085617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12 March 2014, pp. 35–38.</w:t>
      </w:r>
    </w:p>
  </w:footnote>
  <w:footnote w:id="149">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 23, 31.</w:t>
      </w:r>
    </w:p>
  </w:footnote>
  <w:footnote w:id="150">
    <w:p w:rsidR="00881794" w:rsidRDefault="00881794" w:rsidP="00856171">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151">
    <w:p w:rsidR="00881794" w:rsidRDefault="00881794" w:rsidP="0085617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52">
    <w:p w:rsidR="00881794" w:rsidRDefault="00881794" w:rsidP="00856171">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xml:space="preserve">, p. 21. </w:t>
      </w:r>
    </w:p>
  </w:footnote>
  <w:footnote w:id="153">
    <w:p w:rsidR="00881794" w:rsidRDefault="00881794" w:rsidP="00856171">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154">
    <w:p w:rsidR="00881794" w:rsidRDefault="00881794" w:rsidP="00856171">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55">
    <w:p w:rsidR="00881794" w:rsidRDefault="00881794" w:rsidP="00856171">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56">
    <w:p w:rsidR="00881794" w:rsidRDefault="00881794" w:rsidP="0085617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33.</w:t>
      </w:r>
    </w:p>
  </w:footnote>
  <w:footnote w:id="157">
    <w:p w:rsidR="00881794" w:rsidRDefault="00881794" w:rsidP="0085617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58">
    <w:p w:rsidR="00881794" w:rsidRDefault="00881794" w:rsidP="00856171">
      <w:pPr>
        <w:pStyle w:val="FootnoteText"/>
      </w:pPr>
      <w:r>
        <w:rPr>
          <w:rStyle w:val="FootnoteReference"/>
        </w:rPr>
        <w:footnoteRef/>
      </w:r>
      <w:r>
        <w:t xml:space="preserve"> </w:t>
      </w:r>
      <w:r>
        <w:tab/>
        <w:t>These service providers are Australian Gas Networks, ActewAGL Distribution, APTNT, JEN, AusNet Services, United Energy, CitiPower and Powercor.</w:t>
      </w:r>
    </w:p>
  </w:footnote>
  <w:footnote w:id="159">
    <w:p w:rsidR="00881794" w:rsidRDefault="00881794" w:rsidP="00856171">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CitiPower and Powercor, </w:t>
      </w:r>
      <w:r w:rsidRPr="00E82D06">
        <w:rPr>
          <w:rStyle w:val="AERtextitalic"/>
        </w:rPr>
        <w:t>CitiPower and Powercor 2016-2020 distribution determinations—Submission on implications of recent Australian Competition Tribunal decisions</w:t>
      </w:r>
      <w:r>
        <w:t>, 18 April 2016.</w:t>
      </w:r>
    </w:p>
  </w:footnote>
  <w:footnote w:id="160">
    <w:p w:rsidR="00881794" w:rsidRDefault="00881794" w:rsidP="00856171">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rPr>
          <w:rStyle w:val="AERtextitalic"/>
        </w:rPr>
        <w:t>Applications by Public Interest Advocacy Centre Ltd and Ausgrid [2016] ACompT 1</w:t>
      </w:r>
      <w:r>
        <w:t>, 26 February 2016, para 1(c).</w:t>
      </w:r>
    </w:p>
  </w:footnote>
  <w:footnote w:id="161">
    <w:p w:rsidR="00881794" w:rsidRDefault="00881794">
      <w:pPr>
        <w:pStyle w:val="FootnoteText"/>
      </w:pPr>
      <w:r>
        <w:rPr>
          <w:rStyle w:val="FootnoteReference"/>
        </w:rPr>
        <w:footnoteRef/>
      </w:r>
      <w:r>
        <w:t xml:space="preserve"> </w:t>
      </w:r>
      <w:r>
        <w:tab/>
      </w:r>
      <w:r w:rsidRPr="005764F6">
        <w:t xml:space="preserve">United Energy, </w:t>
      </w:r>
      <w:r w:rsidRPr="00CE62A1">
        <w:rPr>
          <w:rStyle w:val="AERtextitalic"/>
        </w:rPr>
        <w:t>Submission on AER preliminary determination - Submission on gamma</w:t>
      </w:r>
      <w:r w:rsidRPr="005764F6">
        <w:t xml:space="preserve">, 26 April 2016; CitiPower/Powercor, </w:t>
      </w:r>
      <w:r w:rsidRPr="00CE62A1">
        <w:rPr>
          <w:rStyle w:val="AERtextitalic"/>
        </w:rPr>
        <w:t>Submission on implications of recent Australian Competition Tribunal Decision</w:t>
      </w:r>
      <w:r w:rsidRPr="005764F6">
        <w:t xml:space="preserve">, 18 April 2016; ActewAGL, </w:t>
      </w:r>
      <w:r w:rsidRPr="00CE62A1">
        <w:rPr>
          <w:rStyle w:val="AERtextitalic"/>
        </w:rPr>
        <w:t>Implication of recent Tribunal decisions for final decision and updates to the allowed rate of return and forecast inflation estimate</w:t>
      </w:r>
      <w:r w:rsidRPr="005764F6">
        <w:t>, 12 May 2016.</w:t>
      </w:r>
    </w:p>
  </w:footnote>
  <w:footnote w:id="162">
    <w:p w:rsidR="00881794" w:rsidRDefault="00881794">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2, 4, 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163">
    <w:p w:rsidR="00881794" w:rsidRDefault="00881794">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1095</w:t>
      </w:r>
      <w:r w:rsidRPr="005764F6">
        <w:t>.</w:t>
      </w:r>
    </w:p>
  </w:footnote>
  <w:footnote w:id="164">
    <w:p w:rsidR="00881794" w:rsidRDefault="00881794">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January 2016, pp. 353-354.</w:t>
      </w:r>
    </w:p>
  </w:footnote>
  <w:footnote w:id="165">
    <w:p w:rsidR="00881794" w:rsidRDefault="00881794" w:rsidP="00195F3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Also see </w:t>
      </w:r>
      <w:r w:rsidRPr="005764F6">
        <w:t xml:space="preserve">HoustonKemp, </w:t>
      </w:r>
      <w:r w:rsidRPr="00195F35">
        <w:rPr>
          <w:rStyle w:val="AERtextitalic"/>
        </w:rPr>
        <w:t>A response to the Australian Energy Regulator Draft Decision on Austra</w:t>
      </w:r>
      <w:r w:rsidRPr="001A60DE">
        <w:rPr>
          <w:rStyle w:val="AERtextitalic"/>
        </w:rPr>
        <w:t>lian Gas Networks AA2016 Revenue Reset</w:t>
      </w:r>
      <w:r w:rsidRPr="005764F6">
        <w:t>, February 2016, p. 35.</w:t>
      </w:r>
    </w:p>
  </w:footnote>
  <w:footnote w:id="166">
    <w:p w:rsidR="00881794" w:rsidRDefault="00881794">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1106.</w:t>
      </w:r>
    </w:p>
  </w:footnote>
  <w:footnote w:id="167">
    <w:p w:rsidR="00881794" w:rsidRDefault="00881794">
      <w:pPr>
        <w:pStyle w:val="FootnoteText"/>
      </w:pPr>
      <w:r>
        <w:rPr>
          <w:rStyle w:val="FootnoteReference"/>
        </w:rPr>
        <w:footnoteRef/>
      </w:r>
      <w:r>
        <w:t xml:space="preserve"> </w:t>
      </w:r>
      <w:r>
        <w:tab/>
      </w:r>
      <w:r w:rsidRPr="00CC0A37">
        <w:t xml:space="preserve">Australian Gas Networks, </w:t>
      </w:r>
      <w:r w:rsidRPr="00CC0A37">
        <w:rPr>
          <w:rStyle w:val="AERtextitalic"/>
        </w:rPr>
        <w:t>Attachment 11 Response to Draft Decision: Cost of Tax</w:t>
      </w:r>
      <w:r>
        <w:t xml:space="preserve">, January 2016, </w:t>
      </w:r>
      <w:r w:rsidRPr="00CC0A37">
        <w:t>p. </w:t>
      </w:r>
      <w:r>
        <w:t>4</w:t>
      </w:r>
      <w:r w:rsidRPr="00CC0A37">
        <w:t xml:space="preserve">; ActewAGL, </w:t>
      </w:r>
      <w:r w:rsidRPr="00CC0A37">
        <w:rPr>
          <w:rStyle w:val="AERtextitalic"/>
        </w:rPr>
        <w:t>Appendix 5.01 Detailed response to rate of return, gamma and inflation</w:t>
      </w:r>
      <w:r w:rsidRPr="00CC0A37">
        <w:t>, January 2016, pp</w:t>
      </w:r>
      <w:r>
        <w:t>. 41, 111, 128</w:t>
      </w:r>
      <w:r w:rsidRPr="00CC0A37">
        <w:t xml:space="preserve">; AusNet Electricity Services, </w:t>
      </w:r>
      <w:r w:rsidRPr="00CC0A37">
        <w:rPr>
          <w:rStyle w:val="AERtextitalic"/>
        </w:rPr>
        <w:t>Revised Regulatory Proposal</w:t>
      </w:r>
      <w:r w:rsidRPr="00CC0A37">
        <w:t>, January 2016, pp. </w:t>
      </w:r>
      <w:r>
        <w:t>7-81, 7-95</w:t>
      </w:r>
      <w:r w:rsidRPr="00CC0A37">
        <w:t xml:space="preserve">; United Energy, </w:t>
      </w:r>
      <w:r w:rsidRPr="00CC0A37">
        <w:rPr>
          <w:rStyle w:val="AERtextitalic"/>
        </w:rPr>
        <w:t>Response to AER Preliminary Determination Re: Rate of return and gamma</w:t>
      </w:r>
      <w:r w:rsidRPr="00CC0A37">
        <w:t>, January 2016, pp. </w:t>
      </w:r>
      <w:r>
        <w:t>82, 96</w:t>
      </w:r>
      <w:r w:rsidRPr="00CC0A37">
        <w:t xml:space="preserve">; CitiPower, </w:t>
      </w:r>
      <w:r w:rsidRPr="00CC0A37">
        <w:rPr>
          <w:rStyle w:val="AERtextitalic"/>
        </w:rPr>
        <w:t>Revised Regulatory Proposal 2016-2020</w:t>
      </w:r>
      <w:r w:rsidRPr="00CC0A37">
        <w:t>; January 2016, pp. 36</w:t>
      </w:r>
      <w:r>
        <w:t>0-374</w:t>
      </w:r>
      <w:r w:rsidRPr="00CC0A37">
        <w:t xml:space="preserve">; Jemena Electricity Networks, </w:t>
      </w:r>
      <w:r w:rsidRPr="00CC0A37">
        <w:rPr>
          <w:rStyle w:val="AERtextitalic"/>
        </w:rPr>
        <w:t>Attachment 6-1 Rate of return, gamma, forecast inflation, and debt and equity raising costs</w:t>
      </w:r>
      <w:r w:rsidRPr="00CC0A37">
        <w:t>, January 2016, pp.</w:t>
      </w:r>
      <w:r>
        <w:t>88, 103</w:t>
      </w:r>
      <w:r w:rsidRPr="00CC0A37">
        <w:t xml:space="preserve">; Powercor, </w:t>
      </w:r>
      <w:r w:rsidRPr="00CC0A37">
        <w:rPr>
          <w:rStyle w:val="AERtextitalic"/>
        </w:rPr>
        <w:t>Revised Regulatory Proposal 2016-2020</w:t>
      </w:r>
      <w:r w:rsidRPr="00CC0A37">
        <w:t>, January 2016, pp. </w:t>
      </w:r>
      <w:r>
        <w:t>354, 368</w:t>
      </w:r>
      <w:r w:rsidRPr="00CC0A37">
        <w:t>.</w:t>
      </w:r>
    </w:p>
  </w:footnote>
  <w:footnote w:id="168">
    <w:p w:rsidR="00881794" w:rsidRDefault="00881794">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10-11;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84-85; CitiPower, </w:t>
      </w:r>
      <w:r w:rsidRPr="00AF5B33">
        <w:rPr>
          <w:rStyle w:val="AERtextitalic"/>
        </w:rPr>
        <w:t>Revised Regulatory Proposal 2016-2020</w:t>
      </w:r>
      <w:r>
        <w:t xml:space="preserve">; January 2016, pp. 362-363;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pp. 356-357.</w:t>
      </w:r>
    </w:p>
  </w:footnote>
  <w:footnote w:id="169">
    <w:p w:rsidR="00881794" w:rsidRDefault="00881794">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xml:space="preserve">, 26 February 2016, paras. 1048, </w:t>
      </w:r>
      <w:r w:rsidRPr="005764F6">
        <w:t>1090, 1092.</w:t>
      </w:r>
    </w:p>
  </w:footnote>
  <w:footnote w:id="170">
    <w:p w:rsidR="00881794" w:rsidRDefault="00881794">
      <w:pPr>
        <w:pStyle w:val="FootnoteText"/>
      </w:pPr>
      <w:r>
        <w:rPr>
          <w:rStyle w:val="FootnoteReference"/>
        </w:rPr>
        <w:footnoteRef/>
      </w:r>
      <w:r>
        <w:t xml:space="preserve"> </w:t>
      </w:r>
      <w:r>
        <w:tab/>
      </w:r>
      <w:r w:rsidRPr="00CE62A1">
        <w:t xml:space="preserve">M. Lally, </w:t>
      </w:r>
      <w:r w:rsidRPr="00CE62A1">
        <w:rPr>
          <w:rStyle w:val="AERtextitalic"/>
        </w:rPr>
        <w:t>Gamma and the ACT Decision</w:t>
      </w:r>
      <w:r w:rsidRPr="00CE62A1">
        <w:t>, May 2016, p. 21.</w:t>
      </w:r>
    </w:p>
  </w:footnote>
  <w:footnote w:id="171">
    <w:p w:rsidR="00881794" w:rsidRDefault="00881794" w:rsidP="00177CB7">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w:t>
      </w:r>
      <w:r w:rsidRPr="00D20C5C">
        <w:t xml:space="preserve">Australian Competition Tribunal, </w:t>
      </w:r>
      <w:r w:rsidRPr="00D20C5C">
        <w:rPr>
          <w:rStyle w:val="AERtextitalic"/>
        </w:rPr>
        <w:t>Application by Public Interest Advocacy Centre Ltd and Ausgrid [2016] ACompT 1</w:t>
      </w:r>
      <w:r w:rsidRPr="00D20C5C">
        <w:t xml:space="preserve">, </w:t>
      </w:r>
      <w:r>
        <w:t>26 February 2016</w:t>
      </w:r>
      <w:r w:rsidRPr="00D20C5C">
        <w:t>, para</w:t>
      </w:r>
      <w:r>
        <w:t>. 1095</w:t>
      </w:r>
      <w:r w:rsidRPr="00243100">
        <w:rPr>
          <w:rStyle w:val="AERtexthighlight"/>
          <w:shd w:val="clear" w:color="auto" w:fill="auto"/>
        </w:rPr>
        <w:t>.</w:t>
      </w:r>
    </w:p>
  </w:footnote>
  <w:footnote w:id="172">
    <w:p w:rsidR="00881794" w:rsidRDefault="00881794">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 356.</w:t>
      </w:r>
    </w:p>
  </w:footnote>
  <w:footnote w:id="173">
    <w:p w:rsidR="00881794" w:rsidRDefault="00881794">
      <w:pPr>
        <w:pStyle w:val="FootnoteText"/>
      </w:pPr>
      <w:r>
        <w:rPr>
          <w:rStyle w:val="FootnoteReference"/>
        </w:rPr>
        <w:footnoteRef/>
      </w:r>
      <w:r>
        <w:t xml:space="preserve"> </w:t>
      </w:r>
      <w:r>
        <w:tab/>
      </w:r>
      <w:r w:rsidRPr="002D5177">
        <w:t xml:space="preserve">United Energy, </w:t>
      </w:r>
      <w:r w:rsidRPr="002D5177">
        <w:rPr>
          <w:rStyle w:val="AERtextitalic"/>
        </w:rPr>
        <w:t>Submission on AER preliminary determination - Submission on gamma</w:t>
      </w:r>
      <w:r w:rsidRPr="002D5177">
        <w:t xml:space="preserve">, 26 April 2016; Australian Gas Networks, </w:t>
      </w:r>
      <w:r w:rsidRPr="002D5177">
        <w:rPr>
          <w:rStyle w:val="AERtextitalic"/>
        </w:rPr>
        <w:t>Attachment 11 Response to Draft Decision: Cost of Tax</w:t>
      </w:r>
      <w:r w:rsidRPr="002D5177">
        <w:t xml:space="preserve">, January 2016, pp. 10-11; ActewAGL, </w:t>
      </w:r>
      <w:r w:rsidRPr="002D5177">
        <w:rPr>
          <w:rStyle w:val="AERtextitalic"/>
        </w:rPr>
        <w:t>Appendix 5.01 Detailed response to rate of return, gamma and inflation</w:t>
      </w:r>
      <w:r w:rsidRPr="002D5177">
        <w:t xml:space="preserve">, January 2016, p. 114; AusNet Electricity Services, </w:t>
      </w:r>
      <w:r w:rsidRPr="002D5177">
        <w:rPr>
          <w:rStyle w:val="AERtextitalic"/>
        </w:rPr>
        <w:t>Revised Regulatory Proposal</w:t>
      </w:r>
      <w:r w:rsidRPr="002D5177">
        <w:t xml:space="preserve">, January 2016, pp. 7-83, 7-84; United Energy, </w:t>
      </w:r>
      <w:r w:rsidRPr="002D5177">
        <w:rPr>
          <w:rStyle w:val="AERtextitalic"/>
        </w:rPr>
        <w:t>Response to AER Preliminary Determination Re: Rate of return and gamma</w:t>
      </w:r>
      <w:r w:rsidRPr="002D5177">
        <w:t xml:space="preserve">, January 2016, p. 85; CitiPower, </w:t>
      </w:r>
      <w:r w:rsidRPr="002D5177">
        <w:rPr>
          <w:rStyle w:val="AERtextitalic"/>
        </w:rPr>
        <w:t>Revised Regulatory Proposal 2016-2020</w:t>
      </w:r>
      <w:r w:rsidRPr="002D5177">
        <w:t xml:space="preserve">; January 2016, pp. 362-363; Jemena Electricity Networks, </w:t>
      </w:r>
      <w:r w:rsidRPr="002D5177">
        <w:rPr>
          <w:rStyle w:val="AERtextitalic"/>
        </w:rPr>
        <w:t>Attachment 6-1 Rate of return, gamma, forecast inflation, and debt and equity raising costs</w:t>
      </w:r>
      <w:r w:rsidRPr="002D5177">
        <w:t xml:space="preserve">, January 2016, p. 91; Powercor, </w:t>
      </w:r>
      <w:r w:rsidRPr="002D5177">
        <w:rPr>
          <w:rStyle w:val="AERtextitalic"/>
        </w:rPr>
        <w:t>Revised Regulatory Proposal 2016-2020</w:t>
      </w:r>
      <w:r w:rsidRPr="002D5177">
        <w:t xml:space="preserve">, January 2016, pp. 356-357; Australian Competition Tribunal, </w:t>
      </w:r>
      <w:r w:rsidRPr="002D5177">
        <w:rPr>
          <w:rStyle w:val="AERtextitalic"/>
        </w:rPr>
        <w:t>Application by Public Interest Advocacy Centre Ltd and Ausgrid [2016] ACompT 1</w:t>
      </w:r>
      <w:r w:rsidRPr="002D5177">
        <w:t>, 26 February 2016, para. 1095.</w:t>
      </w:r>
    </w:p>
  </w:footnote>
  <w:footnote w:id="174">
    <w:p w:rsidR="00881794" w:rsidRDefault="00881794">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17-18; ActewAGL, </w:t>
      </w:r>
      <w:r w:rsidRPr="00AF5B33">
        <w:rPr>
          <w:rStyle w:val="AERtextitalic"/>
        </w:rPr>
        <w:t>Appendix 5.01 Detailed response to rate of return, gamma and inflation</w:t>
      </w:r>
      <w:r>
        <w:t xml:space="preserve">, January 2016, pp. 121-122; AusNet Electricity Services, </w:t>
      </w:r>
      <w:r w:rsidRPr="00AF5B33">
        <w:rPr>
          <w:rStyle w:val="AERtextitalic"/>
        </w:rPr>
        <w:t>Revised Regulatory Proposal</w:t>
      </w:r>
      <w:r>
        <w:t xml:space="preserve">, January 2016, pp. 7-90–7-91; United Energy, </w:t>
      </w:r>
      <w:r w:rsidRPr="00AF5B33">
        <w:rPr>
          <w:rStyle w:val="AERtextitalic"/>
        </w:rPr>
        <w:t>Response to AER Preliminary Determination Re: Rate of return and gamma</w:t>
      </w:r>
      <w:r>
        <w:t xml:space="preserve">, January 2016, pp. 91–92; CitiPower, </w:t>
      </w:r>
      <w:r w:rsidRPr="00AF5B33">
        <w:rPr>
          <w:rStyle w:val="AERtextitalic"/>
        </w:rPr>
        <w:t>Revised Regulatory Proposal 2016-2020</w:t>
      </w:r>
      <w:r>
        <w:t xml:space="preserve">; January 2016, pp. 369-370; Jemena Electricity Networks, </w:t>
      </w:r>
      <w:r w:rsidRPr="00AF5B33">
        <w:rPr>
          <w:rStyle w:val="AERtextitalic"/>
        </w:rPr>
        <w:t>Attachment 6-1 Rate of return, gamma, forecast inflation, and debt and equity raising costs</w:t>
      </w:r>
      <w:r>
        <w:t xml:space="preserve">, January 2016, pp. 98-99; Powercor, </w:t>
      </w:r>
      <w:r w:rsidRPr="00AF5B33">
        <w:rPr>
          <w:rStyle w:val="AERtextitalic"/>
        </w:rPr>
        <w:t>Revised Regulatory Proposal 2016-2020</w:t>
      </w:r>
      <w:r>
        <w:t>, January 2016, pp. 363-364.</w:t>
      </w:r>
    </w:p>
  </w:footnote>
  <w:footnote w:id="175">
    <w:p w:rsidR="00881794" w:rsidRDefault="00881794">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18-19; ActewAGL, </w:t>
      </w:r>
      <w:r w:rsidRPr="00AF5B33">
        <w:rPr>
          <w:rStyle w:val="AERtextitalic"/>
        </w:rPr>
        <w:t>Appendix 5.01 Detailed response to rate of return, gamma and inflation</w:t>
      </w:r>
      <w:r>
        <w:t xml:space="preserve">, January 2016, pp. 123-124; AusNet Electricity Services, </w:t>
      </w:r>
      <w:r w:rsidRPr="00AF5B33">
        <w:rPr>
          <w:rStyle w:val="AERtextitalic"/>
        </w:rPr>
        <w:t>Revised Regulatory Proposal</w:t>
      </w:r>
      <w:r>
        <w:t xml:space="preserve">, January 2016, pp. 7-91–7-92; United Energy, </w:t>
      </w:r>
      <w:r w:rsidRPr="00AF5B33">
        <w:rPr>
          <w:rStyle w:val="AERtextitalic"/>
        </w:rPr>
        <w:t>Response to AER Preliminary Determination Re: Rate of return and gamma</w:t>
      </w:r>
      <w:r>
        <w:t xml:space="preserve">, January 2016, pp. 92–93; CitiPower, </w:t>
      </w:r>
      <w:r w:rsidRPr="00AF5B33">
        <w:rPr>
          <w:rStyle w:val="AERtextitalic"/>
        </w:rPr>
        <w:t>Revised Regulatory Proposal 2016-2020</w:t>
      </w:r>
      <w:r>
        <w:t xml:space="preserve">; January 2016, pp. 370-371; Jemena Electricity Networks, </w:t>
      </w:r>
      <w:r w:rsidRPr="00AF5B33">
        <w:rPr>
          <w:rStyle w:val="AERtextitalic"/>
        </w:rPr>
        <w:t>Attachment 6-1 Rate of return, gamma, forecast inflation, and debt and equity raising costs</w:t>
      </w:r>
      <w:r>
        <w:t xml:space="preserve">, January 2016, pp. 99-100; Powercor, </w:t>
      </w:r>
      <w:r w:rsidRPr="00AF5B33">
        <w:rPr>
          <w:rStyle w:val="AERtextitalic"/>
        </w:rPr>
        <w:t>Revised Regulatory Proposal 2016-2020</w:t>
      </w:r>
      <w:r>
        <w:t>, January 2016, pp. 364-365.</w:t>
      </w:r>
    </w:p>
  </w:footnote>
  <w:footnote w:id="176">
    <w:p w:rsidR="00881794" w:rsidRDefault="00881794" w:rsidP="000D4ED8">
      <w:pPr>
        <w:pStyle w:val="FootnoteText"/>
      </w:pPr>
      <w:r>
        <w:rPr>
          <w:rStyle w:val="FootnoteReference"/>
        </w:rPr>
        <w:footnoteRef/>
      </w:r>
      <w:r>
        <w:t xml:space="preserve"> </w:t>
      </w:r>
      <w:r>
        <w:tab/>
      </w:r>
      <w:r w:rsidRPr="000D4ED8">
        <w:t xml:space="preserve">United Energy, </w:t>
      </w:r>
      <w:r w:rsidRPr="000D4ED8">
        <w:rPr>
          <w:rStyle w:val="AERtextitalic"/>
        </w:rPr>
        <w:t>Submission on AER preliminary determination - Submission on gamma</w:t>
      </w:r>
      <w:r w:rsidRPr="000D4ED8">
        <w:t>, 26 April 2016</w:t>
      </w:r>
      <w:r w:rsidRPr="005764F6">
        <w:t>.</w:t>
      </w:r>
    </w:p>
  </w:footnote>
  <w:footnote w:id="177">
    <w:p w:rsidR="00881794" w:rsidRDefault="00881794" w:rsidP="007F675F">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178">
    <w:p w:rsidR="00881794" w:rsidRDefault="00881794">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4, 20, 23; ActewAGL, </w:t>
      </w:r>
      <w:r w:rsidRPr="00AF5B33">
        <w:rPr>
          <w:rStyle w:val="AERtextitalic"/>
        </w:rPr>
        <w:t>Appendix 5.01 Detailed response to rate of return, gamma and inflation</w:t>
      </w:r>
      <w:r>
        <w:t xml:space="preserve">, January 2016, pp. 41, 115, 125; AusNet Electricity Services, </w:t>
      </w:r>
      <w:r w:rsidRPr="00AF5B33">
        <w:rPr>
          <w:rStyle w:val="AERtextitalic"/>
        </w:rPr>
        <w:t>Revised Regulatory Proposal</w:t>
      </w:r>
      <w:r>
        <w:t xml:space="preserve">, January 2016, pp. 7-84, 7-93, 7-107; United Energy, </w:t>
      </w:r>
      <w:r w:rsidRPr="00AF5B33">
        <w:rPr>
          <w:rStyle w:val="AERtextitalic"/>
        </w:rPr>
        <w:t>Response to AER Preliminary Determination Re: Rate of return and gamma</w:t>
      </w:r>
      <w:r>
        <w:t xml:space="preserve">, January 2016, pp. 86, 94, 97; CitiPower, </w:t>
      </w:r>
      <w:r w:rsidRPr="00AF5B33">
        <w:rPr>
          <w:rStyle w:val="AERtextitalic"/>
        </w:rPr>
        <w:t>Revised Regulatory Proposal 2016-2020</w:t>
      </w:r>
      <w:r>
        <w:t xml:space="preserve">; January 2016, pp. 364, 372, 375; Jemena Electricity Networks, </w:t>
      </w:r>
      <w:r w:rsidRPr="00AF5B33">
        <w:rPr>
          <w:rStyle w:val="AERtextitalic"/>
        </w:rPr>
        <w:t>Attachment 6-1 Rate of return, gamma, forecast inflation, and debt and equity raising costs</w:t>
      </w:r>
      <w:r>
        <w:t xml:space="preserve">, January 2016, pp. 92, 101, 104; Powercor, </w:t>
      </w:r>
      <w:r w:rsidRPr="00AF5B33">
        <w:rPr>
          <w:rStyle w:val="AERtextitalic"/>
        </w:rPr>
        <w:t>Revised Regulatory Proposal 2016-2020</w:t>
      </w:r>
      <w:r>
        <w:t xml:space="preserve">, January 2016, pp. 358, 366, 369; </w:t>
      </w:r>
      <w:r w:rsidRPr="008F5D24">
        <w:t>Australian Competition Tribunal, Application by Public Interest Advocacy Centre Ltd and Ausgrid [2016] ACompT 1, 26 February 2016, paras. 1048, 1090 and 1095</w:t>
      </w:r>
      <w:r>
        <w:t>.</w:t>
      </w:r>
    </w:p>
  </w:footnote>
  <w:footnote w:id="179">
    <w:p w:rsidR="00881794" w:rsidRDefault="00881794" w:rsidP="00EB3380">
      <w:pPr>
        <w:pStyle w:val="FootnoteText"/>
      </w:pPr>
      <w:r>
        <w:rPr>
          <w:rStyle w:val="FootnoteReference"/>
        </w:rPr>
        <w:footnoteRef/>
      </w:r>
      <w:r>
        <w:t xml:space="preserve"> </w:t>
      </w:r>
      <w:r>
        <w:tab/>
        <w:t xml:space="preserve">For an example of the correct use of the term "upper bound" see John. C. Hull, Options Futures and other Derivatives, Fourth Edition, 2000, p171. </w:t>
      </w:r>
    </w:p>
  </w:footnote>
  <w:footnote w:id="180">
    <w:p w:rsidR="00881794" w:rsidRDefault="00881794">
      <w:pPr>
        <w:pStyle w:val="FootnoteText"/>
      </w:pPr>
      <w:r>
        <w:rPr>
          <w:rStyle w:val="FootnoteReference"/>
        </w:rPr>
        <w:footnoteRef/>
      </w:r>
      <w:r>
        <w:t xml:space="preserve"> </w:t>
      </w:r>
      <w:r>
        <w:tab/>
      </w:r>
      <w:r w:rsidRPr="00345C01">
        <w:t xml:space="preserve">M. Lally, </w:t>
      </w:r>
      <w:r w:rsidRPr="00345C01">
        <w:rPr>
          <w:rStyle w:val="AERtextitalic"/>
        </w:rPr>
        <w:t>Gamma and the ACT Decision</w:t>
      </w:r>
      <w:r w:rsidRPr="00345C01">
        <w:t>, May 2016, p. 23.</w:t>
      </w:r>
    </w:p>
  </w:footnote>
  <w:footnote w:id="181">
    <w:p w:rsidR="00881794" w:rsidRDefault="00881794" w:rsidP="00460670">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pp. 41, 46;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pp. 364-365; Jemena Electricity Networks, </w:t>
      </w:r>
      <w:r w:rsidRPr="00AF5B33">
        <w:rPr>
          <w:rStyle w:val="AERtextitalic"/>
        </w:rPr>
        <w:t>Attachment 6-1 Rate of return, gamma, forecast inflation, and debt and equity raising costs</w:t>
      </w:r>
      <w:r>
        <w:t xml:space="preserve">, January 2016, pp. 92-93; Powercor, </w:t>
      </w:r>
      <w:r w:rsidRPr="00AF5B33">
        <w:rPr>
          <w:rStyle w:val="AERtextitalic"/>
        </w:rPr>
        <w:t>Revised Regulatory Proposal 2016-2020</w:t>
      </w:r>
      <w:r>
        <w:t xml:space="preserve">, January 2016, pp. 358-359; APNT, </w:t>
      </w:r>
      <w:r w:rsidRPr="00903ED1">
        <w:rPr>
          <w:rStyle w:val="AERtextitalic"/>
        </w:rPr>
        <w:t>Access Arrangement Revised Proposal to Draft Decision</w:t>
      </w:r>
      <w:r>
        <w:t>, January 2016, p. 93.</w:t>
      </w:r>
    </w:p>
  </w:footnote>
  <w:footnote w:id="182">
    <w:p w:rsidR="00881794" w:rsidRDefault="00881794" w:rsidP="007F675F">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1096.</w:t>
      </w:r>
    </w:p>
  </w:footnote>
  <w:footnote w:id="183">
    <w:p w:rsidR="00881794" w:rsidRDefault="00881794">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Frontier Economics, </w:t>
      </w:r>
      <w:r w:rsidRPr="00D14DE4">
        <w:rPr>
          <w:rStyle w:val="AERtextitalic"/>
        </w:rPr>
        <w:t>An appropriate regulatory estimate of gamma</w:t>
      </w:r>
      <w:r>
        <w:t>, June 2015, p. 33.</w:t>
      </w:r>
    </w:p>
  </w:footnote>
  <w:footnote w:id="184">
    <w:p w:rsidR="00881794" w:rsidRDefault="00881794" w:rsidP="00F871FB">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 ActewAGL, Appendix 5.01 Detailed response to rate of return, gamma and inflation, January 2016, p. 117; AusNet Electricity Services, Revised Regulatory Proposal, January 2016, p. 7-85; United Energy, Response to AER Preliminary Determination Re: Rate of return and gamma, January 2016, p. 87; CitiPower, Revised Regulatory Proposal 2016-2020; January 2016, p. 365; Jemena Electricity Networks, Attachment 6-1 Rate of return, gamma, forecast inflation, and debt and equity raising costs, January 2016, p. 93; Powercor, Revised Regulatory Proposal 2016-2020, January 2016, p. 359.</w:t>
      </w:r>
    </w:p>
  </w:footnote>
  <w:footnote w:id="185">
    <w:p w:rsidR="00881794" w:rsidRDefault="00881794">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4, 13, 22; ActewAGL, </w:t>
      </w:r>
      <w:r w:rsidRPr="005764F6">
        <w:rPr>
          <w:rStyle w:val="AERtextitalic"/>
        </w:rPr>
        <w:t>Appendix 5.01 Detailed response to rate of return, gamma and inflation</w:t>
      </w:r>
      <w:r>
        <w:t xml:space="preserve">, January 2016, pp. 41,117,127; AusNet Electricity Services, </w:t>
      </w:r>
      <w:r w:rsidRPr="005764F6">
        <w:rPr>
          <w:rStyle w:val="AERtextitalic"/>
        </w:rPr>
        <w:t>Revised Regulatory Proposal</w:t>
      </w:r>
      <w:r>
        <w:t xml:space="preserve">, January 2016, pp. 7-86, 7-94; United Energy, </w:t>
      </w:r>
      <w:r w:rsidRPr="005764F6">
        <w:rPr>
          <w:rStyle w:val="AERtextitalic"/>
        </w:rPr>
        <w:t>Response to AER Preliminary Determination Re: Rate of return and gamma</w:t>
      </w:r>
      <w:r>
        <w:t xml:space="preserve">, January 2016, pp. 87, 95; CitiPower, </w:t>
      </w:r>
      <w:r w:rsidRPr="005764F6">
        <w:rPr>
          <w:rStyle w:val="AERtextitalic"/>
        </w:rPr>
        <w:t>Revised Regulatory Proposal 2016-2020</w:t>
      </w:r>
      <w:r>
        <w:t xml:space="preserve">; January 2016, pp. 365, 373; Jemena Electricity Networks, </w:t>
      </w:r>
      <w:r w:rsidRPr="005764F6">
        <w:rPr>
          <w:rStyle w:val="AERtextitalic"/>
        </w:rPr>
        <w:t>Attachment 6-1 Rate of return, gamma, forecast inflation, and debt and equity raising costs</w:t>
      </w:r>
      <w:r>
        <w:t xml:space="preserve">, January 2016, pp. 94, 103; Powercor, </w:t>
      </w:r>
      <w:r w:rsidRPr="005764F6">
        <w:rPr>
          <w:rStyle w:val="AERtextitalic"/>
        </w:rPr>
        <w:t>Revised Regulatory Proposal 2016-2020</w:t>
      </w:r>
      <w:r>
        <w:t>, January 2016, pp. 359, 367.</w:t>
      </w:r>
    </w:p>
  </w:footnote>
  <w:footnote w:id="186">
    <w:p w:rsidR="00881794" w:rsidRDefault="00881794" w:rsidP="00F871FB">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13-14, 20; ActewAGL, Appendix 5.01 Detailed response to rate of return, gamma and inflation, January 2016, pp. 117-120, 125-12:  AusNet Electricity Services, </w:t>
      </w:r>
      <w:r w:rsidRPr="00793854">
        <w:rPr>
          <w:rStyle w:val="AERtextitalic"/>
        </w:rPr>
        <w:t>Revised Regulatory Proposal</w:t>
      </w:r>
      <w:r>
        <w:t xml:space="preserve">, January 2016, pp. 7-86, 7-87, 7-93; United Energy, </w:t>
      </w:r>
      <w:r w:rsidRPr="00793854">
        <w:rPr>
          <w:rStyle w:val="AERtextitalic"/>
        </w:rPr>
        <w:t>Response to AER Preliminary Determination Re: Rate of return and gamma</w:t>
      </w:r>
      <w:r>
        <w:t xml:space="preserve">, January 2016, pp. 87, 88, 94; CitiPower, </w:t>
      </w:r>
      <w:r w:rsidRPr="00793854">
        <w:rPr>
          <w:rStyle w:val="AERtextitalic"/>
        </w:rPr>
        <w:t>Revised Regulatory Proposal 2016-2020</w:t>
      </w:r>
      <w:r>
        <w:t xml:space="preserve">; January 2016, pp. 365-366, 372; Jemena Electricity Networks, </w:t>
      </w:r>
      <w:r w:rsidRPr="00793854">
        <w:rPr>
          <w:rStyle w:val="AERtextitalic"/>
        </w:rPr>
        <w:t>Attachment 6-1 Rate of return, gamma, forecast inflation, and debt and equity raising costs</w:t>
      </w:r>
      <w:r>
        <w:t xml:space="preserve">, January 2016, pp. 94-95, 102; Powercor, </w:t>
      </w:r>
      <w:r w:rsidRPr="00793854">
        <w:rPr>
          <w:rStyle w:val="AERtextitalic"/>
        </w:rPr>
        <w:t>Revised Regulatory Proposal 2016-2020</w:t>
      </w:r>
      <w:r>
        <w:t>, January 2016, pp. 359-360, 366.</w:t>
      </w:r>
    </w:p>
  </w:footnote>
  <w:footnote w:id="187">
    <w:p w:rsidR="00881794" w:rsidRDefault="00881794">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37–38.</w:t>
      </w:r>
    </w:p>
  </w:footnote>
  <w:footnote w:id="188">
    <w:p w:rsidR="00881794" w:rsidRDefault="00881794" w:rsidP="001F7F08">
      <w:pPr>
        <w:pStyle w:val="FootnoteText"/>
      </w:pPr>
      <w:r>
        <w:rPr>
          <w:rStyle w:val="FootnoteReference"/>
        </w:rPr>
        <w:footnoteRef/>
      </w:r>
      <w:r>
        <w:t xml:space="preserve"> </w:t>
      </w:r>
      <w:r>
        <w:tab/>
      </w:r>
      <w:r w:rsidRPr="008F5D24">
        <w:t>HoustonKemp, A response to the Australian Energy Regulator Draft Decision on Australian Gas Networks AA2016 Revenue Reset, February 2016, p. 35.</w:t>
      </w:r>
    </w:p>
  </w:footnote>
  <w:footnote w:id="189">
    <w:p w:rsidR="00881794" w:rsidRDefault="00881794" w:rsidP="00856171">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190">
    <w:p w:rsidR="00881794" w:rsidRPr="001966E3" w:rsidRDefault="00881794" w:rsidP="00856171">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191">
    <w:p w:rsidR="00881794" w:rsidRDefault="00881794" w:rsidP="00856171">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192">
    <w:p w:rsidR="00881794" w:rsidRDefault="00881794" w:rsidP="00856171">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193">
    <w:p w:rsidR="00881794" w:rsidRDefault="00881794" w:rsidP="00856171">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194">
    <w:p w:rsidR="00881794" w:rsidRDefault="00881794" w:rsidP="00856171">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195">
    <w:p w:rsidR="00881794" w:rsidRDefault="00881794" w:rsidP="00856171">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196">
    <w:p w:rsidR="00881794" w:rsidRDefault="00881794" w:rsidP="00856171">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197">
    <w:p w:rsidR="00881794" w:rsidRDefault="00881794" w:rsidP="00856171">
      <w:pPr>
        <w:pStyle w:val="FootnoteText"/>
      </w:pPr>
      <w:r>
        <w:rPr>
          <w:rStyle w:val="FootnoteReference"/>
        </w:rPr>
        <w:footnoteRef/>
      </w:r>
      <w:r>
        <w:t xml:space="preserve"> </w:t>
      </w:r>
      <w:r>
        <w:tab/>
        <w:t xml:space="preserve">SACOSS, </w:t>
      </w:r>
      <w:r w:rsidRPr="00B36753">
        <w:rPr>
          <w:rStyle w:val="AERtextitalic"/>
        </w:rPr>
        <w:t xml:space="preserve">Submission to Australian Energy Regulator on SA Power Networks’ 2015 – 2020 </w:t>
      </w:r>
      <w:r>
        <w:rPr>
          <w:rStyle w:val="AERtextitalic"/>
        </w:rPr>
        <w:t xml:space="preserve">AER Preliminary Decision </w:t>
      </w:r>
      <w:r>
        <w:t>June 2015, p. 5.</w:t>
      </w:r>
    </w:p>
  </w:footnote>
  <w:footnote w:id="198">
    <w:p w:rsidR="00881794" w:rsidRDefault="00881794" w:rsidP="00856171">
      <w:pPr>
        <w:pStyle w:val="FootnoteText"/>
      </w:pPr>
      <w:r>
        <w:rPr>
          <w:rStyle w:val="FootnoteReference"/>
        </w:rPr>
        <w:footnoteRef/>
      </w:r>
      <w:r>
        <w:t xml:space="preserve"> </w:t>
      </w:r>
      <w:r>
        <w:tab/>
        <w:t xml:space="preserve">ECCSA, </w:t>
      </w:r>
      <w:r w:rsidRPr="003504FC">
        <w:rPr>
          <w:rStyle w:val="AERtextitalic"/>
        </w:rPr>
        <w:t>SA Electricity Distribution Revenue Reset, SA PowerNetworks Application, A response</w:t>
      </w:r>
      <w:r>
        <w:t>, December 2014, pp. 80–81.</w:t>
      </w:r>
    </w:p>
  </w:footnote>
  <w:footnote w:id="199">
    <w:p w:rsidR="00881794" w:rsidRDefault="00881794" w:rsidP="00856171">
      <w:pPr>
        <w:pStyle w:val="FootnoteText"/>
      </w:pPr>
      <w:r>
        <w:rPr>
          <w:rStyle w:val="FootnoteReference"/>
        </w:rPr>
        <w:footnoteRef/>
      </w:r>
      <w:r>
        <w:t xml:space="preserve"> </w:t>
      </w:r>
      <w:r>
        <w:tab/>
        <w:t xml:space="preserve">ECCSA, </w:t>
      </w:r>
      <w:r w:rsidRPr="003504FC">
        <w:rPr>
          <w:rStyle w:val="AERtextitalic"/>
        </w:rPr>
        <w:t>SA Electricity Distribution Revenue Res</w:t>
      </w:r>
      <w:r>
        <w:rPr>
          <w:rStyle w:val="AERtextitalic"/>
        </w:rPr>
        <w:t>et, The AER preliminary decision</w:t>
      </w:r>
      <w:r w:rsidRPr="003504FC">
        <w:rPr>
          <w:rStyle w:val="AERtextitalic"/>
        </w:rPr>
        <w:t>, A response</w:t>
      </w:r>
      <w:r>
        <w:t>, June 2015, p. 42.</w:t>
      </w:r>
    </w:p>
  </w:footnote>
  <w:footnote w:id="200">
    <w:p w:rsidR="00881794" w:rsidRDefault="00881794" w:rsidP="00856171">
      <w:pPr>
        <w:pStyle w:val="FootnoteText"/>
      </w:pPr>
      <w:r>
        <w:rPr>
          <w:rStyle w:val="FootnoteReference"/>
        </w:rPr>
        <w:footnoteRef/>
      </w:r>
      <w:r>
        <w:t xml:space="preserve"> </w:t>
      </w:r>
      <w:r>
        <w:tab/>
        <w:t xml:space="preserve">ECCSA, </w:t>
      </w:r>
      <w:r>
        <w:rPr>
          <w:rStyle w:val="AERtextitalic"/>
        </w:rPr>
        <w:t>A response to the Australian Energy Regulator Draft Decision on Australian Gas Networks AA2016 Revenue Reset</w:t>
      </w:r>
      <w:r>
        <w:t>, February 2016, p. 35.</w:t>
      </w:r>
    </w:p>
  </w:footnote>
  <w:footnote w:id="201">
    <w:p w:rsidR="00881794" w:rsidRDefault="00881794" w:rsidP="00856171">
      <w:pPr>
        <w:pStyle w:val="FootnoteText"/>
      </w:pPr>
      <w:r>
        <w:rPr>
          <w:rStyle w:val="FootnoteReference"/>
        </w:rPr>
        <w:footnoteRef/>
      </w:r>
      <w:r>
        <w:t xml:space="preserve"> </w:t>
      </w:r>
      <w:r>
        <w:tab/>
      </w:r>
      <w:r w:rsidRPr="009A6FC1">
        <w:t>ECCSA, A response to the Australian Energy Regulator Draft Decision on Australian Gas Networks AA2016 Revenue Reset, February 2016, p. 35.</w:t>
      </w:r>
    </w:p>
  </w:footnote>
  <w:footnote w:id="202">
    <w:p w:rsidR="00881794" w:rsidRDefault="00881794" w:rsidP="00856171">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203">
    <w:p w:rsidR="00881794" w:rsidRDefault="00881794" w:rsidP="00856171">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2015-­2020</w:t>
      </w:r>
      <w:r>
        <w:t>, 30 January 2015, p. 24.</w:t>
      </w:r>
    </w:p>
  </w:footnote>
  <w:footnote w:id="204">
    <w:p w:rsidR="00881794" w:rsidRDefault="00881794" w:rsidP="00856171">
      <w:pPr>
        <w:pStyle w:val="FootnoteText"/>
      </w:pPr>
      <w:r>
        <w:rPr>
          <w:rStyle w:val="FootnoteReference"/>
        </w:rPr>
        <w:footnoteRef/>
      </w:r>
      <w:r>
        <w:t xml:space="preserve"> </w:t>
      </w:r>
      <w:r>
        <w:tab/>
        <w:t xml:space="preserve">Uniting Care Australia, </w:t>
      </w:r>
      <w:r w:rsidRPr="00B239C6">
        <w:t>Submission to the Australian Energy Regulator -Response to Electricity Distribution Business Revised Regulatory Proposal from 2015</w:t>
      </w:r>
      <w:r>
        <w:t>–</w:t>
      </w:r>
      <w:r w:rsidRPr="00B239C6">
        <w:t>20 from SA Power Networks, and AER Preliminary Determination, July 2015, p. 29.</w:t>
      </w:r>
    </w:p>
  </w:footnote>
  <w:footnote w:id="205">
    <w:p w:rsidR="00881794" w:rsidRDefault="00881794" w:rsidP="00B27BE5">
      <w:pPr>
        <w:pStyle w:val="FootnoteText"/>
      </w:pPr>
      <w:r>
        <w:rPr>
          <w:rStyle w:val="FootnoteReference"/>
        </w:rPr>
        <w:footnoteRef/>
      </w:r>
      <w:r>
        <w:t xml:space="preserve"> </w:t>
      </w:r>
      <w:r>
        <w:tab/>
        <w:t>Frontier economics, The appropriate use of tax statistics when estimating gamma, January 2016.</w:t>
      </w:r>
    </w:p>
  </w:footnote>
  <w:footnote w:id="206">
    <w:p w:rsidR="00881794" w:rsidRPr="003C12DE" w:rsidRDefault="00881794" w:rsidP="00570733">
      <w:pPr>
        <w:pStyle w:val="FootnoteText"/>
      </w:pPr>
      <w:r>
        <w:rPr>
          <w:rStyle w:val="FootnoteReference"/>
        </w:rPr>
        <w:footnoteRef/>
      </w:r>
      <w:r>
        <w:t xml:space="preserve"> </w:t>
      </w:r>
      <w:r>
        <w:tab/>
      </w:r>
      <w:r w:rsidRPr="008F5D24">
        <w:t>United Energy, Submission on AER preliminary determination - Submission on gamma, 26 April 2016; CitiPower/Powercor, Submission on implications of recent Australian Competition Tribunal Decision, 18 April 2016; ActewAGL, Implication of recent Tribunal decisions for final decision and updates to the allowed rate of return and forecast inflation estimate, 12 May 2016.</w:t>
      </w:r>
    </w:p>
  </w:footnote>
  <w:footnote w:id="207">
    <w:p w:rsidR="00881794" w:rsidRDefault="00881794">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rsidRPr="00C2259D">
        <w:t xml:space="preserve">, </w:t>
      </w:r>
      <w:r>
        <w:t>January 2016.</w:t>
      </w:r>
    </w:p>
  </w:footnote>
  <w:footnote w:id="208">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w:t>
      </w:r>
    </w:p>
  </w:footnote>
  <w:footnote w:id="209">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210">
    <w:p w:rsidR="00881794" w:rsidRDefault="00881794" w:rsidP="00B27BE5">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 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211">
    <w:p w:rsidR="00881794" w:rsidRDefault="00881794" w:rsidP="00B27BE5">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212">
    <w:p w:rsidR="00881794" w:rsidRDefault="00881794" w:rsidP="00B27BE5">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213">
    <w:p w:rsidR="00881794" w:rsidRPr="00EB47DF" w:rsidRDefault="00881794" w:rsidP="00B27BE5">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214">
    <w:p w:rsidR="00881794" w:rsidRDefault="00881794" w:rsidP="00B27BE5">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215">
    <w:p w:rsidR="00881794" w:rsidRDefault="00881794" w:rsidP="00B27BE5">
      <w:pPr>
        <w:pStyle w:val="FootnoteText"/>
      </w:pPr>
      <w:r>
        <w:rPr>
          <w:rStyle w:val="FootnoteReference"/>
        </w:rPr>
        <w:footnoteRef/>
      </w:r>
      <w:r>
        <w:t xml:space="preserve"> </w:t>
      </w:r>
      <w:r>
        <w:tab/>
      </w:r>
      <w:r w:rsidRPr="00712BC2">
        <w:t xml:space="preserve">SFG, </w:t>
      </w:r>
      <w:r>
        <w:rPr>
          <w:rStyle w:val="AERtextitalic"/>
        </w:rPr>
        <w:t>Estimating gamma for regulatory purposes</w:t>
      </w:r>
      <w:r>
        <w:t>, February 2015.</w:t>
      </w:r>
    </w:p>
  </w:footnote>
  <w:footnote w:id="216">
    <w:p w:rsidR="00881794" w:rsidRDefault="00881794" w:rsidP="00B27BE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and Frontier, </w:t>
      </w:r>
      <w:r w:rsidRPr="00C2259D">
        <w:t xml:space="preserve">The appropriate use of tax statistics when estimating gamma, </w:t>
      </w:r>
      <w:r>
        <w:t>January 2016.</w:t>
      </w:r>
    </w:p>
  </w:footnote>
  <w:footnote w:id="217">
    <w:p w:rsidR="00881794" w:rsidRDefault="00881794" w:rsidP="00B27BE5">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218">
    <w:p w:rsidR="00881794" w:rsidRDefault="00881794" w:rsidP="00B27BE5">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219">
    <w:p w:rsidR="00881794" w:rsidRDefault="00881794" w:rsidP="00B27BE5">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r>
        <w:t xml:space="preserve"> The Essential Services Commission also proposes to continue to apply a value of imputation credits of 0.5 to Melbourne Water's 2016 price review: Essential Services Commission, </w:t>
      </w:r>
      <w:r w:rsidRPr="00BA0C40">
        <w:rPr>
          <w:rStyle w:val="AERtextitalic"/>
        </w:rPr>
        <w:t>Proposed approach to Melbourne Water's 2016 price review—Consultation paper</w:t>
      </w:r>
      <w:r>
        <w:t>, February 2015, p. 40.</w:t>
      </w:r>
    </w:p>
  </w:footnote>
  <w:footnote w:id="220">
    <w:p w:rsidR="00881794" w:rsidRDefault="00881794" w:rsidP="00B27BE5">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221">
    <w:p w:rsidR="00881794" w:rsidRDefault="00881794" w:rsidP="00B27BE5">
      <w:pPr>
        <w:pStyle w:val="FootnoteText"/>
      </w:pPr>
      <w:r>
        <w:rPr>
          <w:rStyle w:val="FootnoteReference"/>
        </w:rPr>
        <w:footnoteRef/>
      </w:r>
      <w:r>
        <w:t xml:space="preserve"> </w:t>
      </w:r>
      <w:r>
        <w:tab/>
        <w:t xml:space="preserve">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222">
    <w:p w:rsidR="00881794" w:rsidRDefault="00881794" w:rsidP="00B27BE5">
      <w:pPr>
        <w:pStyle w:val="FootnoteText"/>
      </w:pPr>
      <w:r>
        <w:rPr>
          <w:rStyle w:val="FootnoteReference"/>
        </w:rPr>
        <w:footnoteRef/>
      </w:r>
      <w:r>
        <w:t xml:space="preserve"> </w:t>
      </w:r>
      <w:r>
        <w:tab/>
      </w:r>
      <w:r w:rsidRPr="009777EC">
        <w:t xml:space="preserve">Australian Competition and Consumer Commission, </w:t>
      </w:r>
      <w:r w:rsidRPr="00656B47">
        <w:rPr>
          <w:rStyle w:val="AERtextitalic"/>
        </w:rPr>
        <w:t xml:space="preserve">Public inquiry into final access determinations for fixed line </w:t>
      </w:r>
      <w:r>
        <w:rPr>
          <w:rStyle w:val="AERtextitalic"/>
        </w:rPr>
        <w:t>services</w:t>
      </w:r>
      <w:r>
        <w:rPr>
          <w:rStyle w:val="AERtextitalic"/>
          <w:rFonts w:cs="Arial"/>
        </w:rPr>
        <w:t>—</w:t>
      </w:r>
      <w:r w:rsidRPr="00656B47">
        <w:rPr>
          <w:rStyle w:val="AERtextitalic"/>
        </w:rPr>
        <w:t>primary price terms</w:t>
      </w:r>
      <w:r>
        <w:rPr>
          <w:rStyle w:val="AERtextitalic"/>
        </w:rPr>
        <w:t>,</w:t>
      </w:r>
      <w:r w:rsidRPr="00656B47">
        <w:rPr>
          <w:rStyle w:val="AERtextitalic"/>
        </w:rPr>
        <w:t xml:space="preserve"> </w:t>
      </w:r>
      <w:r>
        <w:rPr>
          <w:rStyle w:val="AERtextitalic"/>
        </w:rPr>
        <w:t>Draft d</w:t>
      </w:r>
      <w:r w:rsidRPr="00656B47">
        <w:rPr>
          <w:rStyle w:val="AERtextitalic"/>
        </w:rPr>
        <w:t>ecision</w:t>
      </w:r>
      <w:r>
        <w:t>, March 2015</w:t>
      </w:r>
      <w:r w:rsidRPr="009777EC">
        <w:t>.</w:t>
      </w:r>
      <w:r>
        <w:t xml:space="preserve"> </w:t>
      </w:r>
      <w:r w:rsidRPr="006F0830">
        <w:t>We note that this estimate is based on the ACCC's draft decision on the fixed line services supplied by Telstra (ACCC, Public inquiry into final service determinations for fixed line services—Primary price terms: Draft decision</w:t>
      </w:r>
      <w:r>
        <w:t>, March 2015, p. 101</w:t>
      </w:r>
      <w:r w:rsidRPr="006F0830">
        <w:t xml:space="preserve">). The ACCC released its final decision on </w:t>
      </w:r>
      <w:r>
        <w:t xml:space="preserve">9 </w:t>
      </w:r>
      <w:r w:rsidRPr="006F0830">
        <w:t>Octobe</w:t>
      </w:r>
      <w:r>
        <w:t>r 2015, which maintained its value for imputation credits estimate of 0.45</w:t>
      </w:r>
      <w:r w:rsidRPr="006F0830">
        <w:t xml:space="preserve"> (ACCC, Public inquiry into final service determinations for fixed line services: Final decision</w:t>
      </w:r>
      <w:r>
        <w:t>, October 2015, p. 67</w:t>
      </w:r>
      <w:r w:rsidRPr="006F0830">
        <w:t>). However, we consider information up to the end of July 2015 for the SA/Qld DNSPs and the end of August 2015 for the Vic</w:t>
      </w:r>
      <w:r>
        <w:t>torian service providers</w:t>
      </w:r>
      <w:r w:rsidRPr="006F0830">
        <w:t xml:space="preserve"> and </w:t>
      </w:r>
      <w:r>
        <w:t xml:space="preserve">the 2015 </w:t>
      </w:r>
      <w:r w:rsidRPr="006F0830">
        <w:t xml:space="preserve">gas </w:t>
      </w:r>
      <w:r>
        <w:t>network service providers</w:t>
      </w:r>
      <w:r w:rsidRPr="006F0830">
        <w:t xml:space="preserve"> in estimating the MRP. This is reasonably consistent with these NSPs' risk free rate averaging periods. Therefore, </w:t>
      </w:r>
      <w:r>
        <w:t xml:space="preserve">to be consistent with the estimation of the required return on equity, </w:t>
      </w:r>
      <w:r w:rsidRPr="006F0830">
        <w:t>we do not include the ACCC's final decision in our analysis.</w:t>
      </w:r>
    </w:p>
  </w:footnote>
  <w:footnote w:id="223">
    <w:p w:rsidR="00881794" w:rsidRDefault="00881794" w:rsidP="00D422E4">
      <w:pPr>
        <w:pStyle w:val="FootnoteText"/>
      </w:pPr>
      <w:r>
        <w:rPr>
          <w:rStyle w:val="FootnoteReference"/>
        </w:rPr>
        <w:footnoteRef/>
      </w:r>
      <w:r>
        <w:t xml:space="preserve"> </w:t>
      </w:r>
      <w:r>
        <w:tab/>
        <w:t xml:space="preserve">See for example,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The Tribunal gave similar reasoning in its decisions for applications by the other service providers.</w:t>
      </w:r>
    </w:p>
  </w:footnote>
  <w:footnote w:id="224">
    <w:p w:rsidR="00881794"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25">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26">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1081.</w:t>
      </w:r>
    </w:p>
  </w:footnote>
  <w:footnote w:id="227">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1076.</w:t>
      </w:r>
    </w:p>
  </w:footnote>
  <w:footnote w:id="228">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8F5D24">
        <w:t>1106.</w:t>
      </w:r>
    </w:p>
  </w:footnote>
  <w:footnote w:id="229">
    <w:p w:rsidR="00881794" w:rsidRDefault="00881794">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230">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231">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232">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p>
  </w:footnote>
  <w:footnote w:id="233">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1090.</w:t>
      </w:r>
    </w:p>
  </w:footnote>
  <w:footnote w:id="234">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1048 and 1090.</w:t>
      </w:r>
    </w:p>
  </w:footnote>
  <w:footnote w:id="235">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1093.</w:t>
      </w:r>
    </w:p>
  </w:footnote>
  <w:footnote w:id="236">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1095.</w:t>
      </w:r>
    </w:p>
  </w:footnote>
  <w:footnote w:id="237">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38">
    <w:p w:rsidR="004B4BF3" w:rsidRDefault="004B4BF3">
      <w:pPr>
        <w:pStyle w:val="FootnoteText"/>
      </w:pPr>
      <w:r>
        <w:rPr>
          <w:rStyle w:val="FootnoteReference"/>
        </w:rPr>
        <w:footnoteRef/>
      </w:r>
      <w:r>
        <w:t xml:space="preserve"> </w:t>
      </w:r>
      <w:r>
        <w:tab/>
      </w:r>
      <w:r w:rsidRPr="00712BC2">
        <w:t xml:space="preserve">M. Lally, </w:t>
      </w:r>
      <w:r>
        <w:rPr>
          <w:rStyle w:val="AERtextitalic"/>
        </w:rPr>
        <w:t>Gamma and the ACT Decision</w:t>
      </w:r>
      <w:r>
        <w:t>, May 2016, p. 4.</w:t>
      </w:r>
    </w:p>
  </w:footnote>
  <w:footnote w:id="239">
    <w:p w:rsidR="00881794" w:rsidRDefault="00881794" w:rsidP="00FF12F1">
      <w:pPr>
        <w:pStyle w:val="FootnoteText"/>
      </w:pPr>
      <w:r>
        <w:rPr>
          <w:rStyle w:val="FootnoteReference"/>
        </w:rPr>
        <w:footnoteRef/>
      </w:r>
      <w:r>
        <w:t xml:space="preserve"> </w:t>
      </w:r>
      <w:r>
        <w:tab/>
      </w:r>
      <w:r w:rsidRPr="00712BC2">
        <w:t xml:space="preserve">M. Lally, </w:t>
      </w:r>
      <w:r>
        <w:rPr>
          <w:rStyle w:val="AERtextitalic"/>
        </w:rPr>
        <w:t>Gamma and the ACT Decision</w:t>
      </w:r>
      <w:r>
        <w:t>, May 2016, p. 5.</w:t>
      </w:r>
    </w:p>
  </w:footnote>
  <w:footnote w:id="240">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20-21.</w:t>
      </w:r>
    </w:p>
  </w:footnote>
  <w:footnote w:id="241">
    <w:p w:rsidR="00881794" w:rsidRPr="00395D01" w:rsidRDefault="00881794" w:rsidP="00B27BE5">
      <w:pPr>
        <w:pStyle w:val="FootnoteText"/>
      </w:pPr>
      <w:r>
        <w:rPr>
          <w:rStyle w:val="FootnoteReference"/>
        </w:rPr>
        <w:footnoteRef/>
      </w:r>
      <w:r>
        <w:t xml:space="preserve"> </w:t>
      </w:r>
      <w:r>
        <w:tab/>
      </w:r>
      <w:r w:rsidRPr="008F5D24">
        <w:t>Australian Competition Tribunal, Application by Public Interest Advocacy Centre Ltd and Ausgrid [2016] ACompT 1, 26 February 2016, paras. 1048, 1090 and 1095.</w:t>
      </w:r>
    </w:p>
  </w:footnote>
  <w:footnote w:id="242">
    <w:p w:rsidR="00881794"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3">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4">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45">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6">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1096</w:t>
      </w:r>
      <w:r w:rsidRPr="00E87CA4">
        <w:t>.</w:t>
      </w:r>
    </w:p>
  </w:footnote>
  <w:footnote w:id="247">
    <w:p w:rsidR="00881794"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1092.</w:t>
      </w:r>
    </w:p>
  </w:footnote>
  <w:footnote w:id="248">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105</w:t>
      </w:r>
      <w:r w:rsidRPr="00E87CA4">
        <w:t>2.</w:t>
      </w:r>
    </w:p>
  </w:footnote>
  <w:footnote w:id="249">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paras. 1101-1103.</w:t>
      </w:r>
    </w:p>
  </w:footnote>
  <w:footnote w:id="250">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 1118.</w:t>
      </w:r>
    </w:p>
  </w:footnote>
  <w:footnote w:id="251">
    <w:p w:rsidR="00881794"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1073.</w:t>
      </w:r>
    </w:p>
  </w:footnote>
  <w:footnote w:id="252">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395D01">
        <w:t xml:space="preserve">. </w:t>
      </w:r>
      <w:r w:rsidRPr="00E87CA4">
        <w:t>1074 and 1097.</w:t>
      </w:r>
    </w:p>
  </w:footnote>
  <w:footnote w:id="253">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1098.</w:t>
      </w:r>
    </w:p>
  </w:footnote>
  <w:footnote w:id="254">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255">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256">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83</w:t>
      </w:r>
      <w:r w:rsidRPr="00E87CA4">
        <w:t>.</w:t>
      </w:r>
    </w:p>
  </w:footnote>
  <w:footnote w:id="257">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w:t>
      </w:r>
      <w:r>
        <w:t>84</w:t>
      </w:r>
      <w:r w:rsidRPr="00E87CA4">
        <w:t>.</w:t>
      </w:r>
    </w:p>
  </w:footnote>
  <w:footnote w:id="258">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w:t>
      </w:r>
      <w:r w:rsidRPr="00E87CA4">
        <w:t>8.</w:t>
      </w:r>
    </w:p>
  </w:footnote>
  <w:footnote w:id="259">
    <w:p w:rsidR="00881794" w:rsidRPr="00395D01"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84</w:t>
      </w:r>
      <w:r w:rsidRPr="00E87CA4">
        <w:t>.</w:t>
      </w:r>
    </w:p>
  </w:footnote>
  <w:footnote w:id="260">
    <w:p w:rsidR="00881794" w:rsidRDefault="00881794" w:rsidP="00B27BE5">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261">
    <w:p w:rsidR="00881794"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262">
    <w:p w:rsidR="00881794" w:rsidRDefault="00881794" w:rsidP="00B27BE5">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263">
    <w:p w:rsidR="00881794" w:rsidRDefault="00881794" w:rsidP="00B27BE5">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264">
    <w:p w:rsidR="00881794" w:rsidRDefault="00881794" w:rsidP="00B27BE5">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265">
    <w:p w:rsidR="00881794" w:rsidRDefault="00881794" w:rsidP="00B27BE5">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266">
    <w:p w:rsidR="00881794" w:rsidRDefault="00881794" w:rsidP="00B27BE5">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267">
    <w:p w:rsidR="00881794" w:rsidRDefault="00881794" w:rsidP="00B27BE5">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268">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14-16, 21; ActewAGL, </w:t>
      </w:r>
      <w:r w:rsidRPr="00AF5B33">
        <w:rPr>
          <w:rStyle w:val="AERtextitalic"/>
        </w:rPr>
        <w:t>Appendix 5.01 Detailed response to rate of return, gamma and inflation</w:t>
      </w:r>
      <w:r>
        <w:t xml:space="preserve">, January 2016, pp. 117-118; AusNet Electricity Services, </w:t>
      </w:r>
      <w:r w:rsidRPr="00AF5B33">
        <w:rPr>
          <w:rStyle w:val="AERtextitalic"/>
        </w:rPr>
        <w:t>Revised Regulatory Proposal</w:t>
      </w:r>
      <w:r>
        <w:t xml:space="preserve">, January 2016, p. 7-86;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pp. 365-366; Jemena Electricity Networks, </w:t>
      </w:r>
      <w:r w:rsidRPr="00AF5B33">
        <w:rPr>
          <w:rStyle w:val="AERtextitalic"/>
        </w:rPr>
        <w:t>Attachment 6-1 Rate of return, gamma, forecast inflation, and debt and equity raising costs</w:t>
      </w:r>
      <w:r>
        <w:t xml:space="preserve">, January 2016, p. 94; Powercor, </w:t>
      </w:r>
      <w:r w:rsidRPr="00AF5B33">
        <w:rPr>
          <w:rStyle w:val="AERtextitalic"/>
        </w:rPr>
        <w:t>Revised Regulatory Proposal 2016-2020</w:t>
      </w:r>
      <w:r>
        <w:t>, January 2016, pp. 359-360.</w:t>
      </w:r>
    </w:p>
  </w:footnote>
  <w:footnote w:id="269">
    <w:p w:rsidR="00881794" w:rsidRDefault="00881794" w:rsidP="00B27BE5">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270">
    <w:p w:rsidR="00881794" w:rsidRDefault="00881794" w:rsidP="00B27BE5">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271">
    <w:p w:rsidR="00881794" w:rsidRDefault="00881794" w:rsidP="00EC0FB7">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pp. 1–2;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272">
    <w:p w:rsidR="00881794" w:rsidRDefault="00881794" w:rsidP="00234985">
      <w:pPr>
        <w:pStyle w:val="FootnoteText"/>
      </w:pPr>
      <w:r>
        <w:rPr>
          <w:rStyle w:val="FootnoteReference"/>
        </w:rPr>
        <w:footnoteRef/>
      </w:r>
      <w:r>
        <w:t xml:space="preserve"> </w:t>
      </w:r>
      <w:r>
        <w:tab/>
        <w:t>We note that these issues have been raised by other service providers. However SA Power Networks, Ergon Energy and Energex have clarified that they consider these to be the key issues in dispute with the AER. We also note Gray did not explicitly identify these as the key issues in dispute, although they featured prominently in his report.</w:t>
      </w:r>
    </w:p>
  </w:footnote>
  <w:footnote w:id="273">
    <w:p w:rsidR="00881794" w:rsidRDefault="00881794" w:rsidP="00B27BE5">
      <w:pPr>
        <w:pStyle w:val="FootnoteText"/>
      </w:pPr>
      <w:r>
        <w:rPr>
          <w:rStyle w:val="FootnoteReference"/>
        </w:rPr>
        <w:footnoteRef/>
      </w:r>
      <w:r>
        <w:t xml:space="preserve"> </w:t>
      </w:r>
      <w:r>
        <w:tab/>
        <w:t xml:space="preserve">SA Power Networks, </w:t>
      </w:r>
      <w:r>
        <w:rPr>
          <w:rStyle w:val="AERtextitalic"/>
        </w:rPr>
        <w:t>Revised regulatory proposal 2015-20</w:t>
      </w:r>
      <w:r>
        <w:t>, July 2015, pp. 370–371; Ergon, Submission on value of imputation credits (gamma), July 2015, p. 7; Frontier Economics, An appropriate regulatory estimate of gamma, p. 8, June 2015; Australian Gas Networks, Attachment 11.2 Value of Imputation Credits, p. 3, July 2015:  ActewAGL Distribution, Attachment 8 Detailed gamma proposal, pp. 2-3.</w:t>
      </w:r>
    </w:p>
  </w:footnote>
  <w:footnote w:id="274">
    <w:p w:rsidR="00881794" w:rsidRDefault="00881794" w:rsidP="00B27BE5">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Submission on value of imputation credits (gamma), July 2015, p. 7; Frontier Economics, </w:t>
      </w:r>
      <w:r w:rsidRPr="00596AF9">
        <w:rPr>
          <w:i/>
        </w:rPr>
        <w:t>An appropriate regulatory estimate of gamma, pp. 2</w:t>
      </w:r>
      <w:r>
        <w:rPr>
          <w:i/>
        </w:rPr>
        <w:t>6–</w:t>
      </w:r>
      <w:r w:rsidRPr="00596AF9">
        <w:rPr>
          <w:i/>
        </w:rPr>
        <w:t>30, June 2015; Australian Gas Networks, Attachment 11.2 Value of Imputation Credits</w:t>
      </w:r>
      <w:r>
        <w:t>, July 2015, p. 3.</w:t>
      </w:r>
    </w:p>
  </w:footnote>
  <w:footnote w:id="275">
    <w:p w:rsidR="00881794" w:rsidRDefault="00881794" w:rsidP="00B27BE5">
      <w:pPr>
        <w:pStyle w:val="FootnoteText"/>
      </w:pPr>
      <w:r>
        <w:rPr>
          <w:rStyle w:val="FootnoteReference"/>
        </w:rPr>
        <w:footnoteRef/>
      </w:r>
      <w:r>
        <w:t xml:space="preserve"> </w:t>
      </w:r>
      <w:r>
        <w:tab/>
        <w:t>We note we have used an estimate of the distribution rate of 0.77 in this decision. This was updated to 0.77 in our JGN decision released in June 2015 from 0.8 used in our final decisions released in April 2015.</w:t>
      </w:r>
    </w:p>
  </w:footnote>
  <w:footnote w:id="276">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25–26, 28–29</w:t>
      </w:r>
    </w:p>
  </w:footnote>
  <w:footnote w:id="277">
    <w:p w:rsidR="00881794" w:rsidRDefault="00881794" w:rsidP="00B27BE5">
      <w:pPr>
        <w:pStyle w:val="FootnoteText"/>
      </w:pPr>
      <w:r>
        <w:rPr>
          <w:rStyle w:val="FootnoteReference"/>
        </w:rPr>
        <w:footnoteRef/>
      </w:r>
      <w:r>
        <w:t xml:space="preserve"> </w:t>
      </w:r>
      <w:r>
        <w:tab/>
        <w:t xml:space="preserve">AusNet Services, </w:t>
      </w:r>
      <w:r w:rsidRPr="00596AF9">
        <w:rPr>
          <w:i/>
        </w:rPr>
        <w:t>2016-20 Regulatory Proposal</w:t>
      </w:r>
      <w:r>
        <w:t xml:space="preserve">, April 2015, p. 354; United Energy, </w:t>
      </w:r>
      <w:r w:rsidRPr="00596AF9">
        <w:rPr>
          <w:i/>
        </w:rPr>
        <w:t>Assessment of the Value of Imputation Credits - Gamma, Proposal for 2016 to 2020</w:t>
      </w:r>
      <w:r>
        <w:t xml:space="preserve">, April 2015, p. 2; CitiPower, </w:t>
      </w:r>
      <w:r w:rsidRPr="00596AF9">
        <w:rPr>
          <w:i/>
        </w:rPr>
        <w:t>Appendix J - Gamma</w:t>
      </w:r>
      <w:r>
        <w:t xml:space="preserve">, April 2015, p. 4; Powercor, </w:t>
      </w:r>
      <w:r w:rsidRPr="00596AF9">
        <w:rPr>
          <w:i/>
        </w:rPr>
        <w:t>Appendix J - Gamma</w:t>
      </w:r>
      <w:r>
        <w:t xml:space="preserve">, April 2015, p. 4; Jemena Electricity, </w:t>
      </w:r>
      <w:r w:rsidRPr="00596AF9">
        <w:rPr>
          <w:i/>
        </w:rPr>
        <w:t>Attachment 06-06 Gamma proposal</w:t>
      </w:r>
      <w:r>
        <w:t xml:space="preserve">, April 2015, p. 5; SA Power Networks, </w:t>
      </w:r>
      <w:r>
        <w:rPr>
          <w:rStyle w:val="AERtextitalic"/>
        </w:rPr>
        <w:t>Revised regulatory proposal 2015-20</w:t>
      </w:r>
      <w:r>
        <w:t xml:space="preserve">, July 2015, pp. 370–371 ; Ergon, </w:t>
      </w:r>
      <w:r w:rsidRPr="00596AF9">
        <w:rPr>
          <w:i/>
        </w:rPr>
        <w:t>Submission on value of imputation credits (gamma),</w:t>
      </w:r>
      <w:r>
        <w:t xml:space="preserve"> July 2015, p. 7; ActewAGL Distribution, </w:t>
      </w:r>
      <w:r w:rsidRPr="00596AF9">
        <w:rPr>
          <w:i/>
        </w:rPr>
        <w:t>Attachment 8 Detailed gamma proposal</w:t>
      </w:r>
      <w:r>
        <w:t xml:space="preserve">, p. 2; Australian Gas Networks, </w:t>
      </w:r>
      <w:r w:rsidRPr="00596AF9">
        <w:rPr>
          <w:i/>
        </w:rPr>
        <w:t>Attachment 11.2 Value of Imputation Credits</w:t>
      </w:r>
      <w:r>
        <w:t xml:space="preserve">, pp. 9–10, July 2015; Amadeus Gas Pipeline, </w:t>
      </w:r>
      <w:r w:rsidRPr="00596AF9">
        <w:rPr>
          <w:i/>
        </w:rPr>
        <w:t>Access Arrangement revision submission</w:t>
      </w:r>
      <w:r>
        <w:t>, August 2015, p. 151.</w:t>
      </w:r>
    </w:p>
  </w:footnote>
  <w:footnote w:id="278">
    <w:p w:rsidR="00881794" w:rsidRDefault="00881794" w:rsidP="00B27BE5">
      <w:pPr>
        <w:pStyle w:val="FootnoteText"/>
      </w:pPr>
      <w:r>
        <w:rPr>
          <w:rStyle w:val="FootnoteReference"/>
        </w:rPr>
        <w:footnoteRef/>
      </w:r>
      <w:r>
        <w:t xml:space="preserve"> </w:t>
      </w:r>
      <w:r>
        <w:tab/>
        <w:t xml:space="preserve">AusNet Services, </w:t>
      </w:r>
      <w:r w:rsidRPr="00596AF9">
        <w:rPr>
          <w:i/>
        </w:rPr>
        <w:t>2016-20 Regulatory Proposal</w:t>
      </w:r>
      <w:r>
        <w:t xml:space="preserve">, April 2015, p. 367; United Energy, </w:t>
      </w:r>
      <w:r w:rsidRPr="00596AF9">
        <w:rPr>
          <w:i/>
        </w:rPr>
        <w:t>Assessment of the Value of Imputation Credits - Gamma, Proposal for 2016 to 2020</w:t>
      </w:r>
      <w:r>
        <w:t xml:space="preserve">, April 2015, p. 18; CitiPower, </w:t>
      </w:r>
      <w:r w:rsidRPr="00596AF9">
        <w:rPr>
          <w:i/>
        </w:rPr>
        <w:t>Appendix J - Gamma</w:t>
      </w:r>
      <w:r>
        <w:t xml:space="preserve">, April 2015, p. 16; Powercor, </w:t>
      </w:r>
      <w:r w:rsidRPr="00596AF9">
        <w:rPr>
          <w:i/>
        </w:rPr>
        <w:t>Appendix J - Gamma</w:t>
      </w:r>
      <w:r>
        <w:t xml:space="preserve">, April 2015, p. 16; Jemena Electricity, </w:t>
      </w:r>
      <w:r w:rsidRPr="00596AF9">
        <w:rPr>
          <w:i/>
        </w:rPr>
        <w:t>Attachment 06-06 Gamma proposal</w:t>
      </w:r>
      <w:r>
        <w:t xml:space="preserve">, April 2015, p.  </w:t>
      </w:r>
      <w:r w:rsidRPr="00EF0AE9">
        <w:t>7;</w:t>
      </w:r>
      <w:r>
        <w:t xml:space="preserve"> SA Power Networks, </w:t>
      </w:r>
      <w:r>
        <w:rPr>
          <w:rStyle w:val="AERtextitalic"/>
        </w:rPr>
        <w:t>Revised regulatory proposal 2015-20</w:t>
      </w:r>
      <w:r>
        <w:t xml:space="preserve">, July 2015, pp. 370-371; Ergon, </w:t>
      </w:r>
      <w:r w:rsidRPr="00596AF9">
        <w:rPr>
          <w:i/>
        </w:rPr>
        <w:t>Submission on value of imputation credits (gamma)</w:t>
      </w:r>
      <w:r>
        <w:t xml:space="preserve">, July 2015, p. 8; ActewAGL Distribution, </w:t>
      </w:r>
      <w:r w:rsidRPr="00596AF9">
        <w:rPr>
          <w:i/>
        </w:rPr>
        <w:t>Attachment 8 Detailed gamma proposal</w:t>
      </w:r>
      <w:r>
        <w:t xml:space="preserve">, p. 15; Australian Gas Networks, </w:t>
      </w:r>
      <w:r w:rsidRPr="00596AF9">
        <w:rPr>
          <w:i/>
        </w:rPr>
        <w:t>Attachment 11.2 Value of Imputation Credits</w:t>
      </w:r>
      <w:r>
        <w:t>, p. 3, July 2015.</w:t>
      </w:r>
    </w:p>
  </w:footnote>
  <w:footnote w:id="279">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7-96; United Energy, </w:t>
      </w:r>
      <w:r w:rsidRPr="00AF5B33">
        <w:rPr>
          <w:rStyle w:val="AERtextitalic"/>
        </w:rPr>
        <w:t>Response to AER Preliminary Determination Re: Rate of return and gamma</w:t>
      </w:r>
      <w:r>
        <w:t xml:space="preserve">, January 2016, p. 97; CitiPower, </w:t>
      </w:r>
      <w:r w:rsidRPr="00AF5B33">
        <w:rPr>
          <w:rStyle w:val="AERtextitalic"/>
        </w:rPr>
        <w:t>Revised Regulatory Proposal 2016-2020</w:t>
      </w:r>
      <w:r>
        <w:t xml:space="preserve">; January 2016, p. 375; Jemena Electricity Networks, </w:t>
      </w:r>
      <w:r w:rsidRPr="00AF5B33">
        <w:rPr>
          <w:rStyle w:val="AERtextitalic"/>
        </w:rPr>
        <w:t>Attachment 6-1 Rate of return, gamma, forecast inflation, and debt and equity raising costs</w:t>
      </w:r>
      <w:r>
        <w:t xml:space="preserve">, January 2016, pp. 104-105; Powercor, </w:t>
      </w:r>
      <w:r w:rsidRPr="00AF5B33">
        <w:rPr>
          <w:rStyle w:val="AERtextitalic"/>
        </w:rPr>
        <w:t>Revised Regulatory Proposal 2016-2020</w:t>
      </w:r>
      <w:r>
        <w:t>, January 2016, p. 369.</w:t>
      </w:r>
    </w:p>
  </w:footnote>
  <w:footnote w:id="280">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2; ActewAGL, </w:t>
      </w:r>
      <w:r w:rsidRPr="00AF5B33">
        <w:rPr>
          <w:rStyle w:val="AERtextitalic"/>
        </w:rPr>
        <w:t>Appendix 5.01 Detailed response to rate of return, gamma and inflation</w:t>
      </w:r>
      <w:r>
        <w:t xml:space="preserve">, January 2016, pp.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281">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125; AusNet Electricity Services, </w:t>
      </w:r>
      <w:r w:rsidRPr="00AF5B33">
        <w:rPr>
          <w:rStyle w:val="AERtextitalic"/>
        </w:rPr>
        <w:t>Revised Regulatory Proposal</w:t>
      </w:r>
      <w:r>
        <w:t xml:space="preserve">, January 2016, pp. 7-84, 7-83; United Energy, </w:t>
      </w:r>
      <w:r w:rsidRPr="00AF5B33">
        <w:rPr>
          <w:rStyle w:val="AERtextitalic"/>
        </w:rPr>
        <w:t>Response to AER Preliminary Determination Re: Rate of return and gamma</w:t>
      </w:r>
      <w:r>
        <w:t xml:space="preserve">, January 2016, pp. 85, 86; CitiPower, </w:t>
      </w:r>
      <w:r w:rsidRPr="00AF5B33">
        <w:rPr>
          <w:rStyle w:val="AERtextitalic"/>
        </w:rPr>
        <w:t>Revised Regulatory Proposal 2016-2020</w:t>
      </w:r>
      <w:r>
        <w:t xml:space="preserve">; January 2016, pp. 362, 364; Jemena Electricity Networks, </w:t>
      </w:r>
      <w:r w:rsidRPr="00AF5B33">
        <w:rPr>
          <w:rStyle w:val="AERtextitalic"/>
        </w:rPr>
        <w:t>Attachment 6-1 Rate of return, gamma, forecast inflation, and debt and equity raising costs</w:t>
      </w:r>
      <w:r>
        <w:t xml:space="preserve">, January 2016, pp. 91, 92; Powercor, </w:t>
      </w:r>
      <w:r w:rsidRPr="00AF5B33">
        <w:rPr>
          <w:rStyle w:val="AERtextitalic"/>
        </w:rPr>
        <w:t>Revised Regulatory Proposal 2016-2020</w:t>
      </w:r>
      <w:r>
        <w:t>, January 2016, pp. 356, 358.</w:t>
      </w:r>
    </w:p>
  </w:footnote>
  <w:footnote w:id="282">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January 2016, p. 41.</w:t>
      </w:r>
    </w:p>
  </w:footnote>
  <w:footnote w:id="283">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284">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127;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374; Jemena Electricity Networks, </w:t>
      </w:r>
      <w:r w:rsidRPr="00AF5B33">
        <w:rPr>
          <w:rStyle w:val="AERtextitalic"/>
        </w:rPr>
        <w:t>Attachment 6-1 Rate of return, gamma, forecast inflation, and debt and equity raising costs</w:t>
      </w:r>
      <w:r>
        <w:t xml:space="preserve">, January 2016, p. 103; Powercor, </w:t>
      </w:r>
      <w:r w:rsidRPr="00AF5B33">
        <w:rPr>
          <w:rStyle w:val="AERtextitalic"/>
        </w:rPr>
        <w:t>Revised Regulatory Proposal 2016-2020</w:t>
      </w:r>
      <w:r>
        <w:t>, January 2016, p. 368.</w:t>
      </w:r>
    </w:p>
  </w:footnote>
  <w:footnote w:id="285">
    <w:p w:rsidR="00881794" w:rsidRDefault="00881794" w:rsidP="00B27BE5">
      <w:pPr>
        <w:pStyle w:val="FootnoteText"/>
      </w:pPr>
      <w:r>
        <w:rPr>
          <w:rStyle w:val="FootnoteReference"/>
        </w:rPr>
        <w:footnoteRef/>
      </w:r>
      <w:r>
        <w:t xml:space="preserve"> </w:t>
      </w:r>
      <w:r>
        <w:tab/>
      </w:r>
      <w:r w:rsidRPr="00FF5DB5">
        <w:t>NER, cl</w:t>
      </w:r>
      <w:r>
        <w:t xml:space="preserve">l. 6.4.3, </w:t>
      </w:r>
      <w:r w:rsidRPr="00FF5DB5">
        <w:t>6A.5.4; NGR, r. 76.</w:t>
      </w:r>
    </w:p>
  </w:footnote>
  <w:footnote w:id="286">
    <w:p w:rsidR="00881794" w:rsidRDefault="00881794" w:rsidP="00B27BE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287">
    <w:p w:rsidR="00881794" w:rsidRDefault="00881794">
      <w:pPr>
        <w:pStyle w:val="FootnoteText"/>
      </w:pPr>
      <w:r>
        <w:rPr>
          <w:rStyle w:val="FootnoteReference"/>
        </w:rPr>
        <w:footnoteRef/>
      </w:r>
      <w:r>
        <w:t xml:space="preserve"> </w:t>
      </w:r>
      <w:r>
        <w:tab/>
        <w:t xml:space="preserve">We note that if there was a post-tax market for imputation credits they should trade for approximately their face value as this is the amount of post-tax cash flow from the government they entitle the claimant to receive from the government. </w:t>
      </w:r>
    </w:p>
  </w:footnote>
  <w:footnote w:id="288">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11-12.</w:t>
      </w:r>
    </w:p>
  </w:footnote>
  <w:footnote w:id="289">
    <w:p w:rsidR="00881794" w:rsidRDefault="00881794" w:rsidP="00B27BE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xml:space="preserve"> 7.</w:t>
      </w:r>
    </w:p>
  </w:footnote>
  <w:footnote w:id="290">
    <w:p w:rsidR="00881794" w:rsidRDefault="00881794" w:rsidP="00B27BE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xml:space="preserve"> 6.</w:t>
      </w:r>
    </w:p>
  </w:footnote>
  <w:footnote w:id="291">
    <w:p w:rsidR="00881794" w:rsidRDefault="00881794" w:rsidP="00B27BE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pp. 4–5 and footnote 2; </w:t>
      </w:r>
      <w:r w:rsidRPr="00DA582A">
        <w:t xml:space="preserve"> </w:t>
      </w:r>
      <w:r w:rsidRPr="00712BC2">
        <w:t xml:space="preserve">M. Lally, </w:t>
      </w:r>
      <w:r>
        <w:rPr>
          <w:rStyle w:val="AERtextitalic"/>
        </w:rPr>
        <w:t>Gamma and the ACT Decision</w:t>
      </w:r>
      <w:r>
        <w:t>, May 2016, pp. 7, 11, 12.</w:t>
      </w:r>
    </w:p>
  </w:footnote>
  <w:footnote w:id="292">
    <w:p w:rsidR="00881794" w:rsidRDefault="00881794" w:rsidP="00B27BE5">
      <w:pPr>
        <w:pStyle w:val="FootnoteText"/>
      </w:pPr>
      <w:r>
        <w:rPr>
          <w:rStyle w:val="FootnoteReference"/>
        </w:rPr>
        <w:footnoteRef/>
      </w:r>
      <w:r>
        <w:t xml:space="preserve"> </w:t>
      </w:r>
      <w:r>
        <w:tab/>
        <w:t>NER, cll. 6.5.2, 6A.6.2;</w:t>
      </w:r>
      <w:r w:rsidRPr="0042735A">
        <w:t xml:space="preserve"> </w:t>
      </w:r>
      <w:r>
        <w:t>NGR, r. 87.</w:t>
      </w:r>
    </w:p>
  </w:footnote>
  <w:footnote w:id="293">
    <w:p w:rsidR="00881794" w:rsidRDefault="00881794" w:rsidP="00B27BE5">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294">
    <w:p w:rsidR="00881794" w:rsidRDefault="00881794" w:rsidP="00B27BE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295">
    <w:p w:rsidR="00881794" w:rsidRDefault="00881794" w:rsidP="00B27BE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296">
    <w:p w:rsidR="00881794" w:rsidRDefault="00881794" w:rsidP="00B27BE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297">
    <w:p w:rsidR="00881794" w:rsidRDefault="00881794" w:rsidP="00B27BE5">
      <w:pPr>
        <w:pStyle w:val="FootnoteText"/>
      </w:pPr>
      <w:r>
        <w:rPr>
          <w:rStyle w:val="FootnoteReference"/>
        </w:rPr>
        <w:footnoteRef/>
      </w:r>
      <w:r>
        <w:t xml:space="preserve"> </w:t>
      </w:r>
      <w:r>
        <w:tab/>
        <w:t>NER, cll. 6.5.2, 6A.6.2;</w:t>
      </w:r>
      <w:r w:rsidRPr="0042735A">
        <w:t xml:space="preserve"> </w:t>
      </w:r>
      <w:r>
        <w:t>NGR, r. 87.</w:t>
      </w:r>
    </w:p>
  </w:footnote>
  <w:footnote w:id="298">
    <w:p w:rsidR="00881794" w:rsidRDefault="00881794">
      <w:pPr>
        <w:pStyle w:val="FootnoteText"/>
      </w:pPr>
      <w:r>
        <w:rPr>
          <w:rStyle w:val="FootnoteReference"/>
        </w:rPr>
        <w:footnoteRef/>
      </w:r>
      <w:r>
        <w:t xml:space="preserve"> </w:t>
      </w:r>
      <w:r>
        <w:tab/>
      </w:r>
      <w:r w:rsidRPr="00ED480E">
        <w:t xml:space="preserve">Handley, </w:t>
      </w:r>
      <w:r w:rsidRPr="005764F6">
        <w:rPr>
          <w:rStyle w:val="AERtextitalic"/>
        </w:rPr>
        <w:t>Report prepared for the Australian Energy Regulator: Advice on the value of imputation credits</w:t>
      </w:r>
      <w:r w:rsidRPr="00ED480E">
        <w:t>, 29</w:t>
      </w:r>
      <w:r>
        <w:t xml:space="preserve"> </w:t>
      </w:r>
      <w:r w:rsidRPr="00ED480E">
        <w:t>September 2014, pp</w:t>
      </w:r>
      <w:r>
        <w:t>. </w:t>
      </w:r>
      <w:r w:rsidRPr="00ED480E">
        <w:t>9, 17.</w:t>
      </w:r>
    </w:p>
  </w:footnote>
  <w:footnote w:id="299">
    <w:p w:rsidR="00881794" w:rsidRDefault="00881794">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00">
    <w:p w:rsidR="00881794" w:rsidRDefault="00881794">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01">
    <w:p w:rsidR="00881794" w:rsidRDefault="00881794" w:rsidP="00B27BE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302">
    <w:p w:rsidR="00881794" w:rsidRDefault="00881794">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26 February 2016, para. 1100</w:t>
      </w:r>
      <w:r w:rsidRPr="005764F6">
        <w:t xml:space="preserve">; 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12 May 2016.</w:t>
      </w:r>
    </w:p>
  </w:footnote>
  <w:footnote w:id="303">
    <w:p w:rsidR="00881794" w:rsidRDefault="00881794">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January 2016, para. 1100.</w:t>
      </w:r>
    </w:p>
  </w:footnote>
  <w:footnote w:id="304">
    <w:p w:rsidR="00881794" w:rsidRPr="00CD707C" w:rsidRDefault="00881794">
      <w:pPr>
        <w:pStyle w:val="FootnoteText"/>
      </w:pPr>
      <w:r>
        <w:rPr>
          <w:rStyle w:val="FootnoteReference"/>
        </w:rPr>
        <w:footnoteRef/>
      </w:r>
      <w:r>
        <w:t xml:space="preserve"> </w:t>
      </w:r>
      <w:r>
        <w:tab/>
      </w:r>
      <w:r w:rsidRPr="005764F6">
        <w:t xml:space="preserve">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xml:space="preserve">, 12 May 2016; </w:t>
      </w:r>
      <w:r w:rsidRPr="006D49F4">
        <w:t xml:space="preserve">Australian Competition Tribunal, </w:t>
      </w:r>
      <w:r w:rsidRPr="006D49F4">
        <w:rPr>
          <w:rStyle w:val="AERtextitalic"/>
        </w:rPr>
        <w:t>Application by Public Interest Advocacy Centre Ltd and Ausgrid [2016] ACompT 1</w:t>
      </w:r>
      <w:r w:rsidRPr="006D49F4">
        <w:t>, 26 February 2016, para. 1100.</w:t>
      </w:r>
    </w:p>
  </w:footnote>
  <w:footnote w:id="305">
    <w:p w:rsidR="00881794" w:rsidRDefault="00881794" w:rsidP="00B27BE5">
      <w:pPr>
        <w:pStyle w:val="FootnoteText"/>
      </w:pPr>
      <w:r>
        <w:rPr>
          <w:rStyle w:val="FootnoteReference"/>
        </w:rPr>
        <w:footnoteRef/>
      </w:r>
      <w:r>
        <w:t xml:space="preserve"> </w:t>
      </w:r>
      <w:r>
        <w:tab/>
        <w:t xml:space="preserve">It is approximately equal due to the time value of money that impacts the present valuation of distributed imputation credits. However, we consider any discounting for this would be immaterial for the reasons discussed in section </w:t>
      </w:r>
      <w:r>
        <w:fldChar w:fldCharType="begin"/>
      </w:r>
      <w:r>
        <w:instrText xml:space="preserve"> REF _Ref414099389 \r \h </w:instrText>
      </w:r>
      <w:r>
        <w:fldChar w:fldCharType="separate"/>
      </w:r>
      <w:r>
        <w:t>A.8.3</w:t>
      </w:r>
      <w:r>
        <w:fldChar w:fldCharType="end"/>
      </w:r>
    </w:p>
  </w:footnote>
  <w:footnote w:id="306">
    <w:p w:rsidR="00881794" w:rsidRDefault="00881794" w:rsidP="00B27BE5">
      <w:pPr>
        <w:pStyle w:val="FootnoteText"/>
      </w:pPr>
      <w:r>
        <w:rPr>
          <w:rStyle w:val="FootnoteReference"/>
        </w:rPr>
        <w:footnoteRef/>
      </w:r>
      <w:r>
        <w:t xml:space="preserve"> </w:t>
      </w:r>
      <w:r>
        <w:tab/>
        <w:t>This is evident in companies having positive franking account balances in aggregate.</w:t>
      </w:r>
    </w:p>
  </w:footnote>
  <w:footnote w:id="307">
    <w:p w:rsidR="00881794" w:rsidRDefault="00881794" w:rsidP="00B27BE5">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308">
    <w:p w:rsidR="00881794" w:rsidRDefault="00881794" w:rsidP="00B27BE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309">
    <w:p w:rsidR="00881794" w:rsidRDefault="00881794" w:rsidP="00B27BE5">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310">
    <w:p w:rsidR="00881794" w:rsidRDefault="00881794" w:rsidP="00B27BE5">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311">
    <w:p w:rsidR="00881794" w:rsidRDefault="00881794" w:rsidP="00B27BE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312">
    <w:p w:rsidR="00881794" w:rsidRDefault="00881794" w:rsidP="00B27BE5">
      <w:pPr>
        <w:pStyle w:val="FootnoteText"/>
      </w:pPr>
      <w:r>
        <w:rPr>
          <w:rStyle w:val="FootnoteReference"/>
        </w:rPr>
        <w:footnoteRef/>
      </w:r>
      <w:r>
        <w:t xml:space="preserve"> </w:t>
      </w:r>
      <w:r>
        <w:tab/>
      </w:r>
      <w:r w:rsidRPr="003B4589">
        <w:t>L. Gitman, R. Juchau and J. Flanagan, Principles of Manageria</w:t>
      </w:r>
      <w:r>
        <w:t>l Finance, 6th Edition, 2011, p</w:t>
      </w:r>
      <w:r w:rsidRPr="003B4589">
        <w:t xml:space="preserve">. </w:t>
      </w:r>
      <w:r>
        <w:t>475</w:t>
      </w:r>
      <w:r w:rsidRPr="003B4589">
        <w:t>.</w:t>
      </w:r>
      <w:r>
        <w:t xml:space="preserve"> </w:t>
      </w:r>
    </w:p>
  </w:footnote>
  <w:footnote w:id="313">
    <w:p w:rsidR="00881794" w:rsidRDefault="00881794" w:rsidP="00B27BE5">
      <w:pPr>
        <w:pStyle w:val="FootnoteText"/>
      </w:pPr>
      <w:r>
        <w:rPr>
          <w:rStyle w:val="FootnoteReference"/>
        </w:rPr>
        <w:footnoteRef/>
      </w:r>
      <w:r>
        <w:t xml:space="preserve"> </w:t>
      </w:r>
      <w:r>
        <w:tab/>
        <w:t xml:space="preserve">Caltex Australia Limited, </w:t>
      </w:r>
      <w:r w:rsidRPr="005764F6">
        <w:rPr>
          <w:rStyle w:val="AERtextitalic"/>
        </w:rPr>
        <w:t>Off-market buy-back booklet</w:t>
      </w:r>
      <w:r>
        <w:t>, 26 February 2016; Caltex Australia Limited</w:t>
      </w:r>
      <w:r w:rsidRPr="005764F6">
        <w:rPr>
          <w:rStyle w:val="AERtextitalic"/>
        </w:rPr>
        <w:t>, Caltex successfully completes $270m off-market share buy-back</w:t>
      </w:r>
      <w:r>
        <w:t>, 11 April 2016.</w:t>
      </w:r>
    </w:p>
  </w:footnote>
  <w:footnote w:id="314">
    <w:p w:rsidR="00881794" w:rsidRDefault="00881794" w:rsidP="00B27BE5">
      <w:pPr>
        <w:pStyle w:val="FootnoteText"/>
      </w:pPr>
      <w:r>
        <w:rPr>
          <w:rStyle w:val="FootnoteReference"/>
        </w:rPr>
        <w:footnoteRef/>
      </w:r>
      <w:r>
        <w:t xml:space="preserve"> </w:t>
      </w:r>
      <w:r>
        <w:tab/>
        <w:t xml:space="preserve">Professor Gray undertook reports for both SFG and Frontier economics. To avoid confusion, we have generally referred to Professor Gray by name with the consulting firm after his name. </w:t>
      </w:r>
    </w:p>
  </w:footnote>
  <w:footnote w:id="315">
    <w:p w:rsidR="00881794" w:rsidRDefault="00881794" w:rsidP="00B27BE5">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316">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17">
    <w:p w:rsidR="00881794" w:rsidRPr="00CD707C" w:rsidRDefault="00881794" w:rsidP="002E565C">
      <w:pPr>
        <w:pStyle w:val="FootnoteText"/>
      </w:pPr>
      <w:r>
        <w:rPr>
          <w:rStyle w:val="FootnoteReference"/>
        </w:rPr>
        <w:footnoteRef/>
      </w:r>
      <w:r>
        <w:t xml:space="preserve"> </w:t>
      </w:r>
      <w:r>
        <w:tab/>
      </w:r>
      <w:r w:rsidRPr="006D49F4">
        <w:t>United Energy, Submission on AER preliminary determination - Submission on gamma, 26 April 2016; CitiPower/Powercor, Submission on implications of recent Australian Competition Tribunal Decision, 18 April 2016; ActewAGL, Implication of recent Tribunal decisions for final decision and updates to the allowed rate of return and forecast inflation estimate, 12 May 2016; Australian Competition Tribunal, Application by Public Interest Advocacy Centre Ltd and Ausgrid [2016] ACompT 1, 26 February 2016, para. 1073.</w:t>
      </w:r>
    </w:p>
  </w:footnote>
  <w:footnote w:id="318">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19">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320">
    <w:p w:rsidR="00881794" w:rsidRDefault="00881794" w:rsidP="00B27BE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321">
    <w:p w:rsidR="00881794" w:rsidRDefault="00881794" w:rsidP="00B27BE5">
      <w:pPr>
        <w:pStyle w:val="FootnoteText"/>
      </w:pPr>
      <w:r>
        <w:rPr>
          <w:rStyle w:val="FootnoteReference"/>
        </w:rPr>
        <w:footnoteRef/>
      </w:r>
      <w:r>
        <w:t xml:space="preserve"> </w:t>
      </w:r>
      <w:r>
        <w:tab/>
        <w:t>See section A.6.1 of the draft decisions.</w:t>
      </w:r>
    </w:p>
  </w:footnote>
  <w:footnote w:id="322">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323">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324">
    <w:p w:rsidR="00881794" w:rsidRDefault="00881794" w:rsidP="00B27BE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325">
    <w:p w:rsidR="00881794" w:rsidRDefault="00881794" w:rsidP="00B27BE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326">
    <w:p w:rsidR="00881794" w:rsidRDefault="00881794" w:rsidP="00B27BE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327">
    <w:p w:rsidR="00881794" w:rsidRDefault="00881794" w:rsidP="00B27BE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328">
    <w:p w:rsidR="00881794" w:rsidRDefault="00881794" w:rsidP="00B27BE5">
      <w:pPr>
        <w:pStyle w:val="FootnoteText"/>
      </w:pPr>
      <w:r>
        <w:rPr>
          <w:rStyle w:val="FootnoteReference"/>
        </w:rPr>
        <w:footnoteRef/>
      </w:r>
      <w:r>
        <w:t xml:space="preserve"> </w:t>
      </w:r>
      <w:r>
        <w:tab/>
        <w:t>Recall that the utilisation rate equals gamma under Officer's perpetuity framework.</w:t>
      </w:r>
    </w:p>
  </w:footnote>
  <w:footnote w:id="329">
    <w:p w:rsidR="00881794" w:rsidRDefault="00881794" w:rsidP="00B27BE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330">
    <w:p w:rsidR="00881794" w:rsidRDefault="00881794" w:rsidP="00B27BE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pp. 11–17.</w:t>
      </w:r>
    </w:p>
  </w:footnote>
  <w:footnote w:id="331">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332">
    <w:p w:rsidR="00881794" w:rsidRDefault="00881794" w:rsidP="00B27BE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333">
    <w:p w:rsidR="00881794" w:rsidRDefault="00881794" w:rsidP="00B27BE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334">
    <w:p w:rsidR="00881794" w:rsidRDefault="00881794" w:rsidP="00B27BE5">
      <w:pPr>
        <w:pStyle w:val="FootnoteText"/>
      </w:pPr>
      <w:r>
        <w:rPr>
          <w:rStyle w:val="FootnoteReference"/>
        </w:rPr>
        <w:footnoteRef/>
      </w:r>
      <w:r>
        <w:t xml:space="preserve"> </w:t>
      </w:r>
      <w:r>
        <w:tab/>
      </w:r>
      <w:r w:rsidRPr="00182E64">
        <w:t xml:space="preserve">G. Peirson, R. Brown, S. Easton and P. Howard, </w:t>
      </w:r>
      <w:r w:rsidRPr="00182E64">
        <w:rPr>
          <w:rStyle w:val="AERtextitalic"/>
        </w:rPr>
        <w:t>Business Finance</w:t>
      </w:r>
      <w:r>
        <w:t>, 10th Edition, 2009</w:t>
      </w:r>
      <w:r w:rsidRPr="00182E64">
        <w:t>, p</w:t>
      </w:r>
      <w:r>
        <w:t>p. 429 and 432</w:t>
      </w:r>
      <w:r w:rsidRPr="00182E64">
        <w:t>.</w:t>
      </w:r>
    </w:p>
  </w:footnote>
  <w:footnote w:id="335">
    <w:p w:rsidR="00881794" w:rsidRDefault="00881794" w:rsidP="00B27BE5">
      <w:pPr>
        <w:pStyle w:val="FootnoteText"/>
      </w:pPr>
      <w:r>
        <w:rPr>
          <w:rStyle w:val="FootnoteReference"/>
        </w:rPr>
        <w:footnoteRef/>
      </w:r>
      <w:r>
        <w:t xml:space="preserve"> </w:t>
      </w:r>
      <w:r>
        <w:tab/>
        <w:t xml:space="preserve">J. Berk, P. DeMarzo, J. Harford, G. Ford, V. Mollica and N. Finch, </w:t>
      </w:r>
      <w:r w:rsidRPr="00B27E42">
        <w:rPr>
          <w:rStyle w:val="AERtextitalic"/>
        </w:rPr>
        <w:t>Fundamentals of Corporate Finance</w:t>
      </w:r>
      <w:r>
        <w:t>, 2nd Edition, 2014, p. 535.</w:t>
      </w:r>
    </w:p>
  </w:footnote>
  <w:footnote w:id="336">
    <w:p w:rsidR="00881794" w:rsidRDefault="00881794" w:rsidP="00B27BE5">
      <w:pPr>
        <w:pStyle w:val="FootnoteText"/>
      </w:pPr>
      <w:r>
        <w:rPr>
          <w:rStyle w:val="FootnoteReference"/>
        </w:rPr>
        <w:footnoteRef/>
      </w:r>
      <w:r>
        <w:t xml:space="preserve"> </w:t>
      </w:r>
      <w:r>
        <w:tab/>
        <w:t>L. Gitman, R. Juchau and J. Flanagan, Principles of Managerial Finance, 6th Edition, 2011, pp. 543 and 546.</w:t>
      </w:r>
    </w:p>
  </w:footnote>
  <w:footnote w:id="337">
    <w:p w:rsidR="00881794" w:rsidRDefault="00881794" w:rsidP="00B27BE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338">
    <w:p w:rsidR="00881794" w:rsidRDefault="00881794" w:rsidP="00B27BE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9.</w:t>
      </w:r>
    </w:p>
  </w:footnote>
  <w:footnote w:id="339">
    <w:p w:rsidR="00881794" w:rsidRDefault="00881794" w:rsidP="00B27BE5">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523, footnote 8.</w:t>
      </w:r>
    </w:p>
  </w:footnote>
  <w:footnote w:id="340">
    <w:p w:rsidR="00881794" w:rsidRDefault="00881794" w:rsidP="00B27BE5">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526.</w:t>
      </w:r>
    </w:p>
  </w:footnote>
  <w:footnote w:id="341">
    <w:p w:rsidR="00881794" w:rsidRDefault="00881794" w:rsidP="00B27BE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342">
    <w:p w:rsidR="00881794" w:rsidRDefault="00881794" w:rsidP="00B27BE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343">
    <w:p w:rsidR="00881794" w:rsidRDefault="00881794" w:rsidP="00B27BE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6.</w:t>
      </w:r>
    </w:p>
  </w:footnote>
  <w:footnote w:id="344">
    <w:p w:rsidR="00881794" w:rsidRDefault="00881794" w:rsidP="00B27BE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345">
    <w:p w:rsidR="00881794" w:rsidRDefault="00881794" w:rsidP="00B27BE5">
      <w:pPr>
        <w:pStyle w:val="FootnoteText"/>
      </w:pPr>
      <w:r>
        <w:rPr>
          <w:rStyle w:val="FootnoteReference"/>
        </w:rPr>
        <w:footnoteRef/>
      </w:r>
      <w:r>
        <w:t xml:space="preserve"> </w:t>
      </w:r>
      <w:r>
        <w:tab/>
        <w:t xml:space="preserve">Access Arrangement Information for Australian Gas Networks' South Australian Natural Gas Distribution Network, p. 11, July 2015; Frontier Economics, </w:t>
      </w:r>
      <w:r w:rsidRPr="00D14DE4">
        <w:rPr>
          <w:rStyle w:val="AERtextitalic"/>
        </w:rPr>
        <w:t>An appropriate regulatory estimate of gamma</w:t>
      </w:r>
      <w:r>
        <w:t>, June 2015, pp. 45–48.</w:t>
      </w:r>
    </w:p>
  </w:footnote>
  <w:footnote w:id="346">
    <w:p w:rsidR="00881794" w:rsidRDefault="00881794" w:rsidP="00B27BE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w:t>
      </w:r>
    </w:p>
  </w:footnote>
  <w:footnote w:id="347">
    <w:p w:rsidR="00881794" w:rsidRDefault="00881794" w:rsidP="00B27BE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348">
    <w:p w:rsidR="00881794" w:rsidRDefault="00881794" w:rsidP="00B27BE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46.</w:t>
      </w:r>
    </w:p>
  </w:footnote>
  <w:footnote w:id="349">
    <w:p w:rsidR="00881794" w:rsidRDefault="00881794" w:rsidP="00B27BE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350">
    <w:p w:rsidR="00881794" w:rsidRDefault="00881794" w:rsidP="00B27BE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351">
    <w:p w:rsidR="00881794" w:rsidRDefault="00881794" w:rsidP="00B27BE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352">
    <w:p w:rsidR="00881794" w:rsidRDefault="00881794" w:rsidP="00B27BE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17–18.</w:t>
      </w:r>
    </w:p>
  </w:footnote>
  <w:footnote w:id="353">
    <w:p w:rsidR="00881794" w:rsidRDefault="00881794" w:rsidP="00B27BE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354">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355">
    <w:p w:rsidR="00881794" w:rsidRDefault="00881794" w:rsidP="00B27BE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356">
    <w:p w:rsidR="00881794" w:rsidRDefault="00881794" w:rsidP="00B27BE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357">
    <w:p w:rsidR="00881794" w:rsidRDefault="00881794" w:rsidP="00B27BE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358">
    <w:p w:rsidR="00881794" w:rsidRDefault="00881794" w:rsidP="00B27BE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359">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8-9.</w:t>
      </w:r>
    </w:p>
  </w:footnote>
  <w:footnote w:id="360">
    <w:p w:rsidR="00881794" w:rsidRDefault="00881794" w:rsidP="00B27BE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361">
    <w:p w:rsidR="00881794" w:rsidRDefault="00881794" w:rsidP="00B27BE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362">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2,4,6;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363">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6; ActewAGL, </w:t>
      </w:r>
      <w:r w:rsidRPr="00AF5B33">
        <w:rPr>
          <w:rStyle w:val="AERtextitalic"/>
        </w:rPr>
        <w:t>Appendix 5.01 Detailed response to rate of return, gamma and inflation</w:t>
      </w:r>
      <w:r>
        <w:t xml:space="preserve">, January 2016, pp. 41, 108; AusNet Electricity Services, </w:t>
      </w:r>
      <w:r w:rsidRPr="00AF5B33">
        <w:rPr>
          <w:rStyle w:val="AERtextitalic"/>
        </w:rPr>
        <w:t>Revised Regulatory Proposal</w:t>
      </w:r>
      <w:r>
        <w:t xml:space="preserve">, January 2016, pp. 7-79,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January 2016, p. 352.</w:t>
      </w:r>
    </w:p>
  </w:footnote>
  <w:footnote w:id="364">
    <w:p w:rsidR="00881794" w:rsidRDefault="00881794" w:rsidP="00B27BE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JGN, </w:t>
      </w:r>
      <w:r w:rsidRPr="000E181F">
        <w:rPr>
          <w:rStyle w:val="AERtextitalic"/>
        </w:rPr>
        <w:t>Gamma - response to the draft decision</w:t>
      </w:r>
      <w:r>
        <w:t xml:space="preserve">, February 2015, p. 6; AusNet Services, </w:t>
      </w:r>
      <w:r w:rsidRPr="00596AF9">
        <w:rPr>
          <w:i/>
        </w:rPr>
        <w:t>2016-20 Regulatory Proposal</w:t>
      </w:r>
      <w:r>
        <w:t xml:space="preserve">, April 2015, p. 360; United Energy, </w:t>
      </w:r>
      <w:r w:rsidRPr="00596AF9">
        <w:rPr>
          <w:i/>
        </w:rPr>
        <w:t>Assessment of the Value of Imputation Credits - Gamma, Proposal for 2016 to 2020</w:t>
      </w:r>
      <w:r>
        <w:t xml:space="preserve">, April 2015, p. 9; CitiPower,- </w:t>
      </w:r>
      <w:r w:rsidRPr="00596AF9">
        <w:rPr>
          <w:i/>
        </w:rPr>
        <w:t>Appendix J - Gamma</w:t>
      </w:r>
      <w:r>
        <w:t xml:space="preserve">, April 2015, p. 9; Powercor, </w:t>
      </w:r>
      <w:r w:rsidRPr="00596AF9">
        <w:rPr>
          <w:i/>
        </w:rPr>
        <w:t>Appendix J - Gamma</w:t>
      </w:r>
      <w:r>
        <w:t xml:space="preserve">, April 2015, p. 9; Jemena Electricity, </w:t>
      </w:r>
      <w:r w:rsidRPr="00596AF9">
        <w:rPr>
          <w:i/>
        </w:rPr>
        <w:t>Attachment 06-06 Gamma proposal</w:t>
      </w:r>
      <w:r>
        <w:t xml:space="preserve">, April 2015, p. 9 ; Energex, </w:t>
      </w:r>
      <w:r w:rsidRPr="00596AF9">
        <w:rPr>
          <w:i/>
        </w:rPr>
        <w:t>Submission on Energex's regulatory proposal 2015-20 and AER issues paper - attachment 2</w:t>
      </w:r>
      <w:r>
        <w:t xml:space="preserve">, January 2015, p. 6; ActewAGL Distribution, </w:t>
      </w:r>
      <w:r w:rsidRPr="00596AF9">
        <w:rPr>
          <w:i/>
        </w:rPr>
        <w:t xml:space="preserve">Attachment 8 Detailed gamma proposal, </w:t>
      </w:r>
      <w:r>
        <w:t xml:space="preserve">June 2015, p. 7. </w:t>
      </w:r>
    </w:p>
  </w:footnote>
  <w:footnote w:id="365">
    <w:p w:rsidR="00881794" w:rsidRDefault="00881794" w:rsidP="00B27BE5">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 138.</w:t>
      </w:r>
    </w:p>
  </w:footnote>
  <w:footnote w:id="366">
    <w:p w:rsidR="00881794" w:rsidRDefault="00881794" w:rsidP="00B27BE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3-4.</w:t>
      </w:r>
    </w:p>
  </w:footnote>
  <w:footnote w:id="367">
    <w:p w:rsidR="00881794" w:rsidRDefault="00881794" w:rsidP="00B27BE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 3.</w:t>
      </w:r>
    </w:p>
  </w:footnote>
  <w:footnote w:id="368">
    <w:p w:rsidR="00881794" w:rsidRDefault="00881794" w:rsidP="00B27BE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369">
    <w:p w:rsidR="00881794" w:rsidRDefault="00881794" w:rsidP="00B27BE5">
      <w:pPr>
        <w:pStyle w:val="FootnoteText"/>
      </w:pPr>
      <w:r>
        <w:rPr>
          <w:rStyle w:val="FootnoteReference"/>
        </w:rPr>
        <w:footnoteRef/>
      </w:r>
      <w:r>
        <w:t xml:space="preserve"> </w:t>
      </w:r>
      <w:r>
        <w:tab/>
      </w:r>
      <w:r w:rsidRPr="00AF088D">
        <w:t xml:space="preserve">SFG, </w:t>
      </w:r>
      <w:r w:rsidRPr="00AF088D">
        <w:rPr>
          <w:rStyle w:val="AERtextitalic"/>
        </w:rPr>
        <w:t>Updated dividend drop-off estimate of theta: Report for the Energy Networks Association</w:t>
      </w:r>
      <w:r w:rsidRPr="00AF088D">
        <w:t>, 7 </w:t>
      </w:r>
      <w:r>
        <w:t>June 2013, pp. 18-20.</w:t>
      </w:r>
    </w:p>
  </w:footnote>
  <w:footnote w:id="370">
    <w:p w:rsidR="00881794" w:rsidRDefault="00881794" w:rsidP="00B27BE5">
      <w:pPr>
        <w:pStyle w:val="FootnoteText"/>
      </w:pPr>
      <w:r>
        <w:rPr>
          <w:rStyle w:val="FootnoteReference"/>
        </w:rPr>
        <w:footnoteRef/>
      </w:r>
      <w:r>
        <w:t xml:space="preserve"> </w:t>
      </w:r>
      <w:r>
        <w:tab/>
        <w:t xml:space="preserve">Capital gains are normally taxed at half the marginal tax rate if the investment was held for a period of 12 months or more. See ATO: </w:t>
      </w:r>
      <w:r w:rsidRPr="005764F6">
        <w:t>https://www.ato.gov.au/general/capital-gains-tax/working-out-your-capital-gain-or-loss/working-out-your-capital-gain/</w:t>
      </w:r>
      <w:r>
        <w:t xml:space="preserve"> accessed: 20 May 2016.</w:t>
      </w:r>
    </w:p>
  </w:footnote>
  <w:footnote w:id="371">
    <w:p w:rsidR="00881794" w:rsidRDefault="00881794" w:rsidP="00B27BE5">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372">
    <w:p w:rsidR="00881794" w:rsidRDefault="00881794" w:rsidP="0024310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590D86">
        <w:t xml:space="preserve">. </w:t>
      </w:r>
      <w:r w:rsidRPr="006D49F4">
        <w:t>1073.</w:t>
      </w:r>
    </w:p>
  </w:footnote>
  <w:footnote w:id="373">
    <w:p w:rsidR="00881794" w:rsidRDefault="00881794" w:rsidP="009B3753">
      <w:pPr>
        <w:pStyle w:val="FootnoteText"/>
      </w:pPr>
      <w:r>
        <w:rPr>
          <w:rStyle w:val="FootnoteReference"/>
        </w:rPr>
        <w:footnoteRef/>
      </w:r>
      <w:r>
        <w:t xml:space="preserve"> </w:t>
      </w:r>
      <w:r>
        <w:tab/>
      </w:r>
      <w:r w:rsidRPr="00712BC2">
        <w:t xml:space="preserve">M. Lally, </w:t>
      </w:r>
      <w:r>
        <w:rPr>
          <w:rStyle w:val="AERtextitalic"/>
        </w:rPr>
        <w:t>Gamma and the ACT Decision</w:t>
      </w:r>
      <w:r>
        <w:t>, May 2016, p. 12.</w:t>
      </w:r>
    </w:p>
  </w:footnote>
  <w:footnote w:id="374">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p>
  </w:footnote>
  <w:footnote w:id="375">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p>
  </w:footnote>
  <w:footnote w:id="376">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377">
    <w:p w:rsidR="00881794" w:rsidRDefault="00881794" w:rsidP="00B27BE5">
      <w:pPr>
        <w:pStyle w:val="FootnoteText"/>
      </w:pPr>
      <w:r>
        <w:rPr>
          <w:rStyle w:val="FootnoteReference"/>
        </w:rPr>
        <w:footnoteRef/>
      </w:r>
      <w:r>
        <w:t xml:space="preserve"> </w:t>
      </w:r>
      <w:r>
        <w:tab/>
        <w:t>Frontier Economics, The appropriate use of tax statistics when estimating gamma, January 2016, p. 7.</w:t>
      </w:r>
    </w:p>
  </w:footnote>
  <w:footnote w:id="378">
    <w:p w:rsidR="00881794" w:rsidRDefault="00881794" w:rsidP="00B27BE5">
      <w:pPr>
        <w:pStyle w:val="FootnoteText"/>
      </w:pPr>
      <w:r>
        <w:rPr>
          <w:rStyle w:val="FootnoteReference"/>
        </w:rPr>
        <w:footnoteRef/>
      </w:r>
      <w:r>
        <w:t xml:space="preserve"> </w:t>
      </w:r>
      <w:r>
        <w:tab/>
        <w:t>Frontier Economics, The appropriate use of tax statistics when estimating gamma, January 2016, p. 7.</w:t>
      </w:r>
    </w:p>
  </w:footnote>
  <w:footnote w:id="379">
    <w:p w:rsidR="00881794" w:rsidRDefault="00881794" w:rsidP="00B27BE5">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380">
    <w:p w:rsidR="00881794" w:rsidRDefault="00881794" w:rsidP="00B27BE5">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381">
    <w:p w:rsidR="00881794" w:rsidRDefault="00881794" w:rsidP="00B27BE5">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382">
    <w:p w:rsidR="00881794" w:rsidRDefault="00881794" w:rsidP="00B27BE5">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383">
    <w:p w:rsidR="00881794" w:rsidRDefault="00881794" w:rsidP="00B27BE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384">
    <w:p w:rsidR="00881794"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1048 and 1090.</w:t>
      </w:r>
    </w:p>
  </w:footnote>
  <w:footnote w:id="385">
    <w:p w:rsidR="00881794" w:rsidRPr="00590D86" w:rsidRDefault="00881794" w:rsidP="00695AF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1092.</w:t>
      </w:r>
    </w:p>
  </w:footnote>
  <w:footnote w:id="386">
    <w:p w:rsidR="00881794" w:rsidRDefault="00881794" w:rsidP="00B27BE5">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387">
    <w:p w:rsidR="00881794" w:rsidRDefault="00881794" w:rsidP="00B27BE5">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388">
    <w:p w:rsidR="00881794" w:rsidRDefault="00881794" w:rsidP="00B27BE5">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_Ref451288073 \r \h </w:instrText>
      </w:r>
      <w:r>
        <w:fldChar w:fldCharType="separate"/>
      </w:r>
      <w:r>
        <w:t>4.4</w:t>
      </w:r>
      <w:r>
        <w:fldChar w:fldCharType="end"/>
      </w:r>
      <w:r>
        <w:t xml:space="preserve">of attachment 4.  </w:t>
      </w:r>
    </w:p>
  </w:footnote>
  <w:footnote w:id="389">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10; ActewAGL, </w:t>
      </w:r>
      <w:r w:rsidRPr="00AF5B33">
        <w:rPr>
          <w:rStyle w:val="AERtextitalic"/>
        </w:rPr>
        <w:t>Appendix 5.01 Detailed response to rate of return, gamma and inflation</w:t>
      </w:r>
      <w:r>
        <w:t xml:space="preserve">, January 2016, p. 113;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 90; Powercor, </w:t>
      </w:r>
      <w:r w:rsidRPr="00AF5B33">
        <w:rPr>
          <w:rStyle w:val="AERtextitalic"/>
        </w:rPr>
        <w:t>Revised Regulatory Proposal 2016-2020</w:t>
      </w:r>
      <w:r>
        <w:t>, January 2016, p. 356.</w:t>
      </w:r>
    </w:p>
  </w:footnote>
  <w:footnote w:id="390">
    <w:p w:rsidR="00881794" w:rsidRDefault="00881794" w:rsidP="00B27BE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391">
    <w:p w:rsidR="00881794" w:rsidRDefault="00881794" w:rsidP="00B27BE5">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392">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393">
    <w:p w:rsidR="00881794" w:rsidRDefault="00881794" w:rsidP="00B27BE5">
      <w:pPr>
        <w:pStyle w:val="FootnoteText"/>
      </w:pPr>
      <w:r>
        <w:rPr>
          <w:rStyle w:val="FootnoteReference"/>
        </w:rPr>
        <w:footnoteRef/>
      </w:r>
      <w:r>
        <w:t xml:space="preserve"> </w:t>
      </w:r>
      <w:r>
        <w:tab/>
        <w:t xml:space="preserve">Frontier Economics, The appropriate use of tax statistics when estimating gamma, January 2016, </w:t>
      </w:r>
      <w:r w:rsidRPr="006D49F4">
        <w:t>p. 28.</w:t>
      </w:r>
    </w:p>
  </w:footnote>
  <w:footnote w:id="394">
    <w:p w:rsidR="00881794" w:rsidRDefault="00881794" w:rsidP="00B27BE5">
      <w:pPr>
        <w:pStyle w:val="FootnoteText"/>
      </w:pPr>
      <w:r>
        <w:rPr>
          <w:rStyle w:val="FootnoteReference"/>
        </w:rPr>
        <w:footnoteRef/>
      </w:r>
      <w:r>
        <w:t xml:space="preserve"> </w:t>
      </w:r>
      <w:r>
        <w:tab/>
        <w:t xml:space="preserve">See: </w:t>
      </w:r>
      <w:r w:rsidRPr="00F0207D">
        <w:t>http://taxreview.treasury.gov.au/content/FinalReport.aspx?doc=html/publications/Papers/Final_Report_Part_2/chapter_b2-3.htm</w:t>
      </w:r>
      <w:r>
        <w:t xml:space="preserve">. Accessed: 21 May 2016; </w:t>
      </w:r>
      <w:r w:rsidRPr="00F0207D">
        <w:t xml:space="preserve">M. Lally, </w:t>
      </w:r>
      <w:r w:rsidRPr="00F0207D">
        <w:rPr>
          <w:rStyle w:val="AERtextitalic"/>
        </w:rPr>
        <w:t>Gamma and the ACT Decision</w:t>
      </w:r>
      <w:r w:rsidRPr="00F0207D">
        <w:t>, May 2016, p</w:t>
      </w:r>
      <w:r>
        <w:t>. </w:t>
      </w:r>
      <w:r w:rsidRPr="00F0207D">
        <w:t>20.</w:t>
      </w:r>
    </w:p>
  </w:footnote>
  <w:footnote w:id="395">
    <w:p w:rsidR="00881794" w:rsidRDefault="00881794" w:rsidP="005764F6">
      <w:pPr>
        <w:pStyle w:val="FootnoteText"/>
        <w:ind w:left="0" w:firstLine="0"/>
      </w:pPr>
      <w:r>
        <w:rPr>
          <w:rStyle w:val="FootnoteReference"/>
        </w:rPr>
        <w:footnoteRef/>
      </w:r>
      <w:r>
        <w:t xml:space="preserve"> </w:t>
      </w:r>
      <w:r>
        <w:tab/>
        <w:t xml:space="preserve">Frontier Economics, </w:t>
      </w:r>
      <w:r w:rsidRPr="00D14DE4">
        <w:rPr>
          <w:rStyle w:val="AERtextitalic"/>
        </w:rPr>
        <w:t>An appropriate regulatory estimate of gamma</w:t>
      </w:r>
      <w:r>
        <w:t>, June 2015, p. 41.</w:t>
      </w:r>
    </w:p>
  </w:footnote>
  <w:footnote w:id="396">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397">
    <w:p w:rsidR="00881794" w:rsidRDefault="00881794" w:rsidP="001F7D16">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398">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399">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00">
    <w:p w:rsidR="00881794" w:rsidRDefault="00881794" w:rsidP="00B27BE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01">
    <w:p w:rsidR="00881794" w:rsidRDefault="00881794" w:rsidP="00B27BE5">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402">
    <w:p w:rsidR="00881794" w:rsidRDefault="00881794" w:rsidP="00B27BE5">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403">
    <w:p w:rsidR="00881794" w:rsidRDefault="00881794">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rsidRPr="00B9466C">
        <w:t xml:space="preserve">, </w:t>
      </w:r>
      <w:r>
        <w:t xml:space="preserve">May 2016, </w:t>
      </w:r>
      <w:r w:rsidRPr="00B9466C">
        <w:t>p. </w:t>
      </w:r>
      <w:r>
        <w:t>29</w:t>
      </w:r>
      <w:r w:rsidRPr="00B9466C">
        <w:t>.</w:t>
      </w:r>
    </w:p>
  </w:footnote>
  <w:footnote w:id="404">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9-10.</w:t>
      </w:r>
    </w:p>
  </w:footnote>
  <w:footnote w:id="405">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06">
    <w:p w:rsidR="00881794" w:rsidRDefault="00881794" w:rsidP="00B27BE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07">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12;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83-84;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408">
    <w:p w:rsidR="00881794" w:rsidRDefault="00881794" w:rsidP="00B27BE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409">
    <w:p w:rsidR="00881794" w:rsidRDefault="00881794" w:rsidP="00B27BE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410">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411">
    <w:p w:rsidR="00881794" w:rsidRDefault="00881794" w:rsidP="00B27BE5">
      <w:pPr>
        <w:pStyle w:val="FootnoteText"/>
      </w:pPr>
      <w:r>
        <w:rPr>
          <w:rStyle w:val="FootnoteReference"/>
        </w:rPr>
        <w:footnoteRef/>
      </w:r>
      <w:r>
        <w:t xml:space="preserve"> </w:t>
      </w:r>
      <w:r>
        <w:tab/>
        <w:t>The refined foreign ownership share of all equity between June 2001 and December 2012 was 0.39 on average.</w:t>
      </w:r>
    </w:p>
  </w:footnote>
  <w:footnote w:id="412">
    <w:p w:rsidR="00881794" w:rsidRDefault="00881794" w:rsidP="00B27BE5">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413">
    <w:p w:rsidR="00881794" w:rsidRDefault="00881794" w:rsidP="00B27BE5">
      <w:pPr>
        <w:pStyle w:val="FootnoteText"/>
      </w:pPr>
      <w:r>
        <w:rPr>
          <w:rStyle w:val="FootnoteReference"/>
        </w:rPr>
        <w:footnoteRef/>
      </w:r>
      <w:r>
        <w:t xml:space="preserve"> </w:t>
      </w:r>
      <w:r>
        <w:tab/>
        <w:t xml:space="preserve">NERA, </w:t>
      </w:r>
      <w:r w:rsidRPr="00D104AA">
        <w:rPr>
          <w:rStyle w:val="AERtextitalic"/>
        </w:rPr>
        <w:t>Estimating distribution and redemption rates from taxation statistics</w:t>
      </w:r>
      <w:r w:rsidRPr="00D104AA">
        <w:t>, March 2015, p</w:t>
      </w:r>
      <w:r>
        <w:t>p. 25–28.</w:t>
      </w:r>
    </w:p>
  </w:footnote>
  <w:footnote w:id="414">
    <w:p w:rsidR="00881794" w:rsidRDefault="00881794" w:rsidP="00B27BE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6–7.</w:t>
      </w:r>
    </w:p>
  </w:footnote>
  <w:footnote w:id="415">
    <w:p w:rsidR="00881794" w:rsidRDefault="00881794" w:rsidP="00B27BE5">
      <w:pPr>
        <w:pStyle w:val="FootnoteText"/>
      </w:pPr>
      <w:r>
        <w:rPr>
          <w:rStyle w:val="FootnoteReference"/>
        </w:rPr>
        <w:footnoteRef/>
      </w:r>
      <w:r>
        <w:t xml:space="preserve"> </w:t>
      </w:r>
      <w:r>
        <w:tab/>
        <w:t>Neville Hathaway, Imputation Credit Redemption ATO data 1988–2011 Where have all the credits gone?, September 2013, p. 25.</w:t>
      </w:r>
    </w:p>
  </w:footnote>
  <w:footnote w:id="416">
    <w:p w:rsidR="00881794" w:rsidRDefault="00881794" w:rsidP="00B27BE5">
      <w:pPr>
        <w:pStyle w:val="FootnoteText"/>
      </w:pPr>
      <w:r>
        <w:rPr>
          <w:rStyle w:val="FootnoteReference"/>
        </w:rPr>
        <w:footnoteRef/>
      </w:r>
      <w:r>
        <w:t xml:space="preserve"> </w:t>
      </w:r>
      <w:r>
        <w:tab/>
        <w:t>Neville Hathaway, Franking Credit Redemption ATO data 1988–2012 Where have all the credits gone? Draft only comments welcome, October 2014.</w:t>
      </w:r>
    </w:p>
  </w:footnote>
  <w:footnote w:id="417">
    <w:p w:rsidR="00881794" w:rsidRDefault="00881794">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t>, May 2016, p</w:t>
      </w:r>
      <w:r w:rsidRPr="00B9466C">
        <w:t>. </w:t>
      </w:r>
      <w:r>
        <w:t>23</w:t>
      </w:r>
      <w:r w:rsidRPr="00B9466C">
        <w:t>.</w:t>
      </w:r>
    </w:p>
  </w:footnote>
  <w:footnote w:id="418">
    <w:p w:rsidR="00881794" w:rsidRDefault="00881794" w:rsidP="00B27BE5">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 373; </w:t>
      </w:r>
      <w:r w:rsidRPr="0022220C">
        <w:t xml:space="preserve"> </w:t>
      </w:r>
      <w:r>
        <w:t>Access Arrangement Information for Australian Gas Networks' South Australian Natural Gas Distribution Network, p. 10, July 2015.</w:t>
      </w:r>
    </w:p>
  </w:footnote>
  <w:footnote w:id="419">
    <w:p w:rsidR="00881794" w:rsidRDefault="00881794" w:rsidP="00B27BE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 xml:space="preserve">4, p. 39; </w:t>
      </w:r>
      <w:r w:rsidRPr="004D735C">
        <w:t xml:space="preserve">J. Handley, </w:t>
      </w:r>
      <w:r>
        <w:rPr>
          <w:rStyle w:val="AERtextitalic"/>
        </w:rPr>
        <w:t xml:space="preserve">Further </w:t>
      </w:r>
      <w:r w:rsidRPr="003E6BB3">
        <w:rPr>
          <w:rStyle w:val="AERtextitalic"/>
        </w:rPr>
        <w:t>Advice on the value of imputation credits</w:t>
      </w:r>
      <w:r>
        <w:t>, 16 April 2015, p. 28.</w:t>
      </w:r>
    </w:p>
  </w:footnote>
  <w:footnote w:id="420">
    <w:p w:rsidR="00881794" w:rsidRDefault="00881794" w:rsidP="00DB67BE">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421">
    <w:p w:rsidR="00881794" w:rsidRDefault="00881794" w:rsidP="00DB67BE">
      <w:pPr>
        <w:pStyle w:val="FootnoteText"/>
      </w:pPr>
      <w:r>
        <w:rPr>
          <w:rStyle w:val="FootnoteReference"/>
        </w:rPr>
        <w:footnoteRef/>
      </w:r>
      <w:r>
        <w:t xml:space="preserve"> </w:t>
      </w:r>
      <w:r>
        <w:tab/>
        <w:t>Strictly, D is the number of domestic investors and F is the number of foreign investors. However, NERA's model assumes that each investor has starting period wealth of $1.</w:t>
      </w:r>
    </w:p>
  </w:footnote>
  <w:footnote w:id="422">
    <w:p w:rsidR="00881794" w:rsidRDefault="00881794" w:rsidP="00DB67BE">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423">
    <w:p w:rsidR="00881794" w:rsidRDefault="00881794" w:rsidP="00DB67BE">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 and 7.</w:t>
      </w:r>
      <w:r w:rsidDel="0031248F">
        <w:t xml:space="preserve"> </w:t>
      </w:r>
    </w:p>
  </w:footnote>
  <w:footnote w:id="424">
    <w:p w:rsidR="00881794" w:rsidRDefault="00881794" w:rsidP="00DB67BE">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w:t>
      </w:r>
    </w:p>
  </w:footnote>
  <w:footnote w:id="425">
    <w:p w:rsidR="00881794" w:rsidRDefault="00881794" w:rsidP="00DB67BE">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6–7.</w:t>
      </w:r>
    </w:p>
  </w:footnote>
  <w:footnote w:id="426">
    <w:p w:rsidR="00881794" w:rsidRDefault="00881794" w:rsidP="00DB67BE">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427">
    <w:p w:rsidR="00881794" w:rsidRDefault="00881794" w:rsidP="00DB67BE">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6–7.</w:t>
      </w:r>
    </w:p>
  </w:footnote>
  <w:footnote w:id="428">
    <w:p w:rsidR="00881794" w:rsidRDefault="00881794" w:rsidP="00DB67BE">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7.</w:t>
      </w:r>
    </w:p>
  </w:footnote>
  <w:footnote w:id="429">
    <w:p w:rsidR="00881794" w:rsidRDefault="00881794" w:rsidP="00DB67BE">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430">
    <w:p w:rsidR="00881794" w:rsidRDefault="00881794" w:rsidP="00DB67BE">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79.</w:t>
      </w:r>
    </w:p>
  </w:footnote>
  <w:footnote w:id="431">
    <w:p w:rsidR="00881794" w:rsidRDefault="00881794" w:rsidP="00DB67BE">
      <w:pPr>
        <w:pStyle w:val="FootnoteText"/>
      </w:pPr>
      <w:r>
        <w:rPr>
          <w:rStyle w:val="FootnoteReference"/>
        </w:rPr>
        <w:footnoteRef/>
      </w:r>
      <w:r>
        <w:t xml:space="preserve"> </w:t>
      </w:r>
      <w:r>
        <w:tab/>
        <w:t xml:space="preserve">Koedijk, K,G,, and van Dijk, M, A., 2004, Global risk factors and the cost of capital, Financial analysts journal, March/April 2004, p. 33.  </w:t>
      </w:r>
    </w:p>
  </w:footnote>
  <w:footnote w:id="432">
    <w:p w:rsidR="00881794" w:rsidRDefault="00881794" w:rsidP="00DB67BE">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8–10.</w:t>
      </w:r>
    </w:p>
  </w:footnote>
  <w:footnote w:id="433">
    <w:p w:rsidR="00881794" w:rsidRDefault="00881794" w:rsidP="00DB67BE">
      <w:pPr>
        <w:pStyle w:val="FootnoteText"/>
      </w:pPr>
      <w:r>
        <w:rPr>
          <w:rStyle w:val="FootnoteReference"/>
        </w:rPr>
        <w:footnoteRef/>
      </w:r>
      <w:r>
        <w:t xml:space="preserve"> </w:t>
      </w:r>
      <w:r>
        <w:tab/>
        <w:t xml:space="preserve">Koedijk, K,G,, and van Dijk, M, A., 2004, Global risk factors and the cost of capital, Financial analysts journal, March/April 2004, p. 33.  </w:t>
      </w:r>
    </w:p>
  </w:footnote>
  <w:footnote w:id="434">
    <w:p w:rsidR="00881794" w:rsidRDefault="00881794" w:rsidP="00DB67BE">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3.</w:t>
      </w:r>
    </w:p>
  </w:footnote>
  <w:footnote w:id="435">
    <w:p w:rsidR="00881794" w:rsidRDefault="00881794" w:rsidP="00DB67BE">
      <w:pPr>
        <w:pStyle w:val="FootnoteText"/>
      </w:pPr>
      <w:r>
        <w:rPr>
          <w:rStyle w:val="FootnoteReference"/>
        </w:rPr>
        <w:footnoteRef/>
      </w:r>
      <w:r>
        <w:t xml:space="preserve"> </w:t>
      </w:r>
      <w:r>
        <w:tab/>
        <w:t>Lally, The estimation of gamma, November 2013, pp. 39–43.</w:t>
      </w:r>
    </w:p>
  </w:footnote>
  <w:footnote w:id="436">
    <w:p w:rsidR="00881794" w:rsidRDefault="00881794" w:rsidP="00506F9B">
      <w:pPr>
        <w:pStyle w:val="FootnoteText"/>
      </w:pPr>
      <w:r>
        <w:rPr>
          <w:rStyle w:val="FootnoteReference"/>
        </w:rPr>
        <w:footnoteRef/>
      </w:r>
      <w:r>
        <w:t xml:space="preserve"> </w:t>
      </w:r>
      <w:r>
        <w:tab/>
      </w:r>
      <w:r w:rsidRPr="006D49F4">
        <w:t>United Energy, Submission on AER preliminary determination - Submission on gamma, 26 April 2016.</w:t>
      </w:r>
    </w:p>
  </w:footnote>
  <w:footnote w:id="437">
    <w:p w:rsidR="00881794" w:rsidRPr="00B27BE5" w:rsidRDefault="00881794" w:rsidP="00B27BE5">
      <w:pPr>
        <w:pStyle w:val="FootnoteText"/>
        <w:rPr>
          <w:rStyle w:val="AERtexthighlight"/>
        </w:rPr>
      </w:pPr>
      <w:r>
        <w:rPr>
          <w:rStyle w:val="FootnoteReference"/>
        </w:rPr>
        <w:footnoteRef/>
      </w:r>
      <w:r>
        <w:t xml:space="preserve"> </w:t>
      </w:r>
      <w:r>
        <w:tab/>
      </w:r>
      <w:r w:rsidRPr="006D49F4">
        <w:t>Australian Competition Tribunal, Application by Public Interest Advocacy Centre Ltd and Ausgrid [2016] ACompT 1, 26 February 2016, para. 1106.</w:t>
      </w:r>
    </w:p>
  </w:footnote>
  <w:footnote w:id="438">
    <w:p w:rsidR="00881794" w:rsidRDefault="00881794" w:rsidP="00B27BE5">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439">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  18.</w:t>
      </w:r>
    </w:p>
  </w:footnote>
  <w:footnote w:id="440">
    <w:p w:rsidR="00881794" w:rsidRDefault="00881794" w:rsidP="00B27BE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441">
    <w:p w:rsidR="00881794" w:rsidRDefault="00881794" w:rsidP="00B27BE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442">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443">
    <w:p w:rsidR="00881794" w:rsidRDefault="00881794" w:rsidP="00B27BE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w:t>
      </w:r>
      <w:r>
        <w:rPr>
          <w:i/>
        </w:rPr>
        <w:t>–</w:t>
      </w:r>
      <w:r w:rsidRPr="00596AF9">
        <w:rPr>
          <w:i/>
        </w:rPr>
        <w:t>20,</w:t>
      </w:r>
      <w:r>
        <w:t xml:space="preserve"> April 2015, p. 6; Energex, </w:t>
      </w:r>
      <w:r w:rsidRPr="003B17FF">
        <w:t>Submission on Energex's regulatory proposal 2015-20 and the AER issues paper,</w:t>
      </w:r>
      <w:r>
        <w:t xml:space="preserve"> January 2015, p. 4.</w:t>
      </w:r>
    </w:p>
  </w:footnote>
  <w:footnote w:id="444">
    <w:p w:rsidR="00881794" w:rsidRDefault="00881794" w:rsidP="00B27BE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xml:space="preserve">, February 2015, p. 17; CitiPower, </w:t>
      </w:r>
      <w:r w:rsidRPr="00596AF9">
        <w:rPr>
          <w:i/>
        </w:rPr>
        <w:t>Appendix J - Gamma</w:t>
      </w:r>
      <w:r>
        <w:t xml:space="preserve">, April 2015, pp. 4-5; Powercor, </w:t>
      </w:r>
      <w:r w:rsidRPr="00596AF9">
        <w:rPr>
          <w:i/>
        </w:rPr>
        <w:t>Regulatory Proposal 2016-20</w:t>
      </w:r>
      <w:r>
        <w:t xml:space="preserve">, April 2015, pp. 4-5; Energex, </w:t>
      </w:r>
      <w:r w:rsidRPr="00596AF9">
        <w:rPr>
          <w:i/>
        </w:rPr>
        <w:t>Revised regulatory proposal 2015-20</w:t>
      </w:r>
      <w:r>
        <w:t xml:space="preserve">, July 2015, p. 13. </w:t>
      </w:r>
    </w:p>
  </w:footnote>
  <w:footnote w:id="445">
    <w:p w:rsidR="00881794" w:rsidRDefault="00881794">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24–26</w:t>
      </w:r>
      <w:r w:rsidRPr="00727BE0">
        <w:t>.</w:t>
      </w:r>
    </w:p>
  </w:footnote>
  <w:footnote w:id="446">
    <w:p w:rsidR="00881794" w:rsidRDefault="00881794" w:rsidP="00033F58">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5</w:t>
      </w:r>
      <w:r w:rsidRPr="00727BE0">
        <w:t xml:space="preserve">, </w:t>
      </w:r>
      <w:r>
        <w:t>29</w:t>
      </w:r>
      <w:r w:rsidRPr="00727BE0">
        <w:t>.</w:t>
      </w:r>
    </w:p>
  </w:footnote>
  <w:footnote w:id="447">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8, 22; ActewAGL, </w:t>
      </w:r>
      <w:r w:rsidRPr="00AF5B33">
        <w:rPr>
          <w:rStyle w:val="AERtextitalic"/>
        </w:rPr>
        <w:t>Appendix 5.01 Detailed response to rate of return, gamma and inflation</w:t>
      </w:r>
      <w:r>
        <w:t xml:space="preserve">, January 2016, pp. 4, 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448">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17; ActewAGL, </w:t>
      </w:r>
      <w:r w:rsidRPr="00AF5B33">
        <w:rPr>
          <w:rStyle w:val="AERtextitalic"/>
        </w:rPr>
        <w:t>Appendix 5.01 Detailed response to rate of return, gamma and inflation</w:t>
      </w:r>
      <w:r>
        <w:t xml:space="preserve">, January 2016, pp. 111, 121, 128; AusNet Electricity Services, </w:t>
      </w:r>
      <w:r w:rsidRPr="00AF5B33">
        <w:rPr>
          <w:rStyle w:val="AERtextitalic"/>
        </w:rPr>
        <w:t>Revised Regulatory Proposal</w:t>
      </w:r>
      <w:r>
        <w:t xml:space="preserve">, January 2016, pp. 7-81, 7-90, 7-95; United Energy, </w:t>
      </w:r>
      <w:r w:rsidRPr="00AF5B33">
        <w:rPr>
          <w:rStyle w:val="AERtextitalic"/>
        </w:rPr>
        <w:t>Response to AER Preliminary Determination Re: Rate of return and gamma</w:t>
      </w:r>
      <w:r>
        <w:t xml:space="preserve">, January 2016, pp. 82, 91, 96; CitiPower, </w:t>
      </w:r>
      <w:r w:rsidRPr="00AF5B33">
        <w:rPr>
          <w:rStyle w:val="AERtextitalic"/>
        </w:rPr>
        <w:t>Revised Regulatory Proposal 2016-2020</w:t>
      </w:r>
      <w:r>
        <w:t xml:space="preserve">; January 2016, pp. 360, 369, 374; Jemena Electricity Networks, </w:t>
      </w:r>
      <w:r w:rsidRPr="00AF5B33">
        <w:rPr>
          <w:rStyle w:val="AERtextitalic"/>
        </w:rPr>
        <w:t>Attachment 6-1 Rate of return, gamma, forecast inflation, and debt and equity raising costs</w:t>
      </w:r>
      <w:r>
        <w:t xml:space="preserve">, January 2016, pp. 88, 98, 163; Powercor, </w:t>
      </w:r>
      <w:r w:rsidRPr="00AF5B33">
        <w:rPr>
          <w:rStyle w:val="AERtextitalic"/>
        </w:rPr>
        <w:t>Revised Regulatory Proposal 2016-2020</w:t>
      </w:r>
      <w:r>
        <w:t>, January 2016, p. 354, 363, 368.</w:t>
      </w:r>
    </w:p>
  </w:footnote>
  <w:footnote w:id="449">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8; ActewAGL, </w:t>
      </w:r>
      <w:r w:rsidRPr="00AF5B33">
        <w:rPr>
          <w:rStyle w:val="AERtextitalic"/>
        </w:rPr>
        <w:t>Appendix 5.01 Detailed response to rate of return, gamma and inflation</w:t>
      </w:r>
      <w:r>
        <w:t xml:space="preserve">, January 2016, pp.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82-83,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 88-89, 103-104; Powercor, </w:t>
      </w:r>
      <w:r w:rsidRPr="00AF5B33">
        <w:rPr>
          <w:rStyle w:val="AERtextitalic"/>
        </w:rPr>
        <w:t>Revised Regulatory Proposal 2016-2020</w:t>
      </w:r>
      <w:r>
        <w:t>, January 2016, pp. 354, 367-368.</w:t>
      </w:r>
    </w:p>
  </w:footnote>
  <w:footnote w:id="450">
    <w:p w:rsidR="00881794" w:rsidRDefault="00881794" w:rsidP="00B27BE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26–27; NERA, </w:t>
      </w:r>
      <w:r w:rsidRPr="00D54762">
        <w:rPr>
          <w:rStyle w:val="AERtextitalic"/>
        </w:rPr>
        <w:t>Estimating distribution and redemption rates: Response to the AER's final decisions for the NSW and ACT electricity distributors, and for Jemena Gas Networks</w:t>
      </w:r>
      <w:r>
        <w:t>, June 2015, p. iii.</w:t>
      </w:r>
    </w:p>
  </w:footnote>
  <w:footnote w:id="451">
    <w:p w:rsidR="00881794" w:rsidRDefault="00881794" w:rsidP="00B27BE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17–18.</w:t>
      </w:r>
    </w:p>
  </w:footnote>
  <w:footnote w:id="452">
    <w:p w:rsidR="00881794" w:rsidRDefault="00881794" w:rsidP="00B27BE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17–19.</w:t>
      </w:r>
    </w:p>
  </w:footnote>
  <w:footnote w:id="453">
    <w:p w:rsidR="00881794" w:rsidRDefault="00881794" w:rsidP="00B27BE5">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t>, January 2016, pp. 12-13.</w:t>
      </w:r>
    </w:p>
  </w:footnote>
  <w:footnote w:id="454">
    <w:p w:rsidR="00881794" w:rsidRDefault="00881794" w:rsidP="00B27BE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455">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27.</w:t>
      </w:r>
    </w:p>
  </w:footnote>
  <w:footnote w:id="456">
    <w:p w:rsidR="00881794" w:rsidRDefault="00881794" w:rsidP="00B27BE5">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457">
    <w:p w:rsidR="00881794" w:rsidRDefault="00881794" w:rsidP="00033F58">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458">
    <w:p w:rsidR="00881794" w:rsidRDefault="00881794" w:rsidP="00033F58">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459">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60">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61">
    <w:p w:rsidR="00881794" w:rsidRDefault="00881794" w:rsidP="00B27BE5">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62">
    <w:p w:rsidR="00881794" w:rsidRDefault="00881794" w:rsidP="00B27BE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63">
    <w:p w:rsidR="00881794" w:rsidRDefault="00881794" w:rsidP="00B27BE5">
      <w:pPr>
        <w:pStyle w:val="FootnoteText"/>
      </w:pPr>
      <w:r>
        <w:rPr>
          <w:rStyle w:val="FootnoteReference"/>
        </w:rPr>
        <w:footnoteRef/>
      </w:r>
      <w:r>
        <w:t xml:space="preserve"> </w:t>
      </w:r>
      <w:r>
        <w:tab/>
        <w:t>Frontier, The appropriate use of tax statistics when estimating gamma, January 2016, p. 15.</w:t>
      </w:r>
    </w:p>
  </w:footnote>
  <w:footnote w:id="464">
    <w:p w:rsidR="00881794" w:rsidRDefault="00881794" w:rsidP="00B27BE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465">
    <w:p w:rsidR="00881794" w:rsidRDefault="00881794" w:rsidP="00B27BE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701BF2">
        <w:t xml:space="preserve"> </w:t>
      </w:r>
    </w:p>
  </w:footnote>
  <w:footnote w:id="466">
    <w:p w:rsidR="00881794" w:rsidRDefault="00881794" w:rsidP="00B27BE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467">
    <w:p w:rsidR="00881794" w:rsidRDefault="00881794" w:rsidP="00B27BE5">
      <w:pPr>
        <w:pStyle w:val="FootnoteText"/>
      </w:pPr>
      <w:r>
        <w:rPr>
          <w:rStyle w:val="FootnoteReference"/>
        </w:rPr>
        <w:footnoteRef/>
      </w:r>
      <w:r>
        <w:t xml:space="preserve"> </w:t>
      </w:r>
      <w:r>
        <w:tab/>
        <w:t xml:space="preserve">As discussed in section </w:t>
      </w:r>
      <w:r>
        <w:fldChar w:fldCharType="begin"/>
      </w:r>
      <w:r>
        <w:instrText xml:space="preserve"> REF _Ref402179420 \r \h </w:instrText>
      </w:r>
      <w:r>
        <w:fldChar w:fldCharType="separate"/>
      </w:r>
      <w:r>
        <w:t>A.13</w:t>
      </w:r>
      <w:r>
        <w:fldChar w:fldCharType="end"/>
      </w:r>
      <w:r>
        <w:t xml:space="preserve">, we have regard to </w:t>
      </w:r>
      <w:r w:rsidRPr="007938F1">
        <w:t>Hathaway's finding that the ATO statistics are subject to a number of issues prior to 2004</w:t>
      </w:r>
      <w:r>
        <w:t>.</w:t>
      </w:r>
    </w:p>
  </w:footnote>
  <w:footnote w:id="468">
    <w:p w:rsidR="00881794" w:rsidRDefault="00881794" w:rsidP="00B27BE5">
      <w:pPr>
        <w:pStyle w:val="FootnoteText"/>
      </w:pPr>
      <w:r>
        <w:rPr>
          <w:rStyle w:val="FootnoteReference"/>
        </w:rPr>
        <w:footnoteRef/>
      </w:r>
      <w:r>
        <w:t xml:space="preserve"> </w:t>
      </w:r>
      <w:r>
        <w:tab/>
        <w:t>Frontier, The appropriate use of tax statistics when estimating gamma, January 2016, p. 20.</w:t>
      </w:r>
    </w:p>
  </w:footnote>
  <w:footnote w:id="469">
    <w:p w:rsidR="00881794" w:rsidRDefault="00881794" w:rsidP="00B27BE5">
      <w:pPr>
        <w:pStyle w:val="FootnoteText"/>
      </w:pPr>
      <w:r>
        <w:rPr>
          <w:rStyle w:val="FootnoteReference"/>
        </w:rPr>
        <w:footnoteRef/>
      </w:r>
      <w:r>
        <w:t xml:space="preserve"> </w:t>
      </w:r>
      <w:r>
        <w:tab/>
        <w:t>Frontier, The appropriate use of tax statistics when estimating gamma, January 2016, p. 20.</w:t>
      </w:r>
    </w:p>
  </w:footnote>
  <w:footnote w:id="470">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471">
    <w:p w:rsidR="00881794" w:rsidRDefault="00881794" w:rsidP="004953FA">
      <w:pPr>
        <w:pStyle w:val="FootnoteText"/>
      </w:pPr>
      <w:r>
        <w:rPr>
          <w:rStyle w:val="FootnoteReference"/>
        </w:rPr>
        <w:footnoteRef/>
      </w:r>
      <w:r>
        <w:t xml:space="preserve"> </w:t>
      </w:r>
      <w:r>
        <w:tab/>
      </w:r>
      <w:r w:rsidRPr="00712BC2">
        <w:t xml:space="preserve">M. Lally, </w:t>
      </w:r>
      <w:r>
        <w:rPr>
          <w:rStyle w:val="AERtextitalic"/>
        </w:rPr>
        <w:t>Gamma and the ACT Decision</w:t>
      </w:r>
      <w:r>
        <w:t>, May 2016, p. 31.</w:t>
      </w:r>
    </w:p>
  </w:footnote>
  <w:footnote w:id="472">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January 2016, p. 92.</w:t>
      </w:r>
    </w:p>
  </w:footnote>
  <w:footnote w:id="473">
    <w:p w:rsidR="00881794" w:rsidRDefault="00881794" w:rsidP="00506F9B">
      <w:pPr>
        <w:pStyle w:val="FootnoteText"/>
      </w:pPr>
      <w:r>
        <w:rPr>
          <w:rStyle w:val="FootnoteReference"/>
        </w:rPr>
        <w:footnoteRef/>
      </w:r>
      <w:r>
        <w:t xml:space="preserve"> </w:t>
      </w:r>
      <w:r>
        <w:tab/>
      </w:r>
      <w:r w:rsidRPr="006D49F4">
        <w:t>United Energy, Submission on AER preliminary determination - Submission on gamma, 26 April 2016.</w:t>
      </w:r>
    </w:p>
  </w:footnote>
  <w:footnote w:id="474">
    <w:p w:rsidR="00881794" w:rsidRDefault="00881794" w:rsidP="00B27BE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2016-20</w:t>
      </w:r>
      <w:r>
        <w:t xml:space="preserve">, April 2015, p. 6; Energex, </w:t>
      </w:r>
      <w:r w:rsidRPr="00596AF9">
        <w:rPr>
          <w:i/>
        </w:rPr>
        <w:t>Submission on Energex's regulatory proposal 2015-20 and the AER issues paper</w:t>
      </w:r>
      <w:r>
        <w:t>, January 2015, p. 4.</w:t>
      </w:r>
    </w:p>
  </w:footnote>
  <w:footnote w:id="475">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476">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477">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paras. 215 and 217–218; </w:t>
      </w:r>
      <w:r w:rsidRPr="003168FF">
        <w:t>Frontier, The appropriate use of tax statistics when estimating gamma, January 2016, p. </w:t>
      </w:r>
      <w:r>
        <w:t>6.</w:t>
      </w:r>
    </w:p>
  </w:footnote>
  <w:footnote w:id="478">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223; </w:t>
      </w:r>
      <w:r w:rsidRPr="003168FF">
        <w:t>Frontier, The appropriate use of tax statistics when estimating gamma, January 2016, p. </w:t>
      </w:r>
      <w:r>
        <w:t>6.</w:t>
      </w:r>
    </w:p>
  </w:footnote>
  <w:footnote w:id="479">
    <w:p w:rsidR="00881794" w:rsidRDefault="00881794" w:rsidP="00B27BE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480">
    <w:p w:rsidR="00881794" w:rsidRDefault="00881794" w:rsidP="00B27BE5">
      <w:pPr>
        <w:pStyle w:val="FootnoteText"/>
      </w:pPr>
      <w:r>
        <w:rPr>
          <w:rStyle w:val="FootnoteReference"/>
        </w:rPr>
        <w:footnoteRef/>
      </w:r>
      <w:r>
        <w:t xml:space="preserve"> </w:t>
      </w:r>
      <w:r>
        <w:tab/>
      </w:r>
      <w:r w:rsidRPr="003168FF">
        <w:t>Frontier, The appropriate use of tax statistics when estimating gamma, January 2016, p. </w:t>
      </w:r>
      <w:r>
        <w:t>12.</w:t>
      </w:r>
    </w:p>
  </w:footnote>
  <w:footnote w:id="481">
    <w:p w:rsidR="00881794" w:rsidRDefault="00881794" w:rsidP="00B27BE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34.</w:t>
      </w:r>
    </w:p>
  </w:footnote>
  <w:footnote w:id="482">
    <w:p w:rsidR="00881794" w:rsidRDefault="00881794" w:rsidP="0016735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483">
    <w:p w:rsidR="00881794" w:rsidRDefault="00881794" w:rsidP="0016735E">
      <w:pPr>
        <w:pStyle w:val="FootnoteText"/>
      </w:pPr>
      <w:r>
        <w:rPr>
          <w:rStyle w:val="FootnoteReference"/>
        </w:rPr>
        <w:footnoteRef/>
      </w:r>
      <w:r>
        <w:t xml:space="preserve"> </w:t>
      </w:r>
      <w:r>
        <w:tab/>
      </w:r>
      <w:r w:rsidRPr="00712BC2">
        <w:t xml:space="preserve">M. Lally, </w:t>
      </w:r>
      <w:r>
        <w:rPr>
          <w:rStyle w:val="AERtextitalic"/>
        </w:rPr>
        <w:t>Gamma and the ACT Decision</w:t>
      </w:r>
      <w:r>
        <w:t>, May 2016, p. 27.</w:t>
      </w:r>
    </w:p>
  </w:footnote>
  <w:footnote w:id="484">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24-26, 28-29.</w:t>
      </w:r>
    </w:p>
  </w:footnote>
  <w:footnote w:id="485">
    <w:p w:rsidR="00881794" w:rsidRDefault="00881794" w:rsidP="00B27BE5">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 71.</w:t>
      </w:r>
    </w:p>
  </w:footnote>
  <w:footnote w:id="486">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487">
    <w:p w:rsidR="00881794" w:rsidRDefault="00881794" w:rsidP="00B27BE5">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March 2015, p. ii.</w:t>
      </w:r>
    </w:p>
  </w:footnote>
  <w:footnote w:id="488">
    <w:p w:rsidR="00881794" w:rsidRDefault="00881794" w:rsidP="00B27BE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28.</w:t>
      </w:r>
    </w:p>
  </w:footnote>
  <w:footnote w:id="489">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7-8;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January 2016, p. 91.</w:t>
      </w:r>
    </w:p>
  </w:footnote>
  <w:footnote w:id="490">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491">
    <w:p w:rsidR="00881794" w:rsidRDefault="00881794" w:rsidP="00B27BE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18.</w:t>
      </w:r>
    </w:p>
  </w:footnote>
  <w:footnote w:id="492">
    <w:p w:rsidR="00881794" w:rsidRDefault="00881794" w:rsidP="00B27BE5">
      <w:pPr>
        <w:pStyle w:val="FootnoteText"/>
      </w:pPr>
      <w:r>
        <w:rPr>
          <w:rStyle w:val="FootnoteReference"/>
        </w:rPr>
        <w:footnoteRef/>
      </w:r>
      <w:r>
        <w:t xml:space="preserve"> </w:t>
      </w:r>
      <w:r>
        <w:tab/>
        <w:t xml:space="preserve">AusNet Services, 2016-20 Regulatory Proposal, April 2015, pp. 353-354; United Energy, Assessment of the Value of Imputation Credits - Gamma, Proposal for 2016 to 2020, April 2015, pp. 1–4; CitiPower, </w:t>
      </w:r>
      <w:r w:rsidRPr="00596AF9">
        <w:rPr>
          <w:i/>
        </w:rPr>
        <w:t>Appendix J - Gamma</w:t>
      </w:r>
      <w:r>
        <w:t>, April 2015, pp. 4–7; Powercor, Appendix J - Gamma, April 2015, pp. 4–7; Jemena Electricity, Attachment 06-06 Gamma proposal, April 2015, pp. 6–8;</w:t>
      </w:r>
      <w:r w:rsidRPr="00A427FF">
        <w:t xml:space="preserve"> </w:t>
      </w:r>
      <w:r>
        <w:t xml:space="preserve">SA Power Networks, </w:t>
      </w:r>
      <w:r>
        <w:rPr>
          <w:rStyle w:val="AERtextitalic"/>
        </w:rPr>
        <w:t>Revised regulatory proposal 2015-20</w:t>
      </w:r>
      <w:r>
        <w:t xml:space="preserve">, July 2015, p. 378; Energex, Revised Regulatory Proposal, July 2015, pp. 124–125; Ergon, </w:t>
      </w:r>
      <w:r w:rsidRPr="00596AF9">
        <w:rPr>
          <w:i/>
        </w:rPr>
        <w:t>Revised Regulatory Proposal</w:t>
      </w:r>
      <w:r>
        <w:t xml:space="preserve">, July 2015, p. 153; ActewAGL Distribution, Attachment 8 Detailed gamma proposal, June 2015, pp. 4-6; Australian Gas Networks, </w:t>
      </w:r>
      <w:r w:rsidRPr="00596AF9">
        <w:rPr>
          <w:i/>
        </w:rPr>
        <w:t>Access Arrangement Information - Attachment 11.2 Value of Imputation Credits</w:t>
      </w:r>
      <w:r>
        <w:t xml:space="preserve">, July 2015; pp. 3–6. Amadeus Gas Pipeline </w:t>
      </w:r>
      <w:r w:rsidRPr="00596AF9">
        <w:rPr>
          <w:i/>
        </w:rPr>
        <w:t>Access Arrangement Revision Proposal Submission</w:t>
      </w:r>
      <w:r>
        <w:t xml:space="preserve">, August 2015, p. 153; ActewAGL, </w:t>
      </w:r>
      <w:r w:rsidRPr="00AF5B33">
        <w:rPr>
          <w:rStyle w:val="AERtextitalic"/>
        </w:rPr>
        <w:t>Appendix 5.01 Detailed response to rate of return, gamma and inflation</w:t>
      </w:r>
      <w:r>
        <w:t xml:space="preserve">, January 2016, p. 111; AusNet Electricity Services, </w:t>
      </w:r>
      <w:r w:rsidRPr="00AF5B33">
        <w:rPr>
          <w:rStyle w:val="AERtextitalic"/>
        </w:rPr>
        <w:t>Revised Regulatory Proposal</w:t>
      </w:r>
      <w:r>
        <w:t xml:space="preserve">, January 2016, p. 7-82; United Energy, </w:t>
      </w:r>
      <w:r w:rsidRPr="00AF5B33">
        <w:rPr>
          <w:rStyle w:val="AERtextitalic"/>
        </w:rPr>
        <w:t>Response to AER Preliminary Determination Re: Rate of return and gamma</w:t>
      </w:r>
      <w:r>
        <w:t xml:space="preserve">, January 2016, p. 83; CitiPower, </w:t>
      </w:r>
      <w:r w:rsidRPr="00AF5B33">
        <w:rPr>
          <w:rStyle w:val="AERtextitalic"/>
        </w:rPr>
        <w:t>Revised Regulatory Proposal 2016-2020</w:t>
      </w:r>
      <w:r>
        <w:t xml:space="preserve">; January 2016, pp. 360-361; Jemena Electricity Networks, </w:t>
      </w:r>
      <w:r w:rsidRPr="00AF5B33">
        <w:rPr>
          <w:rStyle w:val="AERtextitalic"/>
        </w:rPr>
        <w:t>Attachment 6-1 Rate of return, gamma, forecast inflation, and debt and equity raising costs</w:t>
      </w:r>
      <w:r>
        <w:t xml:space="preserve">, January 2016, p. 89; Powercor, </w:t>
      </w:r>
      <w:r w:rsidRPr="00AF5B33">
        <w:rPr>
          <w:rStyle w:val="AERtextitalic"/>
        </w:rPr>
        <w:t>Revised Regulatory Proposal 2016-2020</w:t>
      </w:r>
      <w:r>
        <w:t>, January 2016, p. 355.</w:t>
      </w:r>
    </w:p>
  </w:footnote>
  <w:footnote w:id="493">
    <w:p w:rsidR="00881794" w:rsidRDefault="00881794">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 122; AusNet Electricity Services, </w:t>
      </w:r>
      <w:r w:rsidRPr="00AF5B33">
        <w:rPr>
          <w:rStyle w:val="AERtextitalic"/>
        </w:rPr>
        <w:t>Revised Regulatory Proposal</w:t>
      </w:r>
      <w:r>
        <w:t xml:space="preserve">, January 2016, p. 7-90; United Energy, </w:t>
      </w:r>
      <w:r w:rsidRPr="00AF5B33">
        <w:rPr>
          <w:rStyle w:val="AERtextitalic"/>
        </w:rPr>
        <w:t>Response to AER Preliminary Determination Re: Rate of return and gamma</w:t>
      </w:r>
      <w:r>
        <w:t xml:space="preserve">, January 2016, p. 91; CitiPower, </w:t>
      </w:r>
      <w:r w:rsidRPr="00AF5B33">
        <w:rPr>
          <w:rStyle w:val="AERtextitalic"/>
        </w:rPr>
        <w:t>Revised Regulatory Proposal 2016-2020</w:t>
      </w:r>
      <w:r>
        <w:t xml:space="preserve">; January 2016, p. 369; Jemena Electricity Networks, </w:t>
      </w:r>
      <w:r w:rsidRPr="00AF5B33">
        <w:rPr>
          <w:rStyle w:val="AERtextitalic"/>
        </w:rPr>
        <w:t>Attachment 6-1 Rate of return, gamma, forecast inflation, and debt and equity raising costs</w:t>
      </w:r>
      <w:r>
        <w:t xml:space="preserve">, January 2016, p. 98; Powercor, </w:t>
      </w:r>
      <w:r w:rsidRPr="00AF5B33">
        <w:rPr>
          <w:rStyle w:val="AERtextitalic"/>
        </w:rPr>
        <w:t>Revised Regulatory Proposal 2016-2020</w:t>
      </w:r>
      <w:r>
        <w:t>, January 2016, p. 363.</w:t>
      </w:r>
    </w:p>
  </w:footnote>
  <w:footnote w:id="494">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495">
    <w:p w:rsidR="00881794" w:rsidRDefault="00881794" w:rsidP="00B27BE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7–8.</w:t>
      </w:r>
    </w:p>
  </w:footnote>
  <w:footnote w:id="496">
    <w:p w:rsidR="00881794" w:rsidRDefault="00881794" w:rsidP="0016735E">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497">
    <w:p w:rsidR="00881794" w:rsidRDefault="00881794" w:rsidP="0016735E">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98">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 29.</w:t>
      </w:r>
    </w:p>
  </w:footnote>
  <w:footnote w:id="499">
    <w:p w:rsidR="00881794" w:rsidRDefault="00881794" w:rsidP="00B27BE5">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500">
    <w:p w:rsidR="00881794" w:rsidRDefault="00881794" w:rsidP="00B27BE5">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501">
    <w:p w:rsidR="00881794" w:rsidRDefault="00881794" w:rsidP="00B27BE5">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502">
    <w:p w:rsidR="00881794" w:rsidRDefault="00881794" w:rsidP="00B27BE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503">
    <w:p w:rsidR="00881794" w:rsidRDefault="00881794" w:rsidP="00B27BE5">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504">
    <w:p w:rsidR="00881794" w:rsidRDefault="00881794" w:rsidP="00B27BE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505">
    <w:p w:rsidR="00881794" w:rsidRDefault="00881794" w:rsidP="00B27BE5">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xml:space="preserve">, 12 March 2014, p. 30; </w:t>
      </w:r>
      <w:r w:rsidRPr="000921FF">
        <w:t xml:space="preserve"> </w:t>
      </w:r>
      <w:r w:rsidRPr="00712BC2">
        <w:t xml:space="preserve">M. Lally, </w:t>
      </w:r>
      <w:r>
        <w:rPr>
          <w:rStyle w:val="AERtextitalic"/>
        </w:rPr>
        <w:t>Gamma and the ACT Decision</w:t>
      </w:r>
      <w:r>
        <w:t>, May 2016, p. 26.</w:t>
      </w:r>
    </w:p>
  </w:footnote>
  <w:footnote w:id="506">
    <w:p w:rsidR="00881794" w:rsidRDefault="00881794" w:rsidP="00B27BE5">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507">
    <w:p w:rsidR="00881794" w:rsidRDefault="00881794" w:rsidP="00B27BE5">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xml:space="preserve">, October 2014. </w:t>
      </w:r>
    </w:p>
  </w:footnote>
  <w:footnote w:id="508">
    <w:p w:rsidR="00881794" w:rsidRDefault="00881794" w:rsidP="00B27BE5">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509">
    <w:p w:rsidR="00881794" w:rsidRDefault="00881794" w:rsidP="00B27BE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510">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11">
    <w:p w:rsidR="00881794" w:rsidRDefault="00881794" w:rsidP="00EA25C2">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12">
    <w:p w:rsidR="00881794" w:rsidRDefault="00881794" w:rsidP="00B27BE5">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513">
    <w:p w:rsidR="00881794" w:rsidRDefault="00881794" w:rsidP="00B27BE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514">
    <w:p w:rsidR="00881794" w:rsidRDefault="00881794" w:rsidP="00B27BE5">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515">
    <w:p w:rsidR="00881794" w:rsidRDefault="00881794" w:rsidP="00B27BE5">
      <w:pPr>
        <w:pStyle w:val="FootnoteText"/>
      </w:pPr>
      <w:r>
        <w:rPr>
          <w:rStyle w:val="FootnoteReference"/>
        </w:rPr>
        <w:footnoteRef/>
      </w:r>
      <w:r>
        <w:t xml:space="preserve"> </w:t>
      </w:r>
      <w:r>
        <w:tab/>
      </w:r>
      <w:r w:rsidRPr="005F06A5">
        <w:t>Frontier, The appropriate use of tax statistics when estimating gamma, January 2016, p. </w:t>
      </w:r>
      <w:r>
        <w:t>7</w:t>
      </w:r>
      <w:r w:rsidRPr="005F06A5">
        <w:t>.</w:t>
      </w:r>
    </w:p>
  </w:footnote>
  <w:footnote w:id="516">
    <w:p w:rsidR="00881794" w:rsidRDefault="00881794" w:rsidP="00B27BE5">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 1;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xml:space="preserve">, February 2015, p. 1; Jemena Electricity, </w:t>
      </w:r>
      <w:r w:rsidRPr="00596AF9">
        <w:rPr>
          <w:i/>
        </w:rPr>
        <w:t>Attachment 06-06 Gamma proposal</w:t>
      </w:r>
      <w:r>
        <w:t xml:space="preserve">, April 2015, p. 1:  Energex, </w:t>
      </w:r>
      <w:r w:rsidRPr="00596AF9">
        <w:rPr>
          <w:i/>
        </w:rPr>
        <w:t>Revised Regulatory Proposal</w:t>
      </w:r>
      <w:r>
        <w:t xml:space="preserve">, July 2015, p. 13;   Powercor, </w:t>
      </w:r>
      <w:r w:rsidRPr="00596AF9">
        <w:rPr>
          <w:i/>
        </w:rPr>
        <w:t>Regulatory Proposal 2016</w:t>
      </w:r>
      <w:r>
        <w:rPr>
          <w:i/>
        </w:rPr>
        <w:t>–</w:t>
      </w:r>
      <w:r w:rsidRPr="00596AF9">
        <w:rPr>
          <w:i/>
        </w:rPr>
        <w:t>20</w:t>
      </w:r>
      <w:r>
        <w:t xml:space="preserve">, April 2015, p. 249; CitiPower, </w:t>
      </w:r>
      <w:r w:rsidRPr="00596AF9">
        <w:rPr>
          <w:i/>
        </w:rPr>
        <w:t>Regulatory Proposal</w:t>
      </w:r>
      <w:r>
        <w:t xml:space="preserve">, April 2015, p. 241; AusNet Services, </w:t>
      </w:r>
      <w:r w:rsidRPr="00596AF9">
        <w:rPr>
          <w:i/>
        </w:rPr>
        <w:t>2016-20 Regulatory Proposal</w:t>
      </w:r>
      <w:r>
        <w:t xml:space="preserve">, April 2015, pp. 367–368; United Energy, </w:t>
      </w:r>
      <w:r w:rsidRPr="00596AF9">
        <w:rPr>
          <w:i/>
        </w:rPr>
        <w:t>Assessment of the Value of Imputation Credits - Gamma, Proposal for 2016 to 2020</w:t>
      </w:r>
      <w:r>
        <w:t xml:space="preserve">, April 2015, pp. 19–20.  </w:t>
      </w:r>
    </w:p>
  </w:footnote>
  <w:footnote w:id="517">
    <w:p w:rsidR="00881794" w:rsidRDefault="00881794" w:rsidP="00B27BE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12.</w:t>
      </w:r>
    </w:p>
  </w:footnote>
  <w:footnote w:id="518">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pp. 121, 123; AusNet Electricity Services, </w:t>
      </w:r>
      <w:r w:rsidRPr="00AF5B33">
        <w:rPr>
          <w:rStyle w:val="AERtextitalic"/>
        </w:rPr>
        <w:t>Revised Regulatory Proposal</w:t>
      </w:r>
      <w:r>
        <w:t xml:space="preserve">, January 2016, pp. 7-90, 7-91; United Energy, </w:t>
      </w:r>
      <w:r w:rsidRPr="00AF5B33">
        <w:rPr>
          <w:rStyle w:val="AERtextitalic"/>
        </w:rPr>
        <w:t>Response to AER Preliminary Determination Re: Rate of return and gamma</w:t>
      </w:r>
      <w:r>
        <w:t xml:space="preserve">, January 2016, pp. 91, 92; CitiPower, </w:t>
      </w:r>
      <w:r w:rsidRPr="00AF5B33">
        <w:rPr>
          <w:rStyle w:val="AERtextitalic"/>
        </w:rPr>
        <w:t>Revised Regulatory Proposal 2016-2020</w:t>
      </w:r>
      <w:r>
        <w:t xml:space="preserve">; January 2016, pp. 368, 370; Jemena Electricity Networks, </w:t>
      </w:r>
      <w:r w:rsidRPr="00AF5B33">
        <w:rPr>
          <w:rStyle w:val="AERtextitalic"/>
        </w:rPr>
        <w:t>Attachment 6-1 Rate of return, gamma, forecast inflation, and debt and equity raising costs</w:t>
      </w:r>
      <w:r>
        <w:t xml:space="preserve">, January 2016, pp. 98, 99; Powercor, </w:t>
      </w:r>
      <w:r w:rsidRPr="00AF5B33">
        <w:rPr>
          <w:rStyle w:val="AERtextitalic"/>
        </w:rPr>
        <w:t>Revised Regulatory Proposal 2016-2020</w:t>
      </w:r>
      <w:r>
        <w:t>, January 2016, pp. 362, 364.</w:t>
      </w:r>
    </w:p>
  </w:footnote>
  <w:footnote w:id="519">
    <w:p w:rsidR="00881794" w:rsidRDefault="00881794" w:rsidP="00B27BE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520">
    <w:p w:rsidR="00881794" w:rsidRDefault="00881794" w:rsidP="00EA25C2">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521">
    <w:p w:rsidR="00881794" w:rsidRDefault="00881794" w:rsidP="004D52DD">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522">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523">
    <w:p w:rsidR="00881794" w:rsidRDefault="00881794" w:rsidP="00B27BE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524">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 123; AusNet Electricity Services, </w:t>
      </w:r>
      <w:r w:rsidRPr="00AF5B33">
        <w:rPr>
          <w:rStyle w:val="AERtextitalic"/>
        </w:rPr>
        <w:t>Revised Regulatory Proposal</w:t>
      </w:r>
      <w:r>
        <w:t xml:space="preserve">, January 2016, p. 7-91; United Energy, </w:t>
      </w:r>
      <w:r w:rsidRPr="00AF5B33">
        <w:rPr>
          <w:rStyle w:val="AERtextitalic"/>
        </w:rPr>
        <w:t>Response to AER Preliminary Determination Re: Rate of return and gamma</w:t>
      </w:r>
      <w:r>
        <w:t xml:space="preserve">, January 2016, p. 92; CitiPower, </w:t>
      </w:r>
      <w:r w:rsidRPr="00AF5B33">
        <w:rPr>
          <w:rStyle w:val="AERtextitalic"/>
        </w:rPr>
        <w:t>Revised Regulatory Proposal 2016-2020</w:t>
      </w:r>
      <w:r>
        <w:t xml:space="preserve">; January 2016, p. 370; Jemena Electricity Networks, </w:t>
      </w:r>
      <w:r w:rsidRPr="00AF5B33">
        <w:rPr>
          <w:rStyle w:val="AERtextitalic"/>
        </w:rPr>
        <w:t>Attachment 6-1 Rate of return, gamma, forecast inflation, and debt and equity raising costs</w:t>
      </w:r>
      <w:r>
        <w:t xml:space="preserve">, January 2016, p. 99; Powercor, </w:t>
      </w:r>
      <w:r w:rsidRPr="00AF5B33">
        <w:rPr>
          <w:rStyle w:val="AERtextitalic"/>
        </w:rPr>
        <w:t>Revised Regulatory Proposal 2016-2020</w:t>
      </w:r>
      <w:r>
        <w:t>, January 2016, p. 364.</w:t>
      </w:r>
    </w:p>
  </w:footnote>
  <w:footnote w:id="525">
    <w:p w:rsidR="00881794" w:rsidRDefault="00881794" w:rsidP="00B27BE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7.</w:t>
      </w:r>
    </w:p>
  </w:footnote>
  <w:footnote w:id="526">
    <w:p w:rsidR="00881794" w:rsidRDefault="00881794" w:rsidP="00506F9B">
      <w:pPr>
        <w:pStyle w:val="FootnoteText"/>
      </w:pPr>
      <w:r>
        <w:rPr>
          <w:rStyle w:val="FootnoteReference"/>
        </w:rPr>
        <w:footnoteRef/>
      </w:r>
      <w:r>
        <w:t xml:space="preserve"> </w:t>
      </w:r>
      <w:r>
        <w:tab/>
      </w:r>
      <w:r w:rsidRPr="00AC2168">
        <w:t>United Energy, Submission on AER preliminary determination - Submission on gamma, 26 April 2016; Australian Competition Tribunal, Application by Public Interest Advocacy Centre Ltd and Ausgrid [2016] ACompT 1, 26 February 2016, para. 1093.</w:t>
      </w:r>
    </w:p>
  </w:footnote>
  <w:footnote w:id="527">
    <w:p w:rsidR="00881794"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CE7082">
        <w:t xml:space="preserve">. </w:t>
      </w:r>
      <w:r w:rsidRPr="00AC2168">
        <w:t>1090.</w:t>
      </w:r>
    </w:p>
  </w:footnote>
  <w:footnote w:id="528">
    <w:p w:rsidR="00881794" w:rsidRDefault="00881794" w:rsidP="00EA25C2">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29">
    <w:p w:rsidR="00881794" w:rsidRDefault="00881794" w:rsidP="00506F9B">
      <w:pPr>
        <w:pStyle w:val="FootnoteText"/>
      </w:pPr>
      <w:r>
        <w:rPr>
          <w:rStyle w:val="FootnoteReference"/>
        </w:rPr>
        <w:footnoteRef/>
      </w:r>
      <w:r>
        <w:t xml:space="preserve"> </w:t>
      </w:r>
      <w:r>
        <w:tab/>
      </w:r>
      <w:r w:rsidRPr="00AC2168">
        <w:t>United Energy, Submission on AER preliminary determination - Submission on gamma, 26 April 2016; Australian Competition Tribunal, Application by Public Interest Advocacy Centre Ltd and Ausgrid [2016] ACompT 1, 26 February 2016, para. 1100.</w:t>
      </w:r>
    </w:p>
  </w:footnote>
  <w:footnote w:id="530">
    <w:p w:rsidR="00881794" w:rsidRDefault="00881794" w:rsidP="00B27BE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531">
    <w:p w:rsidR="00881794" w:rsidRDefault="00881794" w:rsidP="00B27BE5">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532">
    <w:p w:rsidR="00881794" w:rsidRDefault="00881794" w:rsidP="00B27BE5">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533">
    <w:p w:rsidR="00881794" w:rsidRDefault="00881794">
      <w:pPr>
        <w:pStyle w:val="FootnoteText"/>
      </w:pPr>
      <w:r>
        <w:rPr>
          <w:rStyle w:val="FootnoteReference"/>
        </w:rPr>
        <w:footnoteRef/>
      </w:r>
      <w:r>
        <w:t xml:space="preserve"> </w:t>
      </w:r>
      <w:r>
        <w:tab/>
      </w:r>
      <w:r w:rsidRPr="00506F9B">
        <w:t xml:space="preserve">M. Lally, </w:t>
      </w:r>
      <w:r w:rsidRPr="00506F9B">
        <w:rPr>
          <w:rStyle w:val="AERtextitalic"/>
        </w:rPr>
        <w:t>Gamma and the ACT Decision</w:t>
      </w:r>
      <w:r w:rsidRPr="00506F9B">
        <w:t>, May 2016, p. </w:t>
      </w:r>
      <w:r>
        <w:t>20</w:t>
      </w:r>
      <w:r w:rsidRPr="00506F9B">
        <w:t>.</w:t>
      </w:r>
    </w:p>
  </w:footnote>
  <w:footnote w:id="534">
    <w:p w:rsidR="00881794" w:rsidRDefault="00881794" w:rsidP="00B27BE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2370AA">
        <w:t xml:space="preserve"> </w:t>
      </w:r>
    </w:p>
  </w:footnote>
  <w:footnote w:id="535">
    <w:p w:rsidR="00881794" w:rsidRDefault="00881794" w:rsidP="00B27BE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31.</w:t>
      </w:r>
    </w:p>
  </w:footnote>
  <w:footnote w:id="536">
    <w:p w:rsidR="00881794" w:rsidRDefault="00881794" w:rsidP="00506F9B">
      <w:pPr>
        <w:pStyle w:val="FootnoteText"/>
      </w:pPr>
      <w:r>
        <w:rPr>
          <w:rStyle w:val="FootnoteReference"/>
        </w:rPr>
        <w:footnoteRef/>
      </w:r>
      <w:r>
        <w:t xml:space="preserve"> </w:t>
      </w:r>
      <w:r>
        <w:tab/>
      </w:r>
      <w:r w:rsidRPr="00AC2168">
        <w:t>United Energy, Submission on AER preliminary determination - Submission on gamma, 26 April 2016; Australian Competition Tribunal, Application by Public Interest Advocacy Centre Ltd and Ausgrid [2016] ACompT 1, 26 February 2016, paras. 1048, 1090 and 1095.</w:t>
      </w:r>
    </w:p>
  </w:footnote>
  <w:footnote w:id="537">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38">
    <w:p w:rsidR="00881794" w:rsidRDefault="00881794" w:rsidP="003246F2">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39">
    <w:p w:rsidR="00881794" w:rsidRDefault="00881794">
      <w:pPr>
        <w:pStyle w:val="FootnoteText"/>
      </w:pPr>
      <w:r>
        <w:rPr>
          <w:rStyle w:val="FootnoteReference"/>
        </w:rPr>
        <w:footnoteRef/>
      </w:r>
      <w:r>
        <w:t xml:space="preserve"> </w:t>
      </w:r>
      <w:r>
        <w:tab/>
      </w:r>
      <w:r w:rsidRPr="004635C5">
        <w:t xml:space="preserve">Lally, </w:t>
      </w:r>
      <w:r w:rsidRPr="005764F6">
        <w:rPr>
          <w:rStyle w:val="AERtextitalic"/>
        </w:rPr>
        <w:t>Gamma and the ACT Decision</w:t>
      </w:r>
      <w:r w:rsidRPr="004635C5">
        <w:t>, May 2016, p. 5.</w:t>
      </w:r>
    </w:p>
  </w:footnote>
  <w:footnote w:id="540">
    <w:p w:rsidR="00881794"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1090.</w:t>
      </w:r>
    </w:p>
  </w:footnote>
  <w:footnote w:id="541">
    <w:p w:rsidR="00881794"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42">
    <w:p w:rsidR="00881794" w:rsidRPr="00EB7A6C"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43">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544">
    <w:p w:rsidR="00881794" w:rsidRDefault="00881794" w:rsidP="00645287">
      <w:pPr>
        <w:pStyle w:val="FootnoteText"/>
      </w:pPr>
      <w:r>
        <w:rPr>
          <w:rStyle w:val="FootnoteReference"/>
        </w:rPr>
        <w:footnoteRef/>
      </w:r>
      <w:r>
        <w:t xml:space="preserve"> </w:t>
      </w:r>
      <w:r>
        <w:tab/>
      </w:r>
      <w:r w:rsidRPr="00645287">
        <w:t xml:space="preserve">Lally, </w:t>
      </w:r>
      <w:r w:rsidRPr="00E64E9B">
        <w:rPr>
          <w:rStyle w:val="AERtextitalic"/>
        </w:rPr>
        <w:t>Gamma and the ACT Decision</w:t>
      </w:r>
      <w:r w:rsidRPr="00645287">
        <w:t>, May 2016, p. 5.</w:t>
      </w:r>
    </w:p>
  </w:footnote>
  <w:footnote w:id="545">
    <w:p w:rsidR="00881794" w:rsidRDefault="00881794" w:rsidP="00C20CE6">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46">
    <w:p w:rsidR="00881794" w:rsidRPr="00EB7A6C"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47">
    <w:p w:rsidR="00881794" w:rsidRDefault="00881794" w:rsidP="00B27BE5">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548">
    <w:p w:rsidR="00881794" w:rsidRDefault="00881794" w:rsidP="00B27BE5">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549">
    <w:p w:rsidR="00881794" w:rsidRDefault="00881794" w:rsidP="00B27BE5">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550">
    <w:p w:rsidR="00881794" w:rsidRDefault="00881794" w:rsidP="00B27BE5">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551">
    <w:p w:rsidR="00881794" w:rsidRDefault="00881794" w:rsidP="00B27BE5">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552">
    <w:p w:rsidR="00881794" w:rsidRDefault="00881794" w:rsidP="00B27BE5">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553">
    <w:p w:rsidR="00881794" w:rsidRDefault="00881794" w:rsidP="00B27BE5">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554">
    <w:p w:rsidR="00881794" w:rsidRDefault="00881794" w:rsidP="00B27BE5">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555">
    <w:p w:rsidR="00881794" w:rsidRDefault="00881794" w:rsidP="00B27BE5">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556">
    <w:p w:rsidR="00881794" w:rsidRDefault="00881794" w:rsidP="00B27BE5">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557">
    <w:p w:rsidR="00881794" w:rsidRDefault="00881794" w:rsidP="00B27BE5">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558">
    <w:p w:rsidR="00881794" w:rsidRDefault="00881794" w:rsidP="00B27BE5">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559">
    <w:p w:rsidR="00881794" w:rsidRDefault="00881794" w:rsidP="00B27BE5">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560">
    <w:p w:rsidR="00881794" w:rsidRDefault="00881794" w:rsidP="00B27BE5">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561">
    <w:p w:rsidR="00881794" w:rsidRDefault="00881794" w:rsidP="00B27BE5">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562">
    <w:p w:rsidR="00881794" w:rsidRDefault="00881794" w:rsidP="00B27BE5">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563">
    <w:p w:rsidR="00881794" w:rsidRDefault="00881794" w:rsidP="00B27BE5">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564">
    <w:p w:rsidR="00881794" w:rsidRDefault="00881794" w:rsidP="00B27BE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w:t>
      </w:r>
    </w:p>
  </w:footnote>
  <w:footnote w:id="565">
    <w:p w:rsidR="00881794" w:rsidRDefault="00881794" w:rsidP="00B27BE5">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566">
    <w:p w:rsidR="00881794" w:rsidRDefault="00881794" w:rsidP="00B27BE5">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567">
    <w:p w:rsidR="00881794" w:rsidRDefault="00881794" w:rsidP="00B27BE5">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568">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20; ActewAGL, </w:t>
      </w:r>
      <w:r w:rsidRPr="00AF5B33">
        <w:rPr>
          <w:rStyle w:val="AERtextitalic"/>
        </w:rPr>
        <w:t>Appendix 5.01 Detailed response to rate of return, gamma and inflation</w:t>
      </w:r>
      <w:r>
        <w:t xml:space="preserve">, January 2016, p. 126;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373; Jemena Electricity Networks, </w:t>
      </w:r>
      <w:r w:rsidRPr="00AF5B33">
        <w:rPr>
          <w:rStyle w:val="AERtextitalic"/>
        </w:rPr>
        <w:t>Attachment 6-1 Rate of return, gamma, forecast inflation, and debt and equity raising costs</w:t>
      </w:r>
      <w:r>
        <w:t xml:space="preserve">, January 2016, p. 102; Powercor, </w:t>
      </w:r>
      <w:r w:rsidRPr="00AF5B33">
        <w:rPr>
          <w:rStyle w:val="AERtextitalic"/>
        </w:rPr>
        <w:t>Revised Regulatory Proposal 2016-2020</w:t>
      </w:r>
      <w:r>
        <w:t>, January 2016, p. 367.</w:t>
      </w:r>
    </w:p>
  </w:footnote>
  <w:footnote w:id="569">
    <w:p w:rsidR="00881794" w:rsidRDefault="00881794" w:rsidP="00B27B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1092.</w:t>
      </w:r>
    </w:p>
  </w:footnote>
  <w:footnote w:id="570">
    <w:p w:rsidR="00881794" w:rsidRDefault="00881794" w:rsidP="00B27BE5">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571">
    <w:p w:rsidR="00881794" w:rsidRDefault="00881794" w:rsidP="00B27BE5">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572">
    <w:p w:rsidR="00881794" w:rsidRDefault="00881794" w:rsidP="00B27BE5">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573">
    <w:p w:rsidR="00881794" w:rsidRDefault="00881794" w:rsidP="00B27BE5">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574">
    <w:p w:rsidR="00881794" w:rsidRDefault="00881794" w:rsidP="00B27BE5">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575">
    <w:p w:rsidR="00881794" w:rsidRDefault="00881794" w:rsidP="00B27BE5">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576">
    <w:p w:rsidR="00881794" w:rsidRDefault="00881794" w:rsidP="00B27BE5">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577">
    <w:p w:rsidR="00881794" w:rsidRDefault="00881794" w:rsidP="00B27BE5">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578">
    <w:p w:rsidR="00881794" w:rsidRDefault="00881794" w:rsidP="00B27BE5">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579">
    <w:p w:rsidR="00881794" w:rsidRDefault="00881794" w:rsidP="00B27BE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580">
    <w:p w:rsidR="00881794" w:rsidRDefault="00881794" w:rsidP="00B27BE5">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581">
    <w:p w:rsidR="00881794" w:rsidRDefault="00881794" w:rsidP="00B27BE5">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582">
    <w:p w:rsidR="00881794" w:rsidRDefault="00881794" w:rsidP="00B27BE5">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583">
    <w:p w:rsidR="00881794" w:rsidRDefault="00881794" w:rsidP="00B27BE5">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584">
    <w:p w:rsidR="00881794" w:rsidRDefault="00881794" w:rsidP="00B27BE5">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585">
    <w:p w:rsidR="00881794" w:rsidRDefault="00881794" w:rsidP="00B27BE5">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586">
    <w:p w:rsidR="00881794" w:rsidRDefault="00881794" w:rsidP="00B27BE5">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587">
    <w:p w:rsidR="00881794" w:rsidRDefault="00881794" w:rsidP="00B27BE5">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588">
    <w:p w:rsidR="00881794" w:rsidRDefault="00881794" w:rsidP="00B27BE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pp. 21,23.</w:t>
      </w:r>
    </w:p>
  </w:footnote>
  <w:footnote w:id="589">
    <w:p w:rsidR="00881794" w:rsidRDefault="00881794" w:rsidP="00B27BE5">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590">
    <w:p w:rsidR="00881794" w:rsidRDefault="00881794" w:rsidP="00B27BE5">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591">
    <w:p w:rsidR="00881794" w:rsidRDefault="00881794" w:rsidP="00B27BE5">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592">
    <w:p w:rsidR="00881794" w:rsidRDefault="00881794" w:rsidP="00B27BE5">
      <w:pPr>
        <w:pStyle w:val="FootnoteText"/>
      </w:pPr>
      <w:r>
        <w:rPr>
          <w:rStyle w:val="FootnoteReference"/>
        </w:rPr>
        <w:footnoteRef/>
      </w:r>
      <w:r>
        <w:t xml:space="preserve"> </w:t>
      </w:r>
      <w:r>
        <w:tab/>
        <w:t xml:space="preserve">The earlier working paper, although substantively the same as the 2015 paper, remains referenced in this decision because this was the paper considered by us in making our decisions released in April and June 2015. </w:t>
      </w:r>
    </w:p>
  </w:footnote>
  <w:footnote w:id="593">
    <w:p w:rsidR="00881794" w:rsidRDefault="00881794" w:rsidP="00B27BE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xml:space="preserve">, April 2015, p vii; </w:t>
      </w:r>
      <w:r w:rsidRPr="00582678">
        <w:t xml:space="preserve">M. Lally, </w:t>
      </w:r>
      <w:r w:rsidRPr="00582678">
        <w:rPr>
          <w:rStyle w:val="AERtextitalic"/>
        </w:rPr>
        <w:t>The estimation of gamma</w:t>
      </w:r>
      <w:r w:rsidRPr="00582678">
        <w:t>, 23 November 2013</w:t>
      </w:r>
      <w:r>
        <w:t>, p. 25.</w:t>
      </w:r>
    </w:p>
  </w:footnote>
  <w:footnote w:id="594">
    <w:p w:rsidR="00881794" w:rsidRDefault="00881794" w:rsidP="00B27BE5">
      <w:pPr>
        <w:pStyle w:val="FootnoteText"/>
        <w:ind w:left="364" w:hanging="364"/>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vii.</w:t>
      </w:r>
    </w:p>
  </w:footnote>
  <w:footnote w:id="595">
    <w:p w:rsidR="00881794" w:rsidRDefault="00881794" w:rsidP="00B27BE5">
      <w:pPr>
        <w:pStyle w:val="FootnoteText"/>
      </w:pPr>
      <w:r>
        <w:rPr>
          <w:rStyle w:val="FootnoteReference"/>
        </w:rPr>
        <w:footnoteRef/>
      </w:r>
      <w:r>
        <w:t xml:space="preserve"> </w:t>
      </w:r>
      <w:r>
        <w:tab/>
        <w:t>Concerns around the reliability of the estimates of the return on equity from the Black CAPM are discussed in the rate of return attachment to this final decision.</w:t>
      </w:r>
    </w:p>
  </w:footnote>
  <w:footnote w:id="596">
    <w:p w:rsidR="00881794" w:rsidRDefault="00881794" w:rsidP="00B27BE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597">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 117;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 365;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xml:space="preserve">, January 2016, p. 359; APNT, </w:t>
      </w:r>
      <w:r w:rsidRPr="00903ED1">
        <w:rPr>
          <w:rStyle w:val="AERtextitalic"/>
        </w:rPr>
        <w:t>Access Arrangement Revised Proposal to Draft Decision</w:t>
      </w:r>
      <w:r>
        <w:t>, January 2016, p. 93.</w:t>
      </w:r>
    </w:p>
  </w:footnote>
  <w:footnote w:id="598">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599">
    <w:p w:rsidR="00881794" w:rsidRDefault="00881794" w:rsidP="00B64830">
      <w:pPr>
        <w:pStyle w:val="FootnoteText"/>
      </w:pPr>
      <w:r>
        <w:rPr>
          <w:rStyle w:val="FootnoteReference"/>
        </w:rPr>
        <w:footnoteRef/>
      </w:r>
      <w:r>
        <w:t xml:space="preserve"> </w:t>
      </w:r>
      <w:r>
        <w:tab/>
      </w:r>
      <w:r w:rsidRPr="00712BC2">
        <w:t xml:space="preserve">M. Lally, </w:t>
      </w:r>
      <w:r>
        <w:rPr>
          <w:rStyle w:val="AERtextitalic"/>
        </w:rPr>
        <w:t>Gamma and the ACT Decision</w:t>
      </w:r>
      <w:r>
        <w:t>, May 2016, p. 15.</w:t>
      </w:r>
    </w:p>
  </w:footnote>
  <w:footnote w:id="600">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78; Frontier Economics, </w:t>
      </w:r>
      <w:r w:rsidRPr="00D14DE4">
        <w:rPr>
          <w:rStyle w:val="AERtextitalic"/>
        </w:rPr>
        <w:t>An appropriate regulatory estimate of gamma</w:t>
      </w:r>
      <w:r>
        <w:t>, June 2015, p. 36.</w:t>
      </w:r>
    </w:p>
  </w:footnote>
  <w:footnote w:id="601">
    <w:p w:rsidR="00881794" w:rsidRDefault="00881794" w:rsidP="00B27BE5">
      <w:pPr>
        <w:pStyle w:val="FootnoteText"/>
      </w:pPr>
      <w:r>
        <w:rPr>
          <w:rStyle w:val="FootnoteReference"/>
        </w:rPr>
        <w:footnoteRef/>
      </w:r>
      <w:r>
        <w:t xml:space="preserve"> </w:t>
      </w:r>
      <w:r>
        <w:tab/>
        <w:t>SFG</w:t>
      </w:r>
      <w:r w:rsidRPr="007C38AD">
        <w:rPr>
          <w:rStyle w:val="AERtextitalic"/>
        </w:rPr>
        <w:t>, Equity beta</w:t>
      </w:r>
      <w:r>
        <w:t>, 12 May 2014, para. 15.</w:t>
      </w:r>
    </w:p>
  </w:footnote>
  <w:footnote w:id="602">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603">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116;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January 2016, p. 358.</w:t>
      </w:r>
    </w:p>
  </w:footnote>
  <w:footnote w:id="604">
    <w:p w:rsidR="00881794" w:rsidRDefault="00881794" w:rsidP="00B27BE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605">
    <w:p w:rsidR="00881794" w:rsidRDefault="00881794" w:rsidP="00B27BE5">
      <w:pPr>
        <w:pStyle w:val="FootnoteText"/>
      </w:pPr>
      <w:r>
        <w:rPr>
          <w:rStyle w:val="FootnoteReference"/>
        </w:rPr>
        <w:footnoteRef/>
      </w:r>
      <w:r>
        <w:t xml:space="preserve"> </w:t>
      </w:r>
      <w:r>
        <w:tab/>
        <w:t>In equation (2) in Elton and Gruber (1970) if tax on ordinary income and capital gains tax are the same (t</w:t>
      </w:r>
      <w:r w:rsidRPr="005764F6">
        <w:rPr>
          <w:rStyle w:val="AERsubscript"/>
        </w:rPr>
        <w:t>o</w:t>
      </w:r>
      <w:r>
        <w:t xml:space="preserve"> = t</w:t>
      </w:r>
      <w:r w:rsidRPr="005764F6">
        <w:rPr>
          <w:rStyle w:val="AERsubscript"/>
        </w:rPr>
        <w:t>c</w:t>
      </w:r>
      <w:r>
        <w:t>) then P</w:t>
      </w:r>
      <w:r w:rsidRPr="005764F6">
        <w:rPr>
          <w:rStyle w:val="AERsubscript"/>
        </w:rPr>
        <w:t>A</w:t>
      </w:r>
      <w:r>
        <w:t xml:space="preserve"> = P</w:t>
      </w:r>
      <w:r w:rsidRPr="005764F6">
        <w:rPr>
          <w:rStyle w:val="AERsubscript"/>
        </w:rPr>
        <w:t>B</w:t>
      </w:r>
      <w:r>
        <w:t xml:space="preserve"> + D. See: </w:t>
      </w:r>
      <w:r w:rsidRPr="00A47F4F">
        <w:t>Edwin J. Elton and Martin J. Gruber, 'Marginal Stockholder Tax Rates and the Clientele effect' The Review of Economics and Statistics, Vol. 52, No.1 (Feb 1970)</w:t>
      </w:r>
      <w:r>
        <w:t>, p</w:t>
      </w:r>
      <w:r w:rsidRPr="00A47F4F">
        <w:t>. 6</w:t>
      </w:r>
      <w:r>
        <w:t>9.</w:t>
      </w:r>
    </w:p>
  </w:footnote>
  <w:footnote w:id="606">
    <w:p w:rsidR="00881794" w:rsidRDefault="00881794" w:rsidP="00B27BE5">
      <w:pPr>
        <w:pStyle w:val="FootnoteText"/>
      </w:pPr>
      <w:r>
        <w:rPr>
          <w:rStyle w:val="FootnoteReference"/>
        </w:rPr>
        <w:footnoteRef/>
      </w:r>
      <w:r>
        <w:t xml:space="preserve"> </w:t>
      </w:r>
      <w:r>
        <w:tab/>
        <w:t>Defined as 20 minus 0.6928.</w:t>
      </w:r>
    </w:p>
  </w:footnote>
  <w:footnote w:id="607">
    <w:p w:rsidR="00881794" w:rsidRDefault="00881794" w:rsidP="00B27BE5">
      <w:pPr>
        <w:pStyle w:val="FootnoteText"/>
      </w:pPr>
      <w:r>
        <w:rPr>
          <w:rStyle w:val="FootnoteReference"/>
        </w:rPr>
        <w:footnoteRef/>
      </w:r>
      <w:r>
        <w:t xml:space="preserve"> </w:t>
      </w:r>
      <w:r>
        <w:tab/>
        <w:t>We also note distributed dividends are directly observable.</w:t>
      </w:r>
    </w:p>
  </w:footnote>
  <w:footnote w:id="608">
    <w:p w:rsidR="00881794" w:rsidRDefault="00881794" w:rsidP="00B27BE5">
      <w:pPr>
        <w:pStyle w:val="FootnoteText"/>
      </w:pPr>
      <w:r>
        <w:rPr>
          <w:rStyle w:val="FootnoteReference"/>
        </w:rPr>
        <w:footnoteRef/>
      </w:r>
      <w:r>
        <w:t xml:space="preserve"> </w:t>
      </w:r>
      <w:r>
        <w:tab/>
        <w:t>Edwin J. Elton and Martin J. Gruber, 'Marginal Stockholder Tax Rates and the Clientele effect' The Review of Economics and Statistics, Vol. 52, No.1 (Feb 1970), pp. 68-74, pin point ref: 69.</w:t>
      </w:r>
    </w:p>
  </w:footnote>
  <w:footnote w:id="609">
    <w:p w:rsidR="00881794" w:rsidRDefault="00881794">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10">
    <w:p w:rsidR="00881794" w:rsidRDefault="00881794" w:rsidP="002D2E1B">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11">
    <w:p w:rsidR="00881794" w:rsidRDefault="00881794" w:rsidP="00F267EC">
      <w:pPr>
        <w:pStyle w:val="FootnoteText"/>
      </w:pPr>
      <w:r>
        <w:rPr>
          <w:rStyle w:val="FootnoteReference"/>
        </w:rPr>
        <w:footnoteRef/>
      </w:r>
      <w:r>
        <w:t xml:space="preserve"> </w:t>
      </w:r>
      <w:r>
        <w:tab/>
        <w:t>In practice super funds have a CGT discount of 0.33 and not 0.5. However, in order to not complicate the analysis we do not introduce an additional CGT discount rate.</w:t>
      </w:r>
    </w:p>
  </w:footnote>
  <w:footnote w:id="612">
    <w:p w:rsidR="00881794" w:rsidRDefault="00881794">
      <w:pPr>
        <w:pStyle w:val="FootnoteText"/>
      </w:pPr>
      <w:r>
        <w:rPr>
          <w:rStyle w:val="FootnoteReference"/>
        </w:rPr>
        <w:footnoteRef/>
      </w:r>
      <w:r>
        <w:t xml:space="preserve"> </w:t>
      </w:r>
      <w:r>
        <w:tab/>
        <w:t>Edwin J. Elton and Martin J. Gruber, 'Marginal Stockholder Tax Rates and the Clientele effect' The Review of Economics and Statistics, Vol. 52, No.1 (Feb 1970), p. 6.</w:t>
      </w:r>
    </w:p>
  </w:footnote>
  <w:footnote w:id="613">
    <w:p w:rsidR="00881794" w:rsidRPr="00F267EC" w:rsidRDefault="00881794" w:rsidP="005764F6">
      <w:pPr>
        <w:pStyle w:val="FootnoteText"/>
      </w:pPr>
      <w:r>
        <w:rPr>
          <w:rStyle w:val="FootnoteReference"/>
        </w:rPr>
        <w:footnoteRef/>
      </w:r>
      <w:r>
        <w:t xml:space="preserve"> </w:t>
      </w:r>
      <w:r>
        <w:tab/>
      </w:r>
      <w:r w:rsidRPr="005764F6">
        <w:rPr>
          <w:rStyle w:val="FootnoteReference"/>
          <w:vertAlign w:val="baseline"/>
        </w:rPr>
        <w:t>Ainsworth A, K Fong, D Gallagher, and G Partington (2015),’Institutional Trading around the ex-dividend day’, Australian Journal of Management, January, pp. 1-25.</w:t>
      </w:r>
      <w:r w:rsidRPr="00F267EC">
        <w:t xml:space="preserve"> </w:t>
      </w:r>
    </w:p>
    <w:p w:rsidR="00881794" w:rsidRDefault="00881794">
      <w:pPr>
        <w:pStyle w:val="FootnoteText"/>
      </w:pPr>
    </w:p>
  </w:footnote>
  <w:footnote w:id="614">
    <w:p w:rsidR="00881794" w:rsidRDefault="00881794" w:rsidP="0051127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359, 367-368</w:t>
      </w:r>
      <w:r w:rsidRPr="00511278">
        <w:t>.</w:t>
      </w:r>
    </w:p>
  </w:footnote>
  <w:footnote w:id="615">
    <w:p w:rsidR="00881794" w:rsidRDefault="00881794" w:rsidP="00311237">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 xml:space="preserve">359, 367-368; APNT, </w:t>
      </w:r>
      <w:r w:rsidRPr="00903ED1">
        <w:rPr>
          <w:rStyle w:val="AERtextitalic"/>
        </w:rPr>
        <w:t>Access Arrangement Revised Proposal to Draft Decision</w:t>
      </w:r>
      <w:r>
        <w:t>, January 2016, p. 94.</w:t>
      </w:r>
    </w:p>
  </w:footnote>
  <w:footnote w:id="616">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617">
    <w:p w:rsidR="00881794" w:rsidRDefault="00881794" w:rsidP="00B27BE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618">
    <w:p w:rsidR="00881794" w:rsidRDefault="00881794" w:rsidP="002D2E1B">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19">
    <w:p w:rsidR="00881794" w:rsidRDefault="00881794" w:rsidP="0051127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117-118, 125-126</w:t>
      </w:r>
      <w:r w:rsidRPr="00511278">
        <w:t xml:space="preserve">; AusNet Electricity Services, </w:t>
      </w:r>
      <w:r w:rsidRPr="00511278">
        <w:rPr>
          <w:rStyle w:val="AERtextitalic"/>
        </w:rPr>
        <w:t>Revised Regulatory Proposal</w:t>
      </w:r>
      <w:r w:rsidRPr="00511278">
        <w:t>, January 2016, p</w:t>
      </w:r>
      <w:r>
        <w:t>p</w:t>
      </w:r>
      <w:r w:rsidRPr="00511278">
        <w:t>. </w:t>
      </w:r>
      <w:r>
        <w:t>7-86, 7-87, 7-93</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87-88, 94</w:t>
      </w:r>
      <w:r w:rsidRPr="00511278">
        <w:t xml:space="preserve">; CitiPower, </w:t>
      </w:r>
      <w:r w:rsidRPr="00511278">
        <w:rPr>
          <w:rStyle w:val="AERtextitalic"/>
        </w:rPr>
        <w:t>Revised Regulatory Proposal 2016-2020</w:t>
      </w:r>
      <w:r w:rsidRPr="00511278">
        <w:t>; January 2016, p</w:t>
      </w:r>
      <w:r>
        <w:t>p</w:t>
      </w:r>
      <w:r w:rsidRPr="00511278">
        <w:t>. </w:t>
      </w:r>
      <w:r>
        <w:t>365-366, 372</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w:t>
      </w:r>
      <w:r w:rsidRPr="00511278">
        <w:t>p. </w:t>
      </w:r>
      <w:r>
        <w:t>94-95, 102</w:t>
      </w:r>
      <w:r w:rsidRPr="00511278">
        <w:t xml:space="preserve">; Powercor, </w:t>
      </w:r>
      <w:r w:rsidRPr="00511278">
        <w:rPr>
          <w:rStyle w:val="AERtextitalic"/>
        </w:rPr>
        <w:t>Revised Regulatory Proposal 2016-2020</w:t>
      </w:r>
      <w:r w:rsidRPr="00511278">
        <w:t xml:space="preserve">, January 2016, </w:t>
      </w:r>
      <w:r>
        <w:t>p</w:t>
      </w:r>
      <w:r w:rsidRPr="00511278">
        <w:t>p. </w:t>
      </w:r>
      <w:r>
        <w:t>359-360, 366.</w:t>
      </w:r>
    </w:p>
  </w:footnote>
  <w:footnote w:id="620">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t xml:space="preserve">, January 2016, </w:t>
      </w:r>
      <w:r w:rsidRPr="00511278">
        <w:t>p. </w:t>
      </w:r>
      <w:r>
        <w:t>117</w:t>
      </w:r>
      <w:r w:rsidRPr="00511278">
        <w:t xml:space="preserve">; AusNet Electricity Services, </w:t>
      </w:r>
      <w:r w:rsidRPr="00511278">
        <w:rPr>
          <w:rStyle w:val="AERtextitalic"/>
        </w:rPr>
        <w:t>Revised Regulatory Proposal</w:t>
      </w:r>
      <w:r w:rsidRPr="00511278">
        <w:t>, January 2016, p. </w:t>
      </w:r>
      <w:r>
        <w:t>7-86</w:t>
      </w:r>
      <w:r w:rsidRPr="00511278">
        <w:t xml:space="preserve">; United Energy, </w:t>
      </w:r>
      <w:r w:rsidRPr="00511278">
        <w:rPr>
          <w:rStyle w:val="AERtextitalic"/>
        </w:rPr>
        <w:t>Response to AER Preliminary Determination Re: Rate of return and gamma</w:t>
      </w:r>
      <w:r w:rsidRPr="00511278">
        <w:t>, January 2016, p. </w:t>
      </w:r>
      <w:r>
        <w:t>87</w:t>
      </w:r>
      <w:r w:rsidRPr="00511278">
        <w:t xml:space="preserve">; CitiPower, </w:t>
      </w:r>
      <w:r w:rsidRPr="00511278">
        <w:rPr>
          <w:rStyle w:val="AERtextitalic"/>
        </w:rPr>
        <w:t>Revised Regulatory Proposal 2016-2020</w:t>
      </w:r>
      <w:r w:rsidRPr="00511278">
        <w:t>; January 2016, p</w:t>
      </w:r>
      <w:r>
        <w:t>p</w:t>
      </w:r>
      <w:r w:rsidRPr="00511278">
        <w:t>. </w:t>
      </w:r>
      <w:r>
        <w:t>365-366</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94</w:t>
      </w:r>
      <w:r w:rsidRPr="00511278">
        <w:t xml:space="preserve">; Powercor, </w:t>
      </w:r>
      <w:r w:rsidRPr="00511278">
        <w:rPr>
          <w:rStyle w:val="AERtextitalic"/>
        </w:rPr>
        <w:t>Revised Regulatory Proposal 2016-2020</w:t>
      </w:r>
      <w:r w:rsidRPr="00511278">
        <w:t xml:space="preserve">, January 2016, </w:t>
      </w:r>
      <w:r>
        <w:t>p</w:t>
      </w:r>
      <w:r w:rsidRPr="00511278">
        <w:t>p. </w:t>
      </w:r>
      <w:r>
        <w:t>359-360</w:t>
      </w:r>
      <w:r w:rsidRPr="00511278">
        <w:t>.</w:t>
      </w:r>
    </w:p>
  </w:footnote>
  <w:footnote w:id="621">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20</w:t>
      </w:r>
      <w:r w:rsidRPr="00511278">
        <w:t xml:space="preserve">; ActewAGL, </w:t>
      </w:r>
      <w:r w:rsidRPr="00511278">
        <w:rPr>
          <w:rStyle w:val="AERtextitalic"/>
        </w:rPr>
        <w:t>Appendix 5.01 Detailed response to rate of return, gamma and inflation</w:t>
      </w:r>
      <w:r>
        <w:t xml:space="preserve">, January 2016, </w:t>
      </w:r>
      <w:r w:rsidRPr="00511278">
        <w:t>p. </w:t>
      </w:r>
      <w:r>
        <w:t>125</w:t>
      </w:r>
      <w:r w:rsidRPr="00511278">
        <w:t xml:space="preserve">; AusNet Electricity Services, </w:t>
      </w:r>
      <w:r w:rsidRPr="00511278">
        <w:rPr>
          <w:rStyle w:val="AERtextitalic"/>
        </w:rPr>
        <w:t>Revised Regulatory Proposal</w:t>
      </w:r>
      <w:r w:rsidRPr="00511278">
        <w:t>, January 2016, p. </w:t>
      </w:r>
      <w:r>
        <w:t>7-93</w:t>
      </w:r>
      <w:r w:rsidRPr="00511278">
        <w:t xml:space="preserve">; United Energy, </w:t>
      </w:r>
      <w:r w:rsidRPr="00511278">
        <w:rPr>
          <w:rStyle w:val="AERtextitalic"/>
        </w:rPr>
        <w:t>Response to AER Preliminary Determination Re: Rate of return and gamma</w:t>
      </w:r>
      <w:r w:rsidRPr="00511278">
        <w:t>, January 2016, p. </w:t>
      </w:r>
      <w:r>
        <w:t>94</w:t>
      </w:r>
      <w:r w:rsidRPr="00511278">
        <w:t xml:space="preserve">; CitiPower, </w:t>
      </w:r>
      <w:r w:rsidRPr="00511278">
        <w:rPr>
          <w:rStyle w:val="AERtextitalic"/>
        </w:rPr>
        <w:t>Revised Regulatory Proposal 2016-2020</w:t>
      </w:r>
      <w:r w:rsidRPr="00511278">
        <w:t>; January 2016, p. </w:t>
      </w:r>
      <w:r>
        <w:t>372</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101</w:t>
      </w:r>
      <w:r w:rsidRPr="00511278">
        <w:t xml:space="preserve">; Powercor, </w:t>
      </w:r>
      <w:r w:rsidRPr="00511278">
        <w:rPr>
          <w:rStyle w:val="AERtextitalic"/>
        </w:rPr>
        <w:t>Revised Regulatory Proposal 2016-2020</w:t>
      </w:r>
      <w:r w:rsidRPr="00511278">
        <w:t>, January 2016, p. </w:t>
      </w:r>
      <w:r>
        <w:t>366.</w:t>
      </w:r>
    </w:p>
  </w:footnote>
  <w:footnote w:id="622">
    <w:p w:rsidR="00881794" w:rsidRDefault="00881794" w:rsidP="00B27BE5">
      <w:pPr>
        <w:pStyle w:val="FootnoteText"/>
      </w:pPr>
      <w:r>
        <w:rPr>
          <w:rStyle w:val="FootnoteReference"/>
        </w:rPr>
        <w:footnoteRef/>
      </w:r>
      <w:r>
        <w:t xml:space="preserve"> </w:t>
      </w:r>
      <w:r>
        <w:tab/>
      </w:r>
      <w:r w:rsidRPr="00F267EC">
        <w:t xml:space="preserve">Frontier Economics, </w:t>
      </w:r>
      <w:r w:rsidRPr="00F267EC">
        <w:rPr>
          <w:rStyle w:val="AERtextitalic"/>
        </w:rPr>
        <w:t>The appropriate use of tax statistics when estimating gamma</w:t>
      </w:r>
      <w:r w:rsidRPr="00F267EC">
        <w:t>, January 2016.</w:t>
      </w:r>
    </w:p>
  </w:footnote>
  <w:footnote w:id="623">
    <w:p w:rsidR="00881794" w:rsidRDefault="00881794" w:rsidP="00B27BE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p. 21.</w:t>
      </w:r>
    </w:p>
  </w:footnote>
  <w:footnote w:id="624">
    <w:p w:rsidR="00881794" w:rsidRDefault="00881794" w:rsidP="00B27BE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625">
    <w:p w:rsidR="00881794" w:rsidRDefault="00881794" w:rsidP="00B27BE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185(c); Australian Gas Networks, </w:t>
      </w:r>
      <w:r>
        <w:rPr>
          <w:rStyle w:val="AERtextitalic"/>
        </w:rPr>
        <w:t>Attachment 11 Response to Draft Decision: Cost of Tax</w:t>
      </w:r>
      <w:r>
        <w:t>, January 2016, p. 16.</w:t>
      </w:r>
    </w:p>
  </w:footnote>
  <w:footnote w:id="626">
    <w:p w:rsidR="00881794" w:rsidRDefault="00881794" w:rsidP="00B27BE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627">
    <w:p w:rsidR="00881794" w:rsidRDefault="00881794" w:rsidP="00B27BE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628">
    <w:p w:rsidR="00881794" w:rsidRDefault="00881794" w:rsidP="00B27BE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629">
    <w:p w:rsidR="00881794" w:rsidRDefault="00881794" w:rsidP="00B27BE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630">
    <w:p w:rsidR="00881794" w:rsidRDefault="00881794" w:rsidP="00B27BE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631">
    <w:p w:rsidR="00881794" w:rsidRDefault="00881794" w:rsidP="00B27BE5">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632">
    <w:p w:rsidR="00881794" w:rsidRDefault="00881794" w:rsidP="00B27BE5">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633">
    <w:p w:rsidR="00881794" w:rsidRDefault="00881794" w:rsidP="00B27BE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16</w:t>
      </w:r>
      <w:r w:rsidRPr="00511278">
        <w:t xml:space="preserve">; ActewAGL, </w:t>
      </w:r>
      <w:r w:rsidRPr="00511278">
        <w:rPr>
          <w:rStyle w:val="AERtextitalic"/>
        </w:rPr>
        <w:t>Appendix 5.01 Detailed response to rate of return, gamma and inflation</w:t>
      </w:r>
      <w:r>
        <w:t xml:space="preserve">, January 2016, </w:t>
      </w:r>
      <w:r w:rsidRPr="00511278">
        <w:t>p. </w:t>
      </w:r>
      <w:r>
        <w:t>120</w:t>
      </w:r>
      <w:r w:rsidRPr="00511278">
        <w:t xml:space="preserve">; AusNet Electricity Services, </w:t>
      </w:r>
      <w:r w:rsidRPr="00511278">
        <w:rPr>
          <w:rStyle w:val="AERtextitalic"/>
        </w:rPr>
        <w:t>Revised Regulatory Proposal</w:t>
      </w:r>
      <w:r w:rsidRPr="00511278">
        <w:t>, January 2016, p. </w:t>
      </w:r>
      <w:r>
        <w:t>7-89</w:t>
      </w:r>
      <w:r w:rsidRPr="00511278">
        <w:t xml:space="preserve">; United Energy, </w:t>
      </w:r>
      <w:r w:rsidRPr="00511278">
        <w:rPr>
          <w:rStyle w:val="AERtextitalic"/>
        </w:rPr>
        <w:t>Response to AER Preliminary Determination Re: Rate of return and gamma</w:t>
      </w:r>
      <w:r w:rsidRPr="00511278">
        <w:t>, January 2016, p. </w:t>
      </w:r>
      <w:r>
        <w:t>90</w:t>
      </w:r>
      <w:r w:rsidRPr="00511278">
        <w:t xml:space="preserve">; CitiPower, </w:t>
      </w:r>
      <w:r w:rsidRPr="00511278">
        <w:rPr>
          <w:rStyle w:val="AERtextitalic"/>
        </w:rPr>
        <w:t>Revised Regulatory Proposal 2016-2020</w:t>
      </w:r>
      <w:r w:rsidRPr="00511278">
        <w:t>; January 2016, p. </w:t>
      </w:r>
      <w:r>
        <w:t>368</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97</w:t>
      </w:r>
      <w:r w:rsidRPr="00511278">
        <w:t xml:space="preserve">; Powercor, </w:t>
      </w:r>
      <w:r w:rsidRPr="00511278">
        <w:rPr>
          <w:rStyle w:val="AERtextitalic"/>
        </w:rPr>
        <w:t>Revised Regulatory Proposal 2016-2020</w:t>
      </w:r>
      <w:r w:rsidRPr="00511278">
        <w:t>, January 2016, p. </w:t>
      </w:r>
      <w:r>
        <w:t>362.</w:t>
      </w:r>
    </w:p>
  </w:footnote>
  <w:footnote w:id="634">
    <w:p w:rsidR="00881794" w:rsidRDefault="00881794" w:rsidP="00B27BE5">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635">
    <w:p w:rsidR="00881794" w:rsidRDefault="00881794" w:rsidP="00B27BE5">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636">
    <w:p w:rsidR="00881794" w:rsidRDefault="00881794" w:rsidP="00B27BE5">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r>
        <w:t>.</w:t>
      </w:r>
    </w:p>
  </w:footnote>
  <w:footnote w:id="637">
    <w:p w:rsidR="00881794" w:rsidRDefault="00881794" w:rsidP="00B27BE5">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638">
    <w:p w:rsidR="00881794" w:rsidRDefault="00881794" w:rsidP="00B27BE5">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639">
    <w:p w:rsidR="00881794" w:rsidRDefault="00881794" w:rsidP="00B27BE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640">
    <w:p w:rsidR="00881794" w:rsidRDefault="00881794" w:rsidP="00B27BE5">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641">
    <w:p w:rsidR="00881794" w:rsidRDefault="00881794" w:rsidP="00B27BE5">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642">
    <w:p w:rsidR="00881794" w:rsidRDefault="00881794" w:rsidP="00B27BE5">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643">
    <w:p w:rsidR="00881794" w:rsidRDefault="00881794" w:rsidP="00373BE8">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644">
    <w:p w:rsidR="00881794" w:rsidRDefault="00881794" w:rsidP="00373BE8">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645">
    <w:p w:rsidR="00881794" w:rsidRDefault="00881794" w:rsidP="00373BE8">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646">
    <w:p w:rsidR="00881794" w:rsidRDefault="00881794" w:rsidP="00373BE8">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w:t>
      </w:r>
    </w:p>
  </w:footnote>
  <w:footnote w:id="647">
    <w:p w:rsidR="00881794" w:rsidRDefault="00881794" w:rsidP="00373BE8">
      <w:pPr>
        <w:pStyle w:val="FootnoteText"/>
      </w:pPr>
      <w:r>
        <w:rPr>
          <w:rStyle w:val="FootnoteReference"/>
        </w:rPr>
        <w:footnoteRef/>
      </w:r>
      <w:r>
        <w:t xml:space="preserve"> </w:t>
      </w:r>
      <w:r>
        <w:tab/>
      </w:r>
      <w:r w:rsidRPr="002B01D6">
        <w:t xml:space="preserve">Lally, </w:t>
      </w:r>
      <w:r w:rsidRPr="00A70E2C">
        <w:rPr>
          <w:rStyle w:val="AERtextitalic"/>
        </w:rPr>
        <w:t>The estimation of gamma</w:t>
      </w:r>
      <w:r>
        <w:t>, 23 November 2013, pp. 3 and 4.</w:t>
      </w:r>
    </w:p>
  </w:footnote>
  <w:footnote w:id="648">
    <w:p w:rsidR="00881794" w:rsidRDefault="00881794" w:rsidP="00373BE8">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14.</w:t>
      </w:r>
    </w:p>
  </w:footnote>
  <w:footnote w:id="649">
    <w:p w:rsidR="00881794" w:rsidRDefault="00881794" w:rsidP="00373BE8">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38.</w:t>
      </w:r>
    </w:p>
  </w:footnote>
  <w:footnote w:id="650">
    <w:p w:rsidR="00881794" w:rsidRDefault="00881794" w:rsidP="00373BE8">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38–47.</w:t>
      </w:r>
    </w:p>
  </w:footnote>
  <w:footnote w:id="651">
    <w:p w:rsidR="00881794" w:rsidRDefault="00881794" w:rsidP="00373BE8">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46–47.</w:t>
      </w:r>
    </w:p>
  </w:footnote>
  <w:footnote w:id="652">
    <w:p w:rsidR="00881794" w:rsidRDefault="00881794" w:rsidP="00373BE8">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653">
    <w:p w:rsidR="00881794" w:rsidRDefault="00881794" w:rsidP="00373BE8">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654">
    <w:p w:rsidR="00881794" w:rsidRDefault="00881794" w:rsidP="00373BE8">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655">
    <w:p w:rsidR="00881794" w:rsidRDefault="00881794" w:rsidP="00373BE8">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94" w:rsidRDefault="00984055">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2058"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881794">
      <w:t>January 2005</w:t>
    </w:r>
  </w:p>
  <w:p w:rsidR="00881794" w:rsidRDefault="008817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94" w:rsidRDefault="0098405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2057"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C00B7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0667494"/>
    <w:multiLevelType w:val="hybridMultilevel"/>
    <w:tmpl w:val="3A227B48"/>
    <w:lvl w:ilvl="0" w:tplc="3568627A">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B972022E"/>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AERbulletlistfirststyle"/>
      <w:lvlText w:val=""/>
      <w:lvlJc w:val="left"/>
      <w:pPr>
        <w:ind w:left="786"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1"/>
  </w:num>
  <w:num w:numId="15">
    <w:abstractNumId w:val="13"/>
  </w:num>
  <w:num w:numId="16">
    <w:abstractNumId w:val="20"/>
  </w:num>
  <w:num w:numId="17">
    <w:abstractNumId w:val="10"/>
  </w:num>
  <w:num w:numId="18">
    <w:abstractNumId w:val="15"/>
  </w:num>
  <w:num w:numId="19">
    <w:abstractNumId w:val="21"/>
  </w:num>
  <w:num w:numId="20">
    <w:abstractNumId w:val="27"/>
  </w:num>
  <w:num w:numId="21">
    <w:abstractNumId w:val="24"/>
  </w:num>
  <w:num w:numId="22">
    <w:abstractNumId w:val="22"/>
  </w:num>
  <w:num w:numId="23">
    <w:abstractNumId w:val="16"/>
  </w:num>
  <w:num w:numId="24">
    <w:abstractNumId w:val="23"/>
  </w:num>
  <w:num w:numId="25">
    <w:abstractNumId w:val="25"/>
  </w:num>
  <w:num w:numId="26">
    <w:abstractNumId w:val="18"/>
  </w:num>
  <w:num w:numId="27">
    <w:abstractNumId w:val="1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6"/>
    <w:lvlOverride w:ilvl="0">
      <w:lvl w:ilvl="0">
        <w:start w:val="1"/>
        <w:numFmt w:val="decimal"/>
        <w:lvlRestart w:val="0"/>
        <w:lvlText w:val="%1"/>
        <w:lvlJc w:val="left"/>
        <w:pPr>
          <w:tabs>
            <w:tab w:val="num" w:pos="720"/>
          </w:tabs>
          <w:ind w:left="0" w:hanging="720"/>
        </w:pPr>
        <w:rPr>
          <w:rFonts w:hint="default"/>
          <w:sz w:val="20"/>
        </w:rPr>
      </w:lvl>
    </w:lvlOverride>
  </w:num>
  <w:num w:numId="31">
    <w:abstractNumId w:val="16"/>
  </w:num>
  <w:num w:numId="32">
    <w:abstractNumId w:val="9"/>
  </w:num>
  <w:num w:numId="33">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W/5vyKlocknzGsZJrJFrB08LrvtSSSrRrlodA4zmJWw=" w:saltValue="fypKOSYwV0Zig5SUVMK+kQ==" w:algorithmName="SHA-256"/>
  <w:defaultTabStop w:val="34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592\D16 60775  Attachment A - Reset attachments - VIC EDPR and Gas resets - Gamma attachment.DOCX"/>
  </w:docVars>
  <w:rsids>
    <w:rsidRoot w:val="00961A4A"/>
    <w:rsid w:val="000029E4"/>
    <w:rsid w:val="00004426"/>
    <w:rsid w:val="00004633"/>
    <w:rsid w:val="0000652C"/>
    <w:rsid w:val="000076F2"/>
    <w:rsid w:val="00010286"/>
    <w:rsid w:val="00010381"/>
    <w:rsid w:val="00011188"/>
    <w:rsid w:val="000114FB"/>
    <w:rsid w:val="00011F30"/>
    <w:rsid w:val="00012B70"/>
    <w:rsid w:val="00012C18"/>
    <w:rsid w:val="00015140"/>
    <w:rsid w:val="0001543E"/>
    <w:rsid w:val="000169EC"/>
    <w:rsid w:val="00017887"/>
    <w:rsid w:val="000202B7"/>
    <w:rsid w:val="00020FEB"/>
    <w:rsid w:val="00021202"/>
    <w:rsid w:val="0002130D"/>
    <w:rsid w:val="00021795"/>
    <w:rsid w:val="00021C2B"/>
    <w:rsid w:val="00021D87"/>
    <w:rsid w:val="00022201"/>
    <w:rsid w:val="000226DF"/>
    <w:rsid w:val="00024866"/>
    <w:rsid w:val="000250B8"/>
    <w:rsid w:val="0002517F"/>
    <w:rsid w:val="00026495"/>
    <w:rsid w:val="00027253"/>
    <w:rsid w:val="00030076"/>
    <w:rsid w:val="00032998"/>
    <w:rsid w:val="00033080"/>
    <w:rsid w:val="000336C0"/>
    <w:rsid w:val="00033F58"/>
    <w:rsid w:val="00034166"/>
    <w:rsid w:val="00034727"/>
    <w:rsid w:val="00034D58"/>
    <w:rsid w:val="0003510B"/>
    <w:rsid w:val="0003578C"/>
    <w:rsid w:val="0003628F"/>
    <w:rsid w:val="0003645B"/>
    <w:rsid w:val="000401AF"/>
    <w:rsid w:val="00040D7A"/>
    <w:rsid w:val="00041DDA"/>
    <w:rsid w:val="00042F1D"/>
    <w:rsid w:val="00043A0E"/>
    <w:rsid w:val="00044C9C"/>
    <w:rsid w:val="00046160"/>
    <w:rsid w:val="000467B0"/>
    <w:rsid w:val="00050EE9"/>
    <w:rsid w:val="0005101E"/>
    <w:rsid w:val="0005202C"/>
    <w:rsid w:val="000525C8"/>
    <w:rsid w:val="0005260B"/>
    <w:rsid w:val="000528C8"/>
    <w:rsid w:val="00053CA0"/>
    <w:rsid w:val="0005668D"/>
    <w:rsid w:val="00057890"/>
    <w:rsid w:val="00060150"/>
    <w:rsid w:val="00060B4C"/>
    <w:rsid w:val="000625F6"/>
    <w:rsid w:val="00063247"/>
    <w:rsid w:val="0006342F"/>
    <w:rsid w:val="00063A92"/>
    <w:rsid w:val="00066FEB"/>
    <w:rsid w:val="0006732D"/>
    <w:rsid w:val="00070F9F"/>
    <w:rsid w:val="0007137B"/>
    <w:rsid w:val="00071F65"/>
    <w:rsid w:val="000729F9"/>
    <w:rsid w:val="00072CD0"/>
    <w:rsid w:val="00074454"/>
    <w:rsid w:val="000746E4"/>
    <w:rsid w:val="000749D4"/>
    <w:rsid w:val="00077EAE"/>
    <w:rsid w:val="0008156E"/>
    <w:rsid w:val="00081771"/>
    <w:rsid w:val="00082D57"/>
    <w:rsid w:val="00082FE5"/>
    <w:rsid w:val="00083AA5"/>
    <w:rsid w:val="00083D74"/>
    <w:rsid w:val="000846AD"/>
    <w:rsid w:val="00085663"/>
    <w:rsid w:val="00085EBF"/>
    <w:rsid w:val="00085F93"/>
    <w:rsid w:val="00086E72"/>
    <w:rsid w:val="00091B15"/>
    <w:rsid w:val="000921FF"/>
    <w:rsid w:val="0009274A"/>
    <w:rsid w:val="00095243"/>
    <w:rsid w:val="00095ACB"/>
    <w:rsid w:val="00097EE6"/>
    <w:rsid w:val="000A174E"/>
    <w:rsid w:val="000A1E7C"/>
    <w:rsid w:val="000A3020"/>
    <w:rsid w:val="000A3531"/>
    <w:rsid w:val="000A4C92"/>
    <w:rsid w:val="000A50CF"/>
    <w:rsid w:val="000A5380"/>
    <w:rsid w:val="000A5787"/>
    <w:rsid w:val="000A5F3D"/>
    <w:rsid w:val="000A66C3"/>
    <w:rsid w:val="000A6C7B"/>
    <w:rsid w:val="000B0360"/>
    <w:rsid w:val="000B07A3"/>
    <w:rsid w:val="000B21A7"/>
    <w:rsid w:val="000B5366"/>
    <w:rsid w:val="000B5939"/>
    <w:rsid w:val="000B6645"/>
    <w:rsid w:val="000B7F97"/>
    <w:rsid w:val="000C2759"/>
    <w:rsid w:val="000C2B40"/>
    <w:rsid w:val="000C3267"/>
    <w:rsid w:val="000C7DEC"/>
    <w:rsid w:val="000D01F4"/>
    <w:rsid w:val="000D0591"/>
    <w:rsid w:val="000D06C1"/>
    <w:rsid w:val="000D08DF"/>
    <w:rsid w:val="000D0B0D"/>
    <w:rsid w:val="000D122C"/>
    <w:rsid w:val="000D288F"/>
    <w:rsid w:val="000D3016"/>
    <w:rsid w:val="000D33DB"/>
    <w:rsid w:val="000D48A8"/>
    <w:rsid w:val="000D4E2F"/>
    <w:rsid w:val="000D4ED8"/>
    <w:rsid w:val="000D559A"/>
    <w:rsid w:val="000D6495"/>
    <w:rsid w:val="000D64F2"/>
    <w:rsid w:val="000D7467"/>
    <w:rsid w:val="000D77B8"/>
    <w:rsid w:val="000D7F32"/>
    <w:rsid w:val="000E07CD"/>
    <w:rsid w:val="000E166D"/>
    <w:rsid w:val="000E1819"/>
    <w:rsid w:val="000E2C6D"/>
    <w:rsid w:val="000E4142"/>
    <w:rsid w:val="000E4821"/>
    <w:rsid w:val="000E5D91"/>
    <w:rsid w:val="000E6C72"/>
    <w:rsid w:val="000E7213"/>
    <w:rsid w:val="000E7689"/>
    <w:rsid w:val="000F00B4"/>
    <w:rsid w:val="000F07D1"/>
    <w:rsid w:val="000F0B2B"/>
    <w:rsid w:val="000F11E9"/>
    <w:rsid w:val="000F1242"/>
    <w:rsid w:val="000F146F"/>
    <w:rsid w:val="000F1F78"/>
    <w:rsid w:val="000F3009"/>
    <w:rsid w:val="000F3242"/>
    <w:rsid w:val="000F3E72"/>
    <w:rsid w:val="000F48B1"/>
    <w:rsid w:val="000F5EC1"/>
    <w:rsid w:val="000F6E50"/>
    <w:rsid w:val="000F6F82"/>
    <w:rsid w:val="000F723D"/>
    <w:rsid w:val="00100507"/>
    <w:rsid w:val="001015D0"/>
    <w:rsid w:val="001030E7"/>
    <w:rsid w:val="00103A67"/>
    <w:rsid w:val="00103B23"/>
    <w:rsid w:val="001049FC"/>
    <w:rsid w:val="00105C2A"/>
    <w:rsid w:val="00106204"/>
    <w:rsid w:val="001106D0"/>
    <w:rsid w:val="00110A1A"/>
    <w:rsid w:val="00110EA6"/>
    <w:rsid w:val="00114CA7"/>
    <w:rsid w:val="0011587D"/>
    <w:rsid w:val="00116681"/>
    <w:rsid w:val="00116EB2"/>
    <w:rsid w:val="0011728A"/>
    <w:rsid w:val="0011741D"/>
    <w:rsid w:val="001174F3"/>
    <w:rsid w:val="001178ED"/>
    <w:rsid w:val="00120700"/>
    <w:rsid w:val="001217D8"/>
    <w:rsid w:val="00123601"/>
    <w:rsid w:val="00123E82"/>
    <w:rsid w:val="001240EC"/>
    <w:rsid w:val="001243BA"/>
    <w:rsid w:val="00124609"/>
    <w:rsid w:val="00125567"/>
    <w:rsid w:val="001255C6"/>
    <w:rsid w:val="0012567F"/>
    <w:rsid w:val="00126A4C"/>
    <w:rsid w:val="00127473"/>
    <w:rsid w:val="001276DA"/>
    <w:rsid w:val="00130014"/>
    <w:rsid w:val="00130336"/>
    <w:rsid w:val="00130BD2"/>
    <w:rsid w:val="00132AE9"/>
    <w:rsid w:val="00132BF9"/>
    <w:rsid w:val="00133144"/>
    <w:rsid w:val="001334A8"/>
    <w:rsid w:val="001336CC"/>
    <w:rsid w:val="001349ED"/>
    <w:rsid w:val="00134CD4"/>
    <w:rsid w:val="0013675B"/>
    <w:rsid w:val="00136BC8"/>
    <w:rsid w:val="00137893"/>
    <w:rsid w:val="00142AB6"/>
    <w:rsid w:val="0014416A"/>
    <w:rsid w:val="00144518"/>
    <w:rsid w:val="0014530B"/>
    <w:rsid w:val="0014573B"/>
    <w:rsid w:val="0014639A"/>
    <w:rsid w:val="0014655D"/>
    <w:rsid w:val="00147042"/>
    <w:rsid w:val="00147E70"/>
    <w:rsid w:val="00147E72"/>
    <w:rsid w:val="0015112F"/>
    <w:rsid w:val="00152482"/>
    <w:rsid w:val="00154698"/>
    <w:rsid w:val="00154D6D"/>
    <w:rsid w:val="001561B2"/>
    <w:rsid w:val="00156DCC"/>
    <w:rsid w:val="001573E4"/>
    <w:rsid w:val="00160756"/>
    <w:rsid w:val="001612DB"/>
    <w:rsid w:val="00163D19"/>
    <w:rsid w:val="00164A5D"/>
    <w:rsid w:val="00164D25"/>
    <w:rsid w:val="001657CF"/>
    <w:rsid w:val="0016735E"/>
    <w:rsid w:val="00167B59"/>
    <w:rsid w:val="00167F67"/>
    <w:rsid w:val="0017232E"/>
    <w:rsid w:val="00174102"/>
    <w:rsid w:val="0017480F"/>
    <w:rsid w:val="001754EE"/>
    <w:rsid w:val="001762B7"/>
    <w:rsid w:val="00176C3A"/>
    <w:rsid w:val="00176FBA"/>
    <w:rsid w:val="001779A7"/>
    <w:rsid w:val="00177CB7"/>
    <w:rsid w:val="00180157"/>
    <w:rsid w:val="001806B7"/>
    <w:rsid w:val="00180EAC"/>
    <w:rsid w:val="00180F4E"/>
    <w:rsid w:val="001817DA"/>
    <w:rsid w:val="00182467"/>
    <w:rsid w:val="00182C6F"/>
    <w:rsid w:val="00185CB9"/>
    <w:rsid w:val="001861AB"/>
    <w:rsid w:val="001861CC"/>
    <w:rsid w:val="00186F1E"/>
    <w:rsid w:val="00186F77"/>
    <w:rsid w:val="0019103B"/>
    <w:rsid w:val="00191DDF"/>
    <w:rsid w:val="001921B1"/>
    <w:rsid w:val="001925B1"/>
    <w:rsid w:val="001926A4"/>
    <w:rsid w:val="00192AD5"/>
    <w:rsid w:val="00192DC2"/>
    <w:rsid w:val="001935F0"/>
    <w:rsid w:val="001936D6"/>
    <w:rsid w:val="00194187"/>
    <w:rsid w:val="001945A3"/>
    <w:rsid w:val="00195F35"/>
    <w:rsid w:val="001A0DD8"/>
    <w:rsid w:val="001A3098"/>
    <w:rsid w:val="001A3C81"/>
    <w:rsid w:val="001A5157"/>
    <w:rsid w:val="001A60DE"/>
    <w:rsid w:val="001A6B5D"/>
    <w:rsid w:val="001A79AD"/>
    <w:rsid w:val="001A7B9C"/>
    <w:rsid w:val="001B04A9"/>
    <w:rsid w:val="001B20F2"/>
    <w:rsid w:val="001B2D3D"/>
    <w:rsid w:val="001B3F62"/>
    <w:rsid w:val="001B45A0"/>
    <w:rsid w:val="001B45C0"/>
    <w:rsid w:val="001B55CD"/>
    <w:rsid w:val="001B618D"/>
    <w:rsid w:val="001B6F2E"/>
    <w:rsid w:val="001B7D00"/>
    <w:rsid w:val="001C0675"/>
    <w:rsid w:val="001C17E7"/>
    <w:rsid w:val="001C1C8F"/>
    <w:rsid w:val="001C2A1E"/>
    <w:rsid w:val="001C30C5"/>
    <w:rsid w:val="001C31C7"/>
    <w:rsid w:val="001C3C11"/>
    <w:rsid w:val="001C43A3"/>
    <w:rsid w:val="001C5C16"/>
    <w:rsid w:val="001C68DB"/>
    <w:rsid w:val="001D0314"/>
    <w:rsid w:val="001D0326"/>
    <w:rsid w:val="001D0503"/>
    <w:rsid w:val="001D055E"/>
    <w:rsid w:val="001D08F4"/>
    <w:rsid w:val="001D1CFE"/>
    <w:rsid w:val="001D1E04"/>
    <w:rsid w:val="001D2520"/>
    <w:rsid w:val="001D2556"/>
    <w:rsid w:val="001D28F5"/>
    <w:rsid w:val="001D70A2"/>
    <w:rsid w:val="001E009C"/>
    <w:rsid w:val="001E07F8"/>
    <w:rsid w:val="001E18AB"/>
    <w:rsid w:val="001E218E"/>
    <w:rsid w:val="001E3BAD"/>
    <w:rsid w:val="001E47B0"/>
    <w:rsid w:val="001E4CCA"/>
    <w:rsid w:val="001E535E"/>
    <w:rsid w:val="001E5AE7"/>
    <w:rsid w:val="001E5FE2"/>
    <w:rsid w:val="001E61D8"/>
    <w:rsid w:val="001E7C5F"/>
    <w:rsid w:val="001F05A4"/>
    <w:rsid w:val="001F3E4F"/>
    <w:rsid w:val="001F492E"/>
    <w:rsid w:val="001F653A"/>
    <w:rsid w:val="001F6DA3"/>
    <w:rsid w:val="001F7282"/>
    <w:rsid w:val="001F77B6"/>
    <w:rsid w:val="001F7D16"/>
    <w:rsid w:val="001F7F08"/>
    <w:rsid w:val="002010BC"/>
    <w:rsid w:val="002016E7"/>
    <w:rsid w:val="00201E75"/>
    <w:rsid w:val="00201F98"/>
    <w:rsid w:val="00202076"/>
    <w:rsid w:val="002024B1"/>
    <w:rsid w:val="00202E03"/>
    <w:rsid w:val="00203D4E"/>
    <w:rsid w:val="00203DC0"/>
    <w:rsid w:val="0020478D"/>
    <w:rsid w:val="0020492C"/>
    <w:rsid w:val="00205476"/>
    <w:rsid w:val="00205477"/>
    <w:rsid w:val="00205A33"/>
    <w:rsid w:val="002067FB"/>
    <w:rsid w:val="00206EF6"/>
    <w:rsid w:val="00207064"/>
    <w:rsid w:val="0021060B"/>
    <w:rsid w:val="002106B8"/>
    <w:rsid w:val="002110D5"/>
    <w:rsid w:val="00213864"/>
    <w:rsid w:val="00213B65"/>
    <w:rsid w:val="00214624"/>
    <w:rsid w:val="00215F4D"/>
    <w:rsid w:val="00217DF9"/>
    <w:rsid w:val="00222F18"/>
    <w:rsid w:val="00223583"/>
    <w:rsid w:val="00223829"/>
    <w:rsid w:val="0022444D"/>
    <w:rsid w:val="00224DB9"/>
    <w:rsid w:val="002262B6"/>
    <w:rsid w:val="00227C2B"/>
    <w:rsid w:val="00227DCE"/>
    <w:rsid w:val="00231356"/>
    <w:rsid w:val="0023271C"/>
    <w:rsid w:val="0023276C"/>
    <w:rsid w:val="00233775"/>
    <w:rsid w:val="0023412A"/>
    <w:rsid w:val="0023445E"/>
    <w:rsid w:val="00234985"/>
    <w:rsid w:val="00235206"/>
    <w:rsid w:val="002357E5"/>
    <w:rsid w:val="00235874"/>
    <w:rsid w:val="00235C74"/>
    <w:rsid w:val="00235FAC"/>
    <w:rsid w:val="00241750"/>
    <w:rsid w:val="0024193E"/>
    <w:rsid w:val="00243100"/>
    <w:rsid w:val="00244D0F"/>
    <w:rsid w:val="00246EFC"/>
    <w:rsid w:val="00247816"/>
    <w:rsid w:val="00247D96"/>
    <w:rsid w:val="00247E57"/>
    <w:rsid w:val="00250954"/>
    <w:rsid w:val="00250ED7"/>
    <w:rsid w:val="00251745"/>
    <w:rsid w:val="00254550"/>
    <w:rsid w:val="0025464A"/>
    <w:rsid w:val="00255B0F"/>
    <w:rsid w:val="002562A0"/>
    <w:rsid w:val="00256CAC"/>
    <w:rsid w:val="00260DD6"/>
    <w:rsid w:val="00263774"/>
    <w:rsid w:val="00263AC0"/>
    <w:rsid w:val="00263D5D"/>
    <w:rsid w:val="00264264"/>
    <w:rsid w:val="002643AE"/>
    <w:rsid w:val="0026772D"/>
    <w:rsid w:val="0026780A"/>
    <w:rsid w:val="00270C63"/>
    <w:rsid w:val="00277554"/>
    <w:rsid w:val="00277AA4"/>
    <w:rsid w:val="002809AA"/>
    <w:rsid w:val="00281997"/>
    <w:rsid w:val="0028244F"/>
    <w:rsid w:val="00284350"/>
    <w:rsid w:val="00284669"/>
    <w:rsid w:val="00285C9E"/>
    <w:rsid w:val="00286874"/>
    <w:rsid w:val="00290354"/>
    <w:rsid w:val="00290C63"/>
    <w:rsid w:val="002910A9"/>
    <w:rsid w:val="00295DC8"/>
    <w:rsid w:val="002962A0"/>
    <w:rsid w:val="00296B65"/>
    <w:rsid w:val="0029724D"/>
    <w:rsid w:val="00297495"/>
    <w:rsid w:val="002A2BDA"/>
    <w:rsid w:val="002A3342"/>
    <w:rsid w:val="002A5C1B"/>
    <w:rsid w:val="002A6688"/>
    <w:rsid w:val="002A7DEF"/>
    <w:rsid w:val="002B1003"/>
    <w:rsid w:val="002B4977"/>
    <w:rsid w:val="002B573C"/>
    <w:rsid w:val="002B5BDD"/>
    <w:rsid w:val="002B5E75"/>
    <w:rsid w:val="002B5FB1"/>
    <w:rsid w:val="002C1148"/>
    <w:rsid w:val="002C11FD"/>
    <w:rsid w:val="002C1392"/>
    <w:rsid w:val="002C233C"/>
    <w:rsid w:val="002C289A"/>
    <w:rsid w:val="002C5787"/>
    <w:rsid w:val="002C65D4"/>
    <w:rsid w:val="002C7940"/>
    <w:rsid w:val="002D08DC"/>
    <w:rsid w:val="002D150D"/>
    <w:rsid w:val="002D1A80"/>
    <w:rsid w:val="002D1F32"/>
    <w:rsid w:val="002D2E1B"/>
    <w:rsid w:val="002D2EC4"/>
    <w:rsid w:val="002D328A"/>
    <w:rsid w:val="002D5177"/>
    <w:rsid w:val="002D72E8"/>
    <w:rsid w:val="002E1219"/>
    <w:rsid w:val="002E3A0C"/>
    <w:rsid w:val="002E3C41"/>
    <w:rsid w:val="002E4A0E"/>
    <w:rsid w:val="002E4FA8"/>
    <w:rsid w:val="002E565C"/>
    <w:rsid w:val="002E7B22"/>
    <w:rsid w:val="002F0ECF"/>
    <w:rsid w:val="002F209C"/>
    <w:rsid w:val="002F454E"/>
    <w:rsid w:val="002F77DC"/>
    <w:rsid w:val="002F7986"/>
    <w:rsid w:val="0030018E"/>
    <w:rsid w:val="00300440"/>
    <w:rsid w:val="00300720"/>
    <w:rsid w:val="00300EA9"/>
    <w:rsid w:val="003017DC"/>
    <w:rsid w:val="00301B40"/>
    <w:rsid w:val="00301F1F"/>
    <w:rsid w:val="003029A5"/>
    <w:rsid w:val="003029EE"/>
    <w:rsid w:val="0030370B"/>
    <w:rsid w:val="00303E94"/>
    <w:rsid w:val="003040F0"/>
    <w:rsid w:val="00304AF0"/>
    <w:rsid w:val="00305CC8"/>
    <w:rsid w:val="00307F6D"/>
    <w:rsid w:val="00310293"/>
    <w:rsid w:val="0031086A"/>
    <w:rsid w:val="00311237"/>
    <w:rsid w:val="003115DE"/>
    <w:rsid w:val="00311714"/>
    <w:rsid w:val="003129B0"/>
    <w:rsid w:val="00312B47"/>
    <w:rsid w:val="00313016"/>
    <w:rsid w:val="003130C9"/>
    <w:rsid w:val="0031431E"/>
    <w:rsid w:val="00315ADE"/>
    <w:rsid w:val="00316110"/>
    <w:rsid w:val="003168FF"/>
    <w:rsid w:val="00317298"/>
    <w:rsid w:val="003177A2"/>
    <w:rsid w:val="003201A7"/>
    <w:rsid w:val="00320869"/>
    <w:rsid w:val="00321D42"/>
    <w:rsid w:val="0032268A"/>
    <w:rsid w:val="003228FB"/>
    <w:rsid w:val="00324392"/>
    <w:rsid w:val="003246F2"/>
    <w:rsid w:val="0032479C"/>
    <w:rsid w:val="00324815"/>
    <w:rsid w:val="003250E7"/>
    <w:rsid w:val="0032538A"/>
    <w:rsid w:val="00325881"/>
    <w:rsid w:val="00326B1D"/>
    <w:rsid w:val="003271B5"/>
    <w:rsid w:val="00327A1E"/>
    <w:rsid w:val="003309BD"/>
    <w:rsid w:val="00331264"/>
    <w:rsid w:val="003323C3"/>
    <w:rsid w:val="00332B15"/>
    <w:rsid w:val="0033381B"/>
    <w:rsid w:val="003338A2"/>
    <w:rsid w:val="00333A73"/>
    <w:rsid w:val="00333B64"/>
    <w:rsid w:val="00334C8D"/>
    <w:rsid w:val="0033548E"/>
    <w:rsid w:val="00337D82"/>
    <w:rsid w:val="00340BD6"/>
    <w:rsid w:val="00340E72"/>
    <w:rsid w:val="00342D3C"/>
    <w:rsid w:val="00343A18"/>
    <w:rsid w:val="00344405"/>
    <w:rsid w:val="00344473"/>
    <w:rsid w:val="00344D08"/>
    <w:rsid w:val="00345471"/>
    <w:rsid w:val="003455B0"/>
    <w:rsid w:val="003457F9"/>
    <w:rsid w:val="00345AB4"/>
    <w:rsid w:val="00345C01"/>
    <w:rsid w:val="00345F31"/>
    <w:rsid w:val="00346977"/>
    <w:rsid w:val="00346D76"/>
    <w:rsid w:val="00347114"/>
    <w:rsid w:val="00347C28"/>
    <w:rsid w:val="003502F5"/>
    <w:rsid w:val="003512FD"/>
    <w:rsid w:val="003518B3"/>
    <w:rsid w:val="00351980"/>
    <w:rsid w:val="0035206C"/>
    <w:rsid w:val="00353E0E"/>
    <w:rsid w:val="003548D4"/>
    <w:rsid w:val="00356076"/>
    <w:rsid w:val="00356C34"/>
    <w:rsid w:val="003578CD"/>
    <w:rsid w:val="00363292"/>
    <w:rsid w:val="003635E5"/>
    <w:rsid w:val="0036528D"/>
    <w:rsid w:val="0036595A"/>
    <w:rsid w:val="003659FC"/>
    <w:rsid w:val="00365D40"/>
    <w:rsid w:val="003666F2"/>
    <w:rsid w:val="00366AED"/>
    <w:rsid w:val="00370994"/>
    <w:rsid w:val="00370CF7"/>
    <w:rsid w:val="003717D8"/>
    <w:rsid w:val="003721FC"/>
    <w:rsid w:val="0037281D"/>
    <w:rsid w:val="00372D19"/>
    <w:rsid w:val="00372F3A"/>
    <w:rsid w:val="00372F77"/>
    <w:rsid w:val="00373AFC"/>
    <w:rsid w:val="00373BE8"/>
    <w:rsid w:val="00375DFA"/>
    <w:rsid w:val="00375E4D"/>
    <w:rsid w:val="00376310"/>
    <w:rsid w:val="0037638C"/>
    <w:rsid w:val="00376A03"/>
    <w:rsid w:val="00377B09"/>
    <w:rsid w:val="003802D7"/>
    <w:rsid w:val="0038059B"/>
    <w:rsid w:val="00383929"/>
    <w:rsid w:val="00383F96"/>
    <w:rsid w:val="003846F1"/>
    <w:rsid w:val="00384ACB"/>
    <w:rsid w:val="00385731"/>
    <w:rsid w:val="00386864"/>
    <w:rsid w:val="0038781E"/>
    <w:rsid w:val="00387FF5"/>
    <w:rsid w:val="003903D4"/>
    <w:rsid w:val="00391BF0"/>
    <w:rsid w:val="003931A7"/>
    <w:rsid w:val="00393646"/>
    <w:rsid w:val="0039413E"/>
    <w:rsid w:val="0039418D"/>
    <w:rsid w:val="003946D9"/>
    <w:rsid w:val="00394952"/>
    <w:rsid w:val="00395D01"/>
    <w:rsid w:val="00396F61"/>
    <w:rsid w:val="00397449"/>
    <w:rsid w:val="003A0B5E"/>
    <w:rsid w:val="003A0C27"/>
    <w:rsid w:val="003A197F"/>
    <w:rsid w:val="003A1F09"/>
    <w:rsid w:val="003A224D"/>
    <w:rsid w:val="003A27E5"/>
    <w:rsid w:val="003A288C"/>
    <w:rsid w:val="003A4251"/>
    <w:rsid w:val="003A4C23"/>
    <w:rsid w:val="003A5047"/>
    <w:rsid w:val="003A5661"/>
    <w:rsid w:val="003A57BC"/>
    <w:rsid w:val="003A6FDA"/>
    <w:rsid w:val="003B00CC"/>
    <w:rsid w:val="003B278B"/>
    <w:rsid w:val="003B2B90"/>
    <w:rsid w:val="003B4589"/>
    <w:rsid w:val="003B484F"/>
    <w:rsid w:val="003B52D9"/>
    <w:rsid w:val="003B6557"/>
    <w:rsid w:val="003B6AF6"/>
    <w:rsid w:val="003B74EC"/>
    <w:rsid w:val="003B7658"/>
    <w:rsid w:val="003B7FBA"/>
    <w:rsid w:val="003C0D82"/>
    <w:rsid w:val="003C12DE"/>
    <w:rsid w:val="003C18C7"/>
    <w:rsid w:val="003C41D5"/>
    <w:rsid w:val="003C4DF6"/>
    <w:rsid w:val="003C5100"/>
    <w:rsid w:val="003C5344"/>
    <w:rsid w:val="003C7AC2"/>
    <w:rsid w:val="003D0879"/>
    <w:rsid w:val="003D227F"/>
    <w:rsid w:val="003D2293"/>
    <w:rsid w:val="003D5662"/>
    <w:rsid w:val="003D6783"/>
    <w:rsid w:val="003D744D"/>
    <w:rsid w:val="003D7D2B"/>
    <w:rsid w:val="003E3D49"/>
    <w:rsid w:val="003E3F28"/>
    <w:rsid w:val="003E42E8"/>
    <w:rsid w:val="003E6108"/>
    <w:rsid w:val="003E612B"/>
    <w:rsid w:val="003F0CA6"/>
    <w:rsid w:val="003F0F5B"/>
    <w:rsid w:val="003F14ED"/>
    <w:rsid w:val="003F174D"/>
    <w:rsid w:val="003F180F"/>
    <w:rsid w:val="003F19FF"/>
    <w:rsid w:val="003F1D6B"/>
    <w:rsid w:val="003F2330"/>
    <w:rsid w:val="003F23C3"/>
    <w:rsid w:val="003F3CF7"/>
    <w:rsid w:val="003F493C"/>
    <w:rsid w:val="003F4C47"/>
    <w:rsid w:val="003F572D"/>
    <w:rsid w:val="003F626F"/>
    <w:rsid w:val="003F7442"/>
    <w:rsid w:val="004016E0"/>
    <w:rsid w:val="00401B2A"/>
    <w:rsid w:val="00403438"/>
    <w:rsid w:val="00403B67"/>
    <w:rsid w:val="00411470"/>
    <w:rsid w:val="00412554"/>
    <w:rsid w:val="00412D61"/>
    <w:rsid w:val="00413402"/>
    <w:rsid w:val="00413C79"/>
    <w:rsid w:val="004145C7"/>
    <w:rsid w:val="004157A4"/>
    <w:rsid w:val="00415F31"/>
    <w:rsid w:val="00416813"/>
    <w:rsid w:val="00417095"/>
    <w:rsid w:val="00417DF4"/>
    <w:rsid w:val="00417E05"/>
    <w:rsid w:val="004218CD"/>
    <w:rsid w:val="0042205D"/>
    <w:rsid w:val="00422810"/>
    <w:rsid w:val="00423A77"/>
    <w:rsid w:val="00423C1D"/>
    <w:rsid w:val="004255F3"/>
    <w:rsid w:val="004277C7"/>
    <w:rsid w:val="00427EE5"/>
    <w:rsid w:val="004316D6"/>
    <w:rsid w:val="004319C1"/>
    <w:rsid w:val="00432D98"/>
    <w:rsid w:val="00432F8E"/>
    <w:rsid w:val="00435B17"/>
    <w:rsid w:val="00436ECD"/>
    <w:rsid w:val="00437E7F"/>
    <w:rsid w:val="00443FBF"/>
    <w:rsid w:val="00446985"/>
    <w:rsid w:val="00446A83"/>
    <w:rsid w:val="00450998"/>
    <w:rsid w:val="00451853"/>
    <w:rsid w:val="0045219D"/>
    <w:rsid w:val="00452473"/>
    <w:rsid w:val="00453E3C"/>
    <w:rsid w:val="00454BD3"/>
    <w:rsid w:val="00454EF8"/>
    <w:rsid w:val="004551A1"/>
    <w:rsid w:val="0045777E"/>
    <w:rsid w:val="00460670"/>
    <w:rsid w:val="00461B0F"/>
    <w:rsid w:val="00461C29"/>
    <w:rsid w:val="00462F9C"/>
    <w:rsid w:val="004635C5"/>
    <w:rsid w:val="0046470E"/>
    <w:rsid w:val="004651EC"/>
    <w:rsid w:val="00465DA7"/>
    <w:rsid w:val="00466964"/>
    <w:rsid w:val="0046719E"/>
    <w:rsid w:val="00471BA4"/>
    <w:rsid w:val="00473931"/>
    <w:rsid w:val="004746B6"/>
    <w:rsid w:val="00474EC7"/>
    <w:rsid w:val="00475348"/>
    <w:rsid w:val="0047652C"/>
    <w:rsid w:val="004777CC"/>
    <w:rsid w:val="00477B36"/>
    <w:rsid w:val="004802ED"/>
    <w:rsid w:val="00480B4B"/>
    <w:rsid w:val="004820F9"/>
    <w:rsid w:val="00482595"/>
    <w:rsid w:val="00482BA4"/>
    <w:rsid w:val="00482D0D"/>
    <w:rsid w:val="00484B0E"/>
    <w:rsid w:val="00485DC4"/>
    <w:rsid w:val="00486D78"/>
    <w:rsid w:val="004915DA"/>
    <w:rsid w:val="00491C5C"/>
    <w:rsid w:val="004926E0"/>
    <w:rsid w:val="004936F2"/>
    <w:rsid w:val="0049519C"/>
    <w:rsid w:val="004953FA"/>
    <w:rsid w:val="004960D2"/>
    <w:rsid w:val="00497495"/>
    <w:rsid w:val="004A0543"/>
    <w:rsid w:val="004A0A5E"/>
    <w:rsid w:val="004A1A4D"/>
    <w:rsid w:val="004A2349"/>
    <w:rsid w:val="004A2D4C"/>
    <w:rsid w:val="004A3737"/>
    <w:rsid w:val="004A3F34"/>
    <w:rsid w:val="004A43D1"/>
    <w:rsid w:val="004A4603"/>
    <w:rsid w:val="004A48DD"/>
    <w:rsid w:val="004A5C63"/>
    <w:rsid w:val="004A6049"/>
    <w:rsid w:val="004A7455"/>
    <w:rsid w:val="004B041F"/>
    <w:rsid w:val="004B047D"/>
    <w:rsid w:val="004B0BAF"/>
    <w:rsid w:val="004B1848"/>
    <w:rsid w:val="004B355D"/>
    <w:rsid w:val="004B37C0"/>
    <w:rsid w:val="004B4412"/>
    <w:rsid w:val="004B4BF3"/>
    <w:rsid w:val="004B5281"/>
    <w:rsid w:val="004B59A2"/>
    <w:rsid w:val="004B6F8C"/>
    <w:rsid w:val="004B7D28"/>
    <w:rsid w:val="004C0C43"/>
    <w:rsid w:val="004C1E0D"/>
    <w:rsid w:val="004C348C"/>
    <w:rsid w:val="004C3793"/>
    <w:rsid w:val="004C6A30"/>
    <w:rsid w:val="004C7757"/>
    <w:rsid w:val="004D04C9"/>
    <w:rsid w:val="004D1A96"/>
    <w:rsid w:val="004D1C3E"/>
    <w:rsid w:val="004D52DD"/>
    <w:rsid w:val="004D55BA"/>
    <w:rsid w:val="004D5929"/>
    <w:rsid w:val="004D6848"/>
    <w:rsid w:val="004D750A"/>
    <w:rsid w:val="004E19C1"/>
    <w:rsid w:val="004E1C35"/>
    <w:rsid w:val="004E22EC"/>
    <w:rsid w:val="004E2A4C"/>
    <w:rsid w:val="004E47F0"/>
    <w:rsid w:val="004E65F8"/>
    <w:rsid w:val="004E669D"/>
    <w:rsid w:val="004E6C5F"/>
    <w:rsid w:val="004E71B8"/>
    <w:rsid w:val="004E7469"/>
    <w:rsid w:val="004F0500"/>
    <w:rsid w:val="004F21F7"/>
    <w:rsid w:val="004F30DE"/>
    <w:rsid w:val="004F3BA6"/>
    <w:rsid w:val="004F6317"/>
    <w:rsid w:val="004F6A0E"/>
    <w:rsid w:val="004F7DD8"/>
    <w:rsid w:val="0050254E"/>
    <w:rsid w:val="0050262E"/>
    <w:rsid w:val="00503901"/>
    <w:rsid w:val="00504CC1"/>
    <w:rsid w:val="005053A1"/>
    <w:rsid w:val="00506ECC"/>
    <w:rsid w:val="00506F9B"/>
    <w:rsid w:val="00507EAB"/>
    <w:rsid w:val="00510ACA"/>
    <w:rsid w:val="00511278"/>
    <w:rsid w:val="00511681"/>
    <w:rsid w:val="0051266E"/>
    <w:rsid w:val="00512FC5"/>
    <w:rsid w:val="0051528D"/>
    <w:rsid w:val="00515363"/>
    <w:rsid w:val="0051634F"/>
    <w:rsid w:val="00516936"/>
    <w:rsid w:val="00520C5F"/>
    <w:rsid w:val="00522500"/>
    <w:rsid w:val="00522B84"/>
    <w:rsid w:val="00527092"/>
    <w:rsid w:val="00527ED8"/>
    <w:rsid w:val="00530128"/>
    <w:rsid w:val="0053025C"/>
    <w:rsid w:val="00530A89"/>
    <w:rsid w:val="00532260"/>
    <w:rsid w:val="00532324"/>
    <w:rsid w:val="00532467"/>
    <w:rsid w:val="00533095"/>
    <w:rsid w:val="00533BAB"/>
    <w:rsid w:val="0053429D"/>
    <w:rsid w:val="0053629D"/>
    <w:rsid w:val="00537151"/>
    <w:rsid w:val="00537812"/>
    <w:rsid w:val="00537FD6"/>
    <w:rsid w:val="00540245"/>
    <w:rsid w:val="00540E4D"/>
    <w:rsid w:val="005434B1"/>
    <w:rsid w:val="0054491F"/>
    <w:rsid w:val="00545F6F"/>
    <w:rsid w:val="005461E4"/>
    <w:rsid w:val="00550721"/>
    <w:rsid w:val="00550FFB"/>
    <w:rsid w:val="005528AF"/>
    <w:rsid w:val="005543B3"/>
    <w:rsid w:val="005545FD"/>
    <w:rsid w:val="00555AF8"/>
    <w:rsid w:val="00555F35"/>
    <w:rsid w:val="0055756E"/>
    <w:rsid w:val="0055795D"/>
    <w:rsid w:val="005601C1"/>
    <w:rsid w:val="00560A0F"/>
    <w:rsid w:val="00561E68"/>
    <w:rsid w:val="005625DE"/>
    <w:rsid w:val="005639C8"/>
    <w:rsid w:val="00563C25"/>
    <w:rsid w:val="00564A4D"/>
    <w:rsid w:val="0056588A"/>
    <w:rsid w:val="0056664F"/>
    <w:rsid w:val="005678EB"/>
    <w:rsid w:val="00567BA5"/>
    <w:rsid w:val="00570733"/>
    <w:rsid w:val="00571B35"/>
    <w:rsid w:val="00571D57"/>
    <w:rsid w:val="00574BE2"/>
    <w:rsid w:val="00575F05"/>
    <w:rsid w:val="005764F6"/>
    <w:rsid w:val="005779BA"/>
    <w:rsid w:val="00577A09"/>
    <w:rsid w:val="00577B06"/>
    <w:rsid w:val="00577F31"/>
    <w:rsid w:val="005829C2"/>
    <w:rsid w:val="00583683"/>
    <w:rsid w:val="00583880"/>
    <w:rsid w:val="0058484B"/>
    <w:rsid w:val="00584D8F"/>
    <w:rsid w:val="0058564A"/>
    <w:rsid w:val="00585A4E"/>
    <w:rsid w:val="00585F86"/>
    <w:rsid w:val="005861F2"/>
    <w:rsid w:val="00586819"/>
    <w:rsid w:val="00586870"/>
    <w:rsid w:val="00590982"/>
    <w:rsid w:val="00590D86"/>
    <w:rsid w:val="0059278E"/>
    <w:rsid w:val="005942A6"/>
    <w:rsid w:val="00595A3E"/>
    <w:rsid w:val="00595B9F"/>
    <w:rsid w:val="0059704C"/>
    <w:rsid w:val="005A20D1"/>
    <w:rsid w:val="005A3708"/>
    <w:rsid w:val="005A404D"/>
    <w:rsid w:val="005A4FE1"/>
    <w:rsid w:val="005A7877"/>
    <w:rsid w:val="005B0313"/>
    <w:rsid w:val="005B0E29"/>
    <w:rsid w:val="005B1E3C"/>
    <w:rsid w:val="005B210B"/>
    <w:rsid w:val="005B2DED"/>
    <w:rsid w:val="005B3FB7"/>
    <w:rsid w:val="005B44E1"/>
    <w:rsid w:val="005B4D33"/>
    <w:rsid w:val="005B650B"/>
    <w:rsid w:val="005B704A"/>
    <w:rsid w:val="005C035A"/>
    <w:rsid w:val="005C0A7F"/>
    <w:rsid w:val="005C26CC"/>
    <w:rsid w:val="005C492E"/>
    <w:rsid w:val="005C4C9C"/>
    <w:rsid w:val="005C5274"/>
    <w:rsid w:val="005C6218"/>
    <w:rsid w:val="005D03B1"/>
    <w:rsid w:val="005D23F4"/>
    <w:rsid w:val="005D2A38"/>
    <w:rsid w:val="005D3A9A"/>
    <w:rsid w:val="005D4AA4"/>
    <w:rsid w:val="005D5134"/>
    <w:rsid w:val="005D5343"/>
    <w:rsid w:val="005D7BA2"/>
    <w:rsid w:val="005E0D7F"/>
    <w:rsid w:val="005E15AB"/>
    <w:rsid w:val="005E36C2"/>
    <w:rsid w:val="005E5A3F"/>
    <w:rsid w:val="005F0183"/>
    <w:rsid w:val="005F06A5"/>
    <w:rsid w:val="005F0F8D"/>
    <w:rsid w:val="005F1418"/>
    <w:rsid w:val="005F24C5"/>
    <w:rsid w:val="005F2E55"/>
    <w:rsid w:val="005F4172"/>
    <w:rsid w:val="005F41E3"/>
    <w:rsid w:val="005F4864"/>
    <w:rsid w:val="005F57F9"/>
    <w:rsid w:val="005F5ADD"/>
    <w:rsid w:val="005F5D40"/>
    <w:rsid w:val="005F631C"/>
    <w:rsid w:val="005F727F"/>
    <w:rsid w:val="006007DE"/>
    <w:rsid w:val="00601638"/>
    <w:rsid w:val="00602A25"/>
    <w:rsid w:val="006060C7"/>
    <w:rsid w:val="0060635D"/>
    <w:rsid w:val="0060763E"/>
    <w:rsid w:val="00610EF9"/>
    <w:rsid w:val="00612E38"/>
    <w:rsid w:val="00612F4F"/>
    <w:rsid w:val="006148BA"/>
    <w:rsid w:val="00615BC6"/>
    <w:rsid w:val="00615C6B"/>
    <w:rsid w:val="00617DDE"/>
    <w:rsid w:val="00620570"/>
    <w:rsid w:val="00620DC3"/>
    <w:rsid w:val="006215ED"/>
    <w:rsid w:val="00621DCE"/>
    <w:rsid w:val="0062240F"/>
    <w:rsid w:val="00622485"/>
    <w:rsid w:val="006228C1"/>
    <w:rsid w:val="00622ADE"/>
    <w:rsid w:val="00625B99"/>
    <w:rsid w:val="00626E04"/>
    <w:rsid w:val="0063275B"/>
    <w:rsid w:val="00632D6D"/>
    <w:rsid w:val="0063351D"/>
    <w:rsid w:val="006342B5"/>
    <w:rsid w:val="00636D12"/>
    <w:rsid w:val="00637A9C"/>
    <w:rsid w:val="00637C96"/>
    <w:rsid w:val="00640812"/>
    <w:rsid w:val="00641527"/>
    <w:rsid w:val="00641DA7"/>
    <w:rsid w:val="00642C3E"/>
    <w:rsid w:val="00645287"/>
    <w:rsid w:val="00646087"/>
    <w:rsid w:val="00646887"/>
    <w:rsid w:val="00647479"/>
    <w:rsid w:val="00650C2B"/>
    <w:rsid w:val="00651C3A"/>
    <w:rsid w:val="00651CB2"/>
    <w:rsid w:val="00651D7E"/>
    <w:rsid w:val="006533D8"/>
    <w:rsid w:val="006541D8"/>
    <w:rsid w:val="0065500A"/>
    <w:rsid w:val="006560CA"/>
    <w:rsid w:val="0066009A"/>
    <w:rsid w:val="0066104A"/>
    <w:rsid w:val="006626E2"/>
    <w:rsid w:val="00662991"/>
    <w:rsid w:val="00663176"/>
    <w:rsid w:val="00663AD0"/>
    <w:rsid w:val="00663DAD"/>
    <w:rsid w:val="006646A6"/>
    <w:rsid w:val="00665649"/>
    <w:rsid w:val="00665BE6"/>
    <w:rsid w:val="0066656D"/>
    <w:rsid w:val="00666CE4"/>
    <w:rsid w:val="00666E20"/>
    <w:rsid w:val="00666F41"/>
    <w:rsid w:val="006672AA"/>
    <w:rsid w:val="00670274"/>
    <w:rsid w:val="006705A9"/>
    <w:rsid w:val="00671997"/>
    <w:rsid w:val="00674AF8"/>
    <w:rsid w:val="00675E20"/>
    <w:rsid w:val="00676679"/>
    <w:rsid w:val="0067770B"/>
    <w:rsid w:val="006812E7"/>
    <w:rsid w:val="00681841"/>
    <w:rsid w:val="00683C89"/>
    <w:rsid w:val="00683EB8"/>
    <w:rsid w:val="00684C16"/>
    <w:rsid w:val="0068617B"/>
    <w:rsid w:val="00686E63"/>
    <w:rsid w:val="006906CC"/>
    <w:rsid w:val="0069094A"/>
    <w:rsid w:val="00690CCA"/>
    <w:rsid w:val="006911D8"/>
    <w:rsid w:val="00691703"/>
    <w:rsid w:val="00691D9A"/>
    <w:rsid w:val="00692B72"/>
    <w:rsid w:val="0069328F"/>
    <w:rsid w:val="00695260"/>
    <w:rsid w:val="0069556E"/>
    <w:rsid w:val="00695AF3"/>
    <w:rsid w:val="00697457"/>
    <w:rsid w:val="006A014A"/>
    <w:rsid w:val="006A0D40"/>
    <w:rsid w:val="006A0EEB"/>
    <w:rsid w:val="006A17BE"/>
    <w:rsid w:val="006A1939"/>
    <w:rsid w:val="006A34F8"/>
    <w:rsid w:val="006A40F7"/>
    <w:rsid w:val="006A4E68"/>
    <w:rsid w:val="006A5107"/>
    <w:rsid w:val="006A5870"/>
    <w:rsid w:val="006A5D4A"/>
    <w:rsid w:val="006A5E4B"/>
    <w:rsid w:val="006A7276"/>
    <w:rsid w:val="006A735B"/>
    <w:rsid w:val="006A7CB9"/>
    <w:rsid w:val="006A7D76"/>
    <w:rsid w:val="006B0BF1"/>
    <w:rsid w:val="006B2395"/>
    <w:rsid w:val="006B45A4"/>
    <w:rsid w:val="006B4989"/>
    <w:rsid w:val="006B4CF9"/>
    <w:rsid w:val="006B53F4"/>
    <w:rsid w:val="006B582B"/>
    <w:rsid w:val="006B5E8D"/>
    <w:rsid w:val="006B785B"/>
    <w:rsid w:val="006B7879"/>
    <w:rsid w:val="006B7AC8"/>
    <w:rsid w:val="006C1736"/>
    <w:rsid w:val="006C2FF0"/>
    <w:rsid w:val="006C4798"/>
    <w:rsid w:val="006C4C87"/>
    <w:rsid w:val="006C67CA"/>
    <w:rsid w:val="006C752A"/>
    <w:rsid w:val="006C774D"/>
    <w:rsid w:val="006C792A"/>
    <w:rsid w:val="006D22F2"/>
    <w:rsid w:val="006D322A"/>
    <w:rsid w:val="006D3533"/>
    <w:rsid w:val="006D3BF9"/>
    <w:rsid w:val="006D4200"/>
    <w:rsid w:val="006D49F4"/>
    <w:rsid w:val="006D4B92"/>
    <w:rsid w:val="006D550F"/>
    <w:rsid w:val="006D590A"/>
    <w:rsid w:val="006D6169"/>
    <w:rsid w:val="006D6C89"/>
    <w:rsid w:val="006D7C4B"/>
    <w:rsid w:val="006E2669"/>
    <w:rsid w:val="006E3366"/>
    <w:rsid w:val="006E3B94"/>
    <w:rsid w:val="006E3DA5"/>
    <w:rsid w:val="006E3F76"/>
    <w:rsid w:val="006E6A0A"/>
    <w:rsid w:val="006E6D04"/>
    <w:rsid w:val="006E7398"/>
    <w:rsid w:val="006F07C4"/>
    <w:rsid w:val="006F1F83"/>
    <w:rsid w:val="006F2A83"/>
    <w:rsid w:val="006F3AD1"/>
    <w:rsid w:val="006F3FC8"/>
    <w:rsid w:val="006F5D70"/>
    <w:rsid w:val="006F5F95"/>
    <w:rsid w:val="006F6183"/>
    <w:rsid w:val="006F6522"/>
    <w:rsid w:val="006F729C"/>
    <w:rsid w:val="006F7A90"/>
    <w:rsid w:val="0070011E"/>
    <w:rsid w:val="00700FEE"/>
    <w:rsid w:val="00701607"/>
    <w:rsid w:val="00701CAB"/>
    <w:rsid w:val="00702D18"/>
    <w:rsid w:val="007049AA"/>
    <w:rsid w:val="00705187"/>
    <w:rsid w:val="00705485"/>
    <w:rsid w:val="00707563"/>
    <w:rsid w:val="007125B0"/>
    <w:rsid w:val="00713A50"/>
    <w:rsid w:val="00713C22"/>
    <w:rsid w:val="00714353"/>
    <w:rsid w:val="007147E2"/>
    <w:rsid w:val="0072348C"/>
    <w:rsid w:val="00724A37"/>
    <w:rsid w:val="007255B8"/>
    <w:rsid w:val="00725F88"/>
    <w:rsid w:val="00726EEA"/>
    <w:rsid w:val="00727BE0"/>
    <w:rsid w:val="007303C3"/>
    <w:rsid w:val="00731A03"/>
    <w:rsid w:val="007323C9"/>
    <w:rsid w:val="00732769"/>
    <w:rsid w:val="0073287D"/>
    <w:rsid w:val="00733140"/>
    <w:rsid w:val="00741C46"/>
    <w:rsid w:val="00741E23"/>
    <w:rsid w:val="007429BE"/>
    <w:rsid w:val="00743223"/>
    <w:rsid w:val="00746025"/>
    <w:rsid w:val="007460CB"/>
    <w:rsid w:val="007463EA"/>
    <w:rsid w:val="00746E01"/>
    <w:rsid w:val="00747519"/>
    <w:rsid w:val="00747EEA"/>
    <w:rsid w:val="0075075D"/>
    <w:rsid w:val="00751E88"/>
    <w:rsid w:val="00752171"/>
    <w:rsid w:val="00752488"/>
    <w:rsid w:val="0075295D"/>
    <w:rsid w:val="00752C8D"/>
    <w:rsid w:val="0075341E"/>
    <w:rsid w:val="007542EA"/>
    <w:rsid w:val="00755189"/>
    <w:rsid w:val="00755675"/>
    <w:rsid w:val="00755E41"/>
    <w:rsid w:val="0075629A"/>
    <w:rsid w:val="0075637C"/>
    <w:rsid w:val="00757350"/>
    <w:rsid w:val="00757364"/>
    <w:rsid w:val="0075799D"/>
    <w:rsid w:val="00757BDF"/>
    <w:rsid w:val="007609D0"/>
    <w:rsid w:val="00761484"/>
    <w:rsid w:val="00762912"/>
    <w:rsid w:val="00763618"/>
    <w:rsid w:val="007637E0"/>
    <w:rsid w:val="00763E5D"/>
    <w:rsid w:val="007653FB"/>
    <w:rsid w:val="00767740"/>
    <w:rsid w:val="00770323"/>
    <w:rsid w:val="0077119E"/>
    <w:rsid w:val="00771631"/>
    <w:rsid w:val="007722DD"/>
    <w:rsid w:val="00772D69"/>
    <w:rsid w:val="00772DB1"/>
    <w:rsid w:val="00777EE6"/>
    <w:rsid w:val="00782DF3"/>
    <w:rsid w:val="00782EEA"/>
    <w:rsid w:val="00784B1E"/>
    <w:rsid w:val="00784F92"/>
    <w:rsid w:val="00785188"/>
    <w:rsid w:val="00785640"/>
    <w:rsid w:val="00785C0F"/>
    <w:rsid w:val="00785DBF"/>
    <w:rsid w:val="00787306"/>
    <w:rsid w:val="00787DEF"/>
    <w:rsid w:val="007917E4"/>
    <w:rsid w:val="007919D8"/>
    <w:rsid w:val="00791A9B"/>
    <w:rsid w:val="00791E2F"/>
    <w:rsid w:val="00792FB7"/>
    <w:rsid w:val="0079473F"/>
    <w:rsid w:val="007959CF"/>
    <w:rsid w:val="007963A2"/>
    <w:rsid w:val="00796C75"/>
    <w:rsid w:val="00796F35"/>
    <w:rsid w:val="00796FE7"/>
    <w:rsid w:val="007A2D37"/>
    <w:rsid w:val="007A68AC"/>
    <w:rsid w:val="007A7002"/>
    <w:rsid w:val="007A7136"/>
    <w:rsid w:val="007A7F63"/>
    <w:rsid w:val="007A7F67"/>
    <w:rsid w:val="007B011C"/>
    <w:rsid w:val="007B186E"/>
    <w:rsid w:val="007B1DD8"/>
    <w:rsid w:val="007B2969"/>
    <w:rsid w:val="007B2C72"/>
    <w:rsid w:val="007B3930"/>
    <w:rsid w:val="007B56C4"/>
    <w:rsid w:val="007B5AA9"/>
    <w:rsid w:val="007B6C52"/>
    <w:rsid w:val="007B7444"/>
    <w:rsid w:val="007B7D67"/>
    <w:rsid w:val="007C0B15"/>
    <w:rsid w:val="007C0EDF"/>
    <w:rsid w:val="007C1C53"/>
    <w:rsid w:val="007C2724"/>
    <w:rsid w:val="007C2E52"/>
    <w:rsid w:val="007C3C43"/>
    <w:rsid w:val="007C66D9"/>
    <w:rsid w:val="007C6D4B"/>
    <w:rsid w:val="007C74BB"/>
    <w:rsid w:val="007D0E90"/>
    <w:rsid w:val="007D2493"/>
    <w:rsid w:val="007D3367"/>
    <w:rsid w:val="007D456E"/>
    <w:rsid w:val="007D5FF3"/>
    <w:rsid w:val="007D7439"/>
    <w:rsid w:val="007E162E"/>
    <w:rsid w:val="007E1BC9"/>
    <w:rsid w:val="007E21D8"/>
    <w:rsid w:val="007E2721"/>
    <w:rsid w:val="007E34A8"/>
    <w:rsid w:val="007E384F"/>
    <w:rsid w:val="007E42F4"/>
    <w:rsid w:val="007E46C9"/>
    <w:rsid w:val="007E489A"/>
    <w:rsid w:val="007E4904"/>
    <w:rsid w:val="007E4CB5"/>
    <w:rsid w:val="007E4CDB"/>
    <w:rsid w:val="007E57FD"/>
    <w:rsid w:val="007E5E4C"/>
    <w:rsid w:val="007F0450"/>
    <w:rsid w:val="007F048B"/>
    <w:rsid w:val="007F066B"/>
    <w:rsid w:val="007F0E7F"/>
    <w:rsid w:val="007F213A"/>
    <w:rsid w:val="007F22D4"/>
    <w:rsid w:val="007F3A8F"/>
    <w:rsid w:val="007F55F2"/>
    <w:rsid w:val="007F62BB"/>
    <w:rsid w:val="007F675F"/>
    <w:rsid w:val="007F6B1C"/>
    <w:rsid w:val="007F75C4"/>
    <w:rsid w:val="007F7925"/>
    <w:rsid w:val="008017A9"/>
    <w:rsid w:val="008033C4"/>
    <w:rsid w:val="00803F1E"/>
    <w:rsid w:val="00804709"/>
    <w:rsid w:val="008057DE"/>
    <w:rsid w:val="00806605"/>
    <w:rsid w:val="00806C88"/>
    <w:rsid w:val="0080792A"/>
    <w:rsid w:val="00810070"/>
    <w:rsid w:val="0081034E"/>
    <w:rsid w:val="0081117E"/>
    <w:rsid w:val="008113DF"/>
    <w:rsid w:val="008113EA"/>
    <w:rsid w:val="00811C4F"/>
    <w:rsid w:val="0081242A"/>
    <w:rsid w:val="00812B03"/>
    <w:rsid w:val="008131C4"/>
    <w:rsid w:val="008152C6"/>
    <w:rsid w:val="0081563C"/>
    <w:rsid w:val="00815CAC"/>
    <w:rsid w:val="008168E7"/>
    <w:rsid w:val="00816AB5"/>
    <w:rsid w:val="008176C4"/>
    <w:rsid w:val="00817C97"/>
    <w:rsid w:val="00817DAB"/>
    <w:rsid w:val="0082029B"/>
    <w:rsid w:val="00820B39"/>
    <w:rsid w:val="00820BBE"/>
    <w:rsid w:val="00821004"/>
    <w:rsid w:val="00821813"/>
    <w:rsid w:val="008221F2"/>
    <w:rsid w:val="0082291F"/>
    <w:rsid w:val="00822DB4"/>
    <w:rsid w:val="00824032"/>
    <w:rsid w:val="008250AA"/>
    <w:rsid w:val="00825430"/>
    <w:rsid w:val="00825985"/>
    <w:rsid w:val="00825C00"/>
    <w:rsid w:val="00825CC0"/>
    <w:rsid w:val="00827B09"/>
    <w:rsid w:val="008301A7"/>
    <w:rsid w:val="008301B2"/>
    <w:rsid w:val="0083054C"/>
    <w:rsid w:val="00830E47"/>
    <w:rsid w:val="0083129D"/>
    <w:rsid w:val="008317C0"/>
    <w:rsid w:val="0083207D"/>
    <w:rsid w:val="00832B6A"/>
    <w:rsid w:val="008337C2"/>
    <w:rsid w:val="008344F6"/>
    <w:rsid w:val="0083510F"/>
    <w:rsid w:val="0083565C"/>
    <w:rsid w:val="008359F2"/>
    <w:rsid w:val="00836460"/>
    <w:rsid w:val="00837CD9"/>
    <w:rsid w:val="008408C5"/>
    <w:rsid w:val="00841075"/>
    <w:rsid w:val="008414FC"/>
    <w:rsid w:val="00841D76"/>
    <w:rsid w:val="0084438B"/>
    <w:rsid w:val="00847887"/>
    <w:rsid w:val="00851002"/>
    <w:rsid w:val="00851209"/>
    <w:rsid w:val="008518EB"/>
    <w:rsid w:val="00853816"/>
    <w:rsid w:val="00854A13"/>
    <w:rsid w:val="00854BCC"/>
    <w:rsid w:val="0085527A"/>
    <w:rsid w:val="00855F4D"/>
    <w:rsid w:val="00856171"/>
    <w:rsid w:val="0085722A"/>
    <w:rsid w:val="008575F7"/>
    <w:rsid w:val="00857996"/>
    <w:rsid w:val="00857C5F"/>
    <w:rsid w:val="008607A6"/>
    <w:rsid w:val="00861A31"/>
    <w:rsid w:val="00862B19"/>
    <w:rsid w:val="008643A3"/>
    <w:rsid w:val="00864B35"/>
    <w:rsid w:val="0086673D"/>
    <w:rsid w:val="00866D99"/>
    <w:rsid w:val="00867CF6"/>
    <w:rsid w:val="0087075F"/>
    <w:rsid w:val="008716C3"/>
    <w:rsid w:val="00873764"/>
    <w:rsid w:val="00873FE3"/>
    <w:rsid w:val="008749E0"/>
    <w:rsid w:val="00874CD0"/>
    <w:rsid w:val="008760C3"/>
    <w:rsid w:val="00877BB9"/>
    <w:rsid w:val="00880E21"/>
    <w:rsid w:val="00881794"/>
    <w:rsid w:val="00881EBF"/>
    <w:rsid w:val="00882481"/>
    <w:rsid w:val="00883125"/>
    <w:rsid w:val="008837AC"/>
    <w:rsid w:val="008845FC"/>
    <w:rsid w:val="00884C19"/>
    <w:rsid w:val="00886A9A"/>
    <w:rsid w:val="00887494"/>
    <w:rsid w:val="00890E47"/>
    <w:rsid w:val="0089345B"/>
    <w:rsid w:val="0089481B"/>
    <w:rsid w:val="008956B2"/>
    <w:rsid w:val="00895E39"/>
    <w:rsid w:val="008961D2"/>
    <w:rsid w:val="00896C9B"/>
    <w:rsid w:val="00897A6B"/>
    <w:rsid w:val="008A0510"/>
    <w:rsid w:val="008A0D60"/>
    <w:rsid w:val="008A1419"/>
    <w:rsid w:val="008A23B8"/>
    <w:rsid w:val="008A27B4"/>
    <w:rsid w:val="008A587D"/>
    <w:rsid w:val="008B02B1"/>
    <w:rsid w:val="008B0594"/>
    <w:rsid w:val="008B0F61"/>
    <w:rsid w:val="008B1CA7"/>
    <w:rsid w:val="008B35CD"/>
    <w:rsid w:val="008B5ED7"/>
    <w:rsid w:val="008B5FCC"/>
    <w:rsid w:val="008B7544"/>
    <w:rsid w:val="008B7799"/>
    <w:rsid w:val="008C0CC6"/>
    <w:rsid w:val="008C1506"/>
    <w:rsid w:val="008C1A85"/>
    <w:rsid w:val="008C2950"/>
    <w:rsid w:val="008C3374"/>
    <w:rsid w:val="008C36F4"/>
    <w:rsid w:val="008C38C0"/>
    <w:rsid w:val="008C39F0"/>
    <w:rsid w:val="008C3FA2"/>
    <w:rsid w:val="008C4FA0"/>
    <w:rsid w:val="008C5129"/>
    <w:rsid w:val="008C5136"/>
    <w:rsid w:val="008C5486"/>
    <w:rsid w:val="008C6067"/>
    <w:rsid w:val="008C63DF"/>
    <w:rsid w:val="008C708B"/>
    <w:rsid w:val="008C70B7"/>
    <w:rsid w:val="008D0B13"/>
    <w:rsid w:val="008D1661"/>
    <w:rsid w:val="008D36BF"/>
    <w:rsid w:val="008D5DFD"/>
    <w:rsid w:val="008D651C"/>
    <w:rsid w:val="008D6800"/>
    <w:rsid w:val="008E1320"/>
    <w:rsid w:val="008E146E"/>
    <w:rsid w:val="008E1A5E"/>
    <w:rsid w:val="008E25F7"/>
    <w:rsid w:val="008E2E8D"/>
    <w:rsid w:val="008E3515"/>
    <w:rsid w:val="008E450F"/>
    <w:rsid w:val="008E52F1"/>
    <w:rsid w:val="008E5B45"/>
    <w:rsid w:val="008E5C6B"/>
    <w:rsid w:val="008E6F48"/>
    <w:rsid w:val="008E7031"/>
    <w:rsid w:val="008E70DD"/>
    <w:rsid w:val="008E77DE"/>
    <w:rsid w:val="008F07A3"/>
    <w:rsid w:val="008F08F4"/>
    <w:rsid w:val="008F0C5C"/>
    <w:rsid w:val="008F0DF1"/>
    <w:rsid w:val="008F16B3"/>
    <w:rsid w:val="008F1A52"/>
    <w:rsid w:val="008F221D"/>
    <w:rsid w:val="008F257F"/>
    <w:rsid w:val="008F2BC6"/>
    <w:rsid w:val="008F34DD"/>
    <w:rsid w:val="008F52E5"/>
    <w:rsid w:val="008F5D24"/>
    <w:rsid w:val="008F670A"/>
    <w:rsid w:val="009001B6"/>
    <w:rsid w:val="00900E1B"/>
    <w:rsid w:val="00900EBE"/>
    <w:rsid w:val="00901B93"/>
    <w:rsid w:val="00901C3C"/>
    <w:rsid w:val="00901E25"/>
    <w:rsid w:val="009029A1"/>
    <w:rsid w:val="009038ED"/>
    <w:rsid w:val="00903E63"/>
    <w:rsid w:val="00904C54"/>
    <w:rsid w:val="00905F75"/>
    <w:rsid w:val="0090789B"/>
    <w:rsid w:val="009121E4"/>
    <w:rsid w:val="009163D4"/>
    <w:rsid w:val="00916E62"/>
    <w:rsid w:val="00921248"/>
    <w:rsid w:val="00922BB2"/>
    <w:rsid w:val="009233EE"/>
    <w:rsid w:val="00923CFC"/>
    <w:rsid w:val="00923FA9"/>
    <w:rsid w:val="0092518F"/>
    <w:rsid w:val="009257D0"/>
    <w:rsid w:val="009272AD"/>
    <w:rsid w:val="009275A0"/>
    <w:rsid w:val="009277DC"/>
    <w:rsid w:val="00927DE5"/>
    <w:rsid w:val="00930596"/>
    <w:rsid w:val="0093174A"/>
    <w:rsid w:val="009325B9"/>
    <w:rsid w:val="00933B66"/>
    <w:rsid w:val="00934967"/>
    <w:rsid w:val="009350BE"/>
    <w:rsid w:val="0093518A"/>
    <w:rsid w:val="009409B4"/>
    <w:rsid w:val="00942525"/>
    <w:rsid w:val="009427C6"/>
    <w:rsid w:val="00943054"/>
    <w:rsid w:val="00944CF9"/>
    <w:rsid w:val="00945FA1"/>
    <w:rsid w:val="00946022"/>
    <w:rsid w:val="009460AA"/>
    <w:rsid w:val="0094641C"/>
    <w:rsid w:val="00947690"/>
    <w:rsid w:val="0094780C"/>
    <w:rsid w:val="009511A8"/>
    <w:rsid w:val="009516BF"/>
    <w:rsid w:val="00951978"/>
    <w:rsid w:val="00957E8D"/>
    <w:rsid w:val="00960483"/>
    <w:rsid w:val="00961115"/>
    <w:rsid w:val="00961A4A"/>
    <w:rsid w:val="00962128"/>
    <w:rsid w:val="00962162"/>
    <w:rsid w:val="00962E28"/>
    <w:rsid w:val="00964631"/>
    <w:rsid w:val="00964BD5"/>
    <w:rsid w:val="00965369"/>
    <w:rsid w:val="009661DE"/>
    <w:rsid w:val="0096666B"/>
    <w:rsid w:val="009666E9"/>
    <w:rsid w:val="00972EB4"/>
    <w:rsid w:val="00973E6F"/>
    <w:rsid w:val="009748D1"/>
    <w:rsid w:val="009749A0"/>
    <w:rsid w:val="00975D14"/>
    <w:rsid w:val="009762B1"/>
    <w:rsid w:val="00976D76"/>
    <w:rsid w:val="00977A76"/>
    <w:rsid w:val="0098054B"/>
    <w:rsid w:val="00981C06"/>
    <w:rsid w:val="00982AF7"/>
    <w:rsid w:val="0098344C"/>
    <w:rsid w:val="00983582"/>
    <w:rsid w:val="00983C25"/>
    <w:rsid w:val="00984055"/>
    <w:rsid w:val="00984461"/>
    <w:rsid w:val="009856B7"/>
    <w:rsid w:val="00985C86"/>
    <w:rsid w:val="00985E2E"/>
    <w:rsid w:val="00987191"/>
    <w:rsid w:val="00987E8E"/>
    <w:rsid w:val="009912F8"/>
    <w:rsid w:val="00992382"/>
    <w:rsid w:val="00994019"/>
    <w:rsid w:val="009942BA"/>
    <w:rsid w:val="009945B8"/>
    <w:rsid w:val="00996BAF"/>
    <w:rsid w:val="009972D8"/>
    <w:rsid w:val="00997753"/>
    <w:rsid w:val="00997E73"/>
    <w:rsid w:val="009A040C"/>
    <w:rsid w:val="009A0412"/>
    <w:rsid w:val="009A225F"/>
    <w:rsid w:val="009A28FB"/>
    <w:rsid w:val="009A2DA5"/>
    <w:rsid w:val="009A340F"/>
    <w:rsid w:val="009A41A3"/>
    <w:rsid w:val="009A4771"/>
    <w:rsid w:val="009A4FAA"/>
    <w:rsid w:val="009A5113"/>
    <w:rsid w:val="009A539D"/>
    <w:rsid w:val="009A5FC3"/>
    <w:rsid w:val="009A6FC1"/>
    <w:rsid w:val="009A7506"/>
    <w:rsid w:val="009B0540"/>
    <w:rsid w:val="009B0983"/>
    <w:rsid w:val="009B0F79"/>
    <w:rsid w:val="009B1B83"/>
    <w:rsid w:val="009B2F9D"/>
    <w:rsid w:val="009B30B5"/>
    <w:rsid w:val="009B3753"/>
    <w:rsid w:val="009B5380"/>
    <w:rsid w:val="009B5693"/>
    <w:rsid w:val="009B5DC8"/>
    <w:rsid w:val="009B5F96"/>
    <w:rsid w:val="009B6F84"/>
    <w:rsid w:val="009B7343"/>
    <w:rsid w:val="009B74B0"/>
    <w:rsid w:val="009B7EB1"/>
    <w:rsid w:val="009C051E"/>
    <w:rsid w:val="009C317B"/>
    <w:rsid w:val="009C33AD"/>
    <w:rsid w:val="009C39C5"/>
    <w:rsid w:val="009C4198"/>
    <w:rsid w:val="009C554D"/>
    <w:rsid w:val="009C6059"/>
    <w:rsid w:val="009C691D"/>
    <w:rsid w:val="009C7666"/>
    <w:rsid w:val="009C7A7F"/>
    <w:rsid w:val="009D2B38"/>
    <w:rsid w:val="009D307C"/>
    <w:rsid w:val="009D3906"/>
    <w:rsid w:val="009D396C"/>
    <w:rsid w:val="009D5490"/>
    <w:rsid w:val="009D5900"/>
    <w:rsid w:val="009D6B46"/>
    <w:rsid w:val="009D7400"/>
    <w:rsid w:val="009D75E6"/>
    <w:rsid w:val="009D7D0D"/>
    <w:rsid w:val="009E0FF3"/>
    <w:rsid w:val="009E1281"/>
    <w:rsid w:val="009E30C7"/>
    <w:rsid w:val="009E6955"/>
    <w:rsid w:val="009E701A"/>
    <w:rsid w:val="009E7D32"/>
    <w:rsid w:val="009F01E9"/>
    <w:rsid w:val="009F0A55"/>
    <w:rsid w:val="009F1179"/>
    <w:rsid w:val="009F11FB"/>
    <w:rsid w:val="009F1DC3"/>
    <w:rsid w:val="009F36C3"/>
    <w:rsid w:val="009F3BC3"/>
    <w:rsid w:val="009F3EB0"/>
    <w:rsid w:val="009F4940"/>
    <w:rsid w:val="009F49A9"/>
    <w:rsid w:val="009F5419"/>
    <w:rsid w:val="009F5BA1"/>
    <w:rsid w:val="009F6E50"/>
    <w:rsid w:val="009F6EFB"/>
    <w:rsid w:val="00A0036F"/>
    <w:rsid w:val="00A0117F"/>
    <w:rsid w:val="00A02A88"/>
    <w:rsid w:val="00A039AF"/>
    <w:rsid w:val="00A0562E"/>
    <w:rsid w:val="00A05660"/>
    <w:rsid w:val="00A05A77"/>
    <w:rsid w:val="00A05C7D"/>
    <w:rsid w:val="00A06018"/>
    <w:rsid w:val="00A06085"/>
    <w:rsid w:val="00A06B64"/>
    <w:rsid w:val="00A0726D"/>
    <w:rsid w:val="00A07E0A"/>
    <w:rsid w:val="00A108AA"/>
    <w:rsid w:val="00A12F8E"/>
    <w:rsid w:val="00A13E47"/>
    <w:rsid w:val="00A16596"/>
    <w:rsid w:val="00A16B11"/>
    <w:rsid w:val="00A203DD"/>
    <w:rsid w:val="00A22CF5"/>
    <w:rsid w:val="00A2303E"/>
    <w:rsid w:val="00A2360B"/>
    <w:rsid w:val="00A237E8"/>
    <w:rsid w:val="00A250FB"/>
    <w:rsid w:val="00A270AB"/>
    <w:rsid w:val="00A316AD"/>
    <w:rsid w:val="00A32FBB"/>
    <w:rsid w:val="00A353F3"/>
    <w:rsid w:val="00A35F60"/>
    <w:rsid w:val="00A36EBD"/>
    <w:rsid w:val="00A41B47"/>
    <w:rsid w:val="00A41E3C"/>
    <w:rsid w:val="00A426F6"/>
    <w:rsid w:val="00A428EE"/>
    <w:rsid w:val="00A42B53"/>
    <w:rsid w:val="00A441FF"/>
    <w:rsid w:val="00A4478A"/>
    <w:rsid w:val="00A44852"/>
    <w:rsid w:val="00A44EEE"/>
    <w:rsid w:val="00A455F0"/>
    <w:rsid w:val="00A4650A"/>
    <w:rsid w:val="00A47F4F"/>
    <w:rsid w:val="00A501B7"/>
    <w:rsid w:val="00A503E4"/>
    <w:rsid w:val="00A50502"/>
    <w:rsid w:val="00A508C4"/>
    <w:rsid w:val="00A50DB1"/>
    <w:rsid w:val="00A51232"/>
    <w:rsid w:val="00A51B6D"/>
    <w:rsid w:val="00A53F03"/>
    <w:rsid w:val="00A545FF"/>
    <w:rsid w:val="00A5510F"/>
    <w:rsid w:val="00A55A8B"/>
    <w:rsid w:val="00A57334"/>
    <w:rsid w:val="00A57D04"/>
    <w:rsid w:val="00A60007"/>
    <w:rsid w:val="00A60A26"/>
    <w:rsid w:val="00A61598"/>
    <w:rsid w:val="00A617F9"/>
    <w:rsid w:val="00A62662"/>
    <w:rsid w:val="00A63EAF"/>
    <w:rsid w:val="00A65971"/>
    <w:rsid w:val="00A65EE6"/>
    <w:rsid w:val="00A660BD"/>
    <w:rsid w:val="00A667CC"/>
    <w:rsid w:val="00A66BFD"/>
    <w:rsid w:val="00A709D1"/>
    <w:rsid w:val="00A7259C"/>
    <w:rsid w:val="00A7267D"/>
    <w:rsid w:val="00A72894"/>
    <w:rsid w:val="00A74C95"/>
    <w:rsid w:val="00A757F2"/>
    <w:rsid w:val="00A75A7C"/>
    <w:rsid w:val="00A77132"/>
    <w:rsid w:val="00A777FD"/>
    <w:rsid w:val="00A77B62"/>
    <w:rsid w:val="00A81F00"/>
    <w:rsid w:val="00A83017"/>
    <w:rsid w:val="00A84A99"/>
    <w:rsid w:val="00A84F46"/>
    <w:rsid w:val="00A85A97"/>
    <w:rsid w:val="00A871F4"/>
    <w:rsid w:val="00A90AA4"/>
    <w:rsid w:val="00A913B3"/>
    <w:rsid w:val="00A916FB"/>
    <w:rsid w:val="00A923BF"/>
    <w:rsid w:val="00A93126"/>
    <w:rsid w:val="00A94896"/>
    <w:rsid w:val="00A94F57"/>
    <w:rsid w:val="00A967FE"/>
    <w:rsid w:val="00A97F28"/>
    <w:rsid w:val="00AA0010"/>
    <w:rsid w:val="00AA2A8A"/>
    <w:rsid w:val="00AA3BDF"/>
    <w:rsid w:val="00AA70E1"/>
    <w:rsid w:val="00AA7683"/>
    <w:rsid w:val="00AA78F3"/>
    <w:rsid w:val="00AA7C5D"/>
    <w:rsid w:val="00AB0625"/>
    <w:rsid w:val="00AB0B17"/>
    <w:rsid w:val="00AB1FA8"/>
    <w:rsid w:val="00AB2FA3"/>
    <w:rsid w:val="00AB40D5"/>
    <w:rsid w:val="00AB4156"/>
    <w:rsid w:val="00AB47E1"/>
    <w:rsid w:val="00AC0681"/>
    <w:rsid w:val="00AC1B2C"/>
    <w:rsid w:val="00AC1D93"/>
    <w:rsid w:val="00AC2168"/>
    <w:rsid w:val="00AC3264"/>
    <w:rsid w:val="00AC35F8"/>
    <w:rsid w:val="00AC429B"/>
    <w:rsid w:val="00AC4B53"/>
    <w:rsid w:val="00AC5DF5"/>
    <w:rsid w:val="00AC62FC"/>
    <w:rsid w:val="00AC70CC"/>
    <w:rsid w:val="00AD03B9"/>
    <w:rsid w:val="00AD105A"/>
    <w:rsid w:val="00AD2FF2"/>
    <w:rsid w:val="00AD365D"/>
    <w:rsid w:val="00AD3884"/>
    <w:rsid w:val="00AD425F"/>
    <w:rsid w:val="00AD44D5"/>
    <w:rsid w:val="00AD6B1C"/>
    <w:rsid w:val="00AD6C64"/>
    <w:rsid w:val="00AD771B"/>
    <w:rsid w:val="00AD7B56"/>
    <w:rsid w:val="00AE0760"/>
    <w:rsid w:val="00AE1BF1"/>
    <w:rsid w:val="00AE25C3"/>
    <w:rsid w:val="00AE2BBC"/>
    <w:rsid w:val="00AE4102"/>
    <w:rsid w:val="00AE489A"/>
    <w:rsid w:val="00AE67D9"/>
    <w:rsid w:val="00AE6B86"/>
    <w:rsid w:val="00AF088D"/>
    <w:rsid w:val="00AF0DD2"/>
    <w:rsid w:val="00AF0EE0"/>
    <w:rsid w:val="00AF0F14"/>
    <w:rsid w:val="00AF1357"/>
    <w:rsid w:val="00AF2EDC"/>
    <w:rsid w:val="00AF3418"/>
    <w:rsid w:val="00AF428B"/>
    <w:rsid w:val="00AF450A"/>
    <w:rsid w:val="00AF5771"/>
    <w:rsid w:val="00AF61B3"/>
    <w:rsid w:val="00AF61FB"/>
    <w:rsid w:val="00B0030E"/>
    <w:rsid w:val="00B00E0E"/>
    <w:rsid w:val="00B01454"/>
    <w:rsid w:val="00B01DB1"/>
    <w:rsid w:val="00B0209D"/>
    <w:rsid w:val="00B02961"/>
    <w:rsid w:val="00B03DB9"/>
    <w:rsid w:val="00B04908"/>
    <w:rsid w:val="00B04B4C"/>
    <w:rsid w:val="00B05231"/>
    <w:rsid w:val="00B054C8"/>
    <w:rsid w:val="00B078B9"/>
    <w:rsid w:val="00B07CEA"/>
    <w:rsid w:val="00B102DC"/>
    <w:rsid w:val="00B10C01"/>
    <w:rsid w:val="00B128C8"/>
    <w:rsid w:val="00B13048"/>
    <w:rsid w:val="00B14687"/>
    <w:rsid w:val="00B152BD"/>
    <w:rsid w:val="00B15EB3"/>
    <w:rsid w:val="00B1716D"/>
    <w:rsid w:val="00B17A1D"/>
    <w:rsid w:val="00B205E9"/>
    <w:rsid w:val="00B20754"/>
    <w:rsid w:val="00B207A0"/>
    <w:rsid w:val="00B225CF"/>
    <w:rsid w:val="00B22A71"/>
    <w:rsid w:val="00B23E09"/>
    <w:rsid w:val="00B24BC0"/>
    <w:rsid w:val="00B26643"/>
    <w:rsid w:val="00B27BE5"/>
    <w:rsid w:val="00B27CFB"/>
    <w:rsid w:val="00B27E9C"/>
    <w:rsid w:val="00B31554"/>
    <w:rsid w:val="00B31DF2"/>
    <w:rsid w:val="00B335F0"/>
    <w:rsid w:val="00B33B56"/>
    <w:rsid w:val="00B35BE5"/>
    <w:rsid w:val="00B35CB8"/>
    <w:rsid w:val="00B37CE1"/>
    <w:rsid w:val="00B40C26"/>
    <w:rsid w:val="00B40CAA"/>
    <w:rsid w:val="00B42856"/>
    <w:rsid w:val="00B4515C"/>
    <w:rsid w:val="00B454BC"/>
    <w:rsid w:val="00B460B7"/>
    <w:rsid w:val="00B46415"/>
    <w:rsid w:val="00B4731C"/>
    <w:rsid w:val="00B5009D"/>
    <w:rsid w:val="00B502C8"/>
    <w:rsid w:val="00B5123A"/>
    <w:rsid w:val="00B514DD"/>
    <w:rsid w:val="00B5199C"/>
    <w:rsid w:val="00B51F3F"/>
    <w:rsid w:val="00B52AF0"/>
    <w:rsid w:val="00B52ED7"/>
    <w:rsid w:val="00B5344A"/>
    <w:rsid w:val="00B561BD"/>
    <w:rsid w:val="00B569AB"/>
    <w:rsid w:val="00B56E03"/>
    <w:rsid w:val="00B56E73"/>
    <w:rsid w:val="00B57CBD"/>
    <w:rsid w:val="00B60B95"/>
    <w:rsid w:val="00B611CF"/>
    <w:rsid w:val="00B61413"/>
    <w:rsid w:val="00B61EDF"/>
    <w:rsid w:val="00B628B2"/>
    <w:rsid w:val="00B62AAC"/>
    <w:rsid w:val="00B62F7C"/>
    <w:rsid w:val="00B64830"/>
    <w:rsid w:val="00B65BA4"/>
    <w:rsid w:val="00B67704"/>
    <w:rsid w:val="00B7080D"/>
    <w:rsid w:val="00B73847"/>
    <w:rsid w:val="00B74818"/>
    <w:rsid w:val="00B74AC5"/>
    <w:rsid w:val="00B74CC2"/>
    <w:rsid w:val="00B7575C"/>
    <w:rsid w:val="00B757A6"/>
    <w:rsid w:val="00B75EA1"/>
    <w:rsid w:val="00B80100"/>
    <w:rsid w:val="00B80791"/>
    <w:rsid w:val="00B8080B"/>
    <w:rsid w:val="00B81BCA"/>
    <w:rsid w:val="00B82223"/>
    <w:rsid w:val="00B82DB2"/>
    <w:rsid w:val="00B86181"/>
    <w:rsid w:val="00B86808"/>
    <w:rsid w:val="00B87684"/>
    <w:rsid w:val="00B87BA5"/>
    <w:rsid w:val="00B87C39"/>
    <w:rsid w:val="00B90818"/>
    <w:rsid w:val="00B90EE7"/>
    <w:rsid w:val="00B92574"/>
    <w:rsid w:val="00B9274A"/>
    <w:rsid w:val="00B9466C"/>
    <w:rsid w:val="00B9562D"/>
    <w:rsid w:val="00B96404"/>
    <w:rsid w:val="00B96AC7"/>
    <w:rsid w:val="00B96C88"/>
    <w:rsid w:val="00BA0248"/>
    <w:rsid w:val="00BA0731"/>
    <w:rsid w:val="00BA0ACF"/>
    <w:rsid w:val="00BA21EF"/>
    <w:rsid w:val="00BA2F70"/>
    <w:rsid w:val="00BA32A4"/>
    <w:rsid w:val="00BA3CA1"/>
    <w:rsid w:val="00BA4665"/>
    <w:rsid w:val="00BA47EE"/>
    <w:rsid w:val="00BA5A7C"/>
    <w:rsid w:val="00BB237E"/>
    <w:rsid w:val="00BB25ED"/>
    <w:rsid w:val="00BB2C52"/>
    <w:rsid w:val="00BB2FB2"/>
    <w:rsid w:val="00BB323B"/>
    <w:rsid w:val="00BB3304"/>
    <w:rsid w:val="00BB3FD7"/>
    <w:rsid w:val="00BB44A9"/>
    <w:rsid w:val="00BB6848"/>
    <w:rsid w:val="00BB7528"/>
    <w:rsid w:val="00BC0F16"/>
    <w:rsid w:val="00BC18DE"/>
    <w:rsid w:val="00BC2FAF"/>
    <w:rsid w:val="00BC42EF"/>
    <w:rsid w:val="00BC47A6"/>
    <w:rsid w:val="00BC639C"/>
    <w:rsid w:val="00BC70E2"/>
    <w:rsid w:val="00BD0920"/>
    <w:rsid w:val="00BD0C45"/>
    <w:rsid w:val="00BD16E5"/>
    <w:rsid w:val="00BD310B"/>
    <w:rsid w:val="00BD33AC"/>
    <w:rsid w:val="00BD3446"/>
    <w:rsid w:val="00BD34F4"/>
    <w:rsid w:val="00BD3F81"/>
    <w:rsid w:val="00BD4879"/>
    <w:rsid w:val="00BD5BE8"/>
    <w:rsid w:val="00BD6D4E"/>
    <w:rsid w:val="00BE14BD"/>
    <w:rsid w:val="00BE1F1B"/>
    <w:rsid w:val="00BE2BF7"/>
    <w:rsid w:val="00BE44CC"/>
    <w:rsid w:val="00BE450E"/>
    <w:rsid w:val="00BE47B5"/>
    <w:rsid w:val="00BE5896"/>
    <w:rsid w:val="00BE590F"/>
    <w:rsid w:val="00BE70DF"/>
    <w:rsid w:val="00BE750C"/>
    <w:rsid w:val="00BE77E6"/>
    <w:rsid w:val="00BE7AAF"/>
    <w:rsid w:val="00BF0324"/>
    <w:rsid w:val="00BF0C8F"/>
    <w:rsid w:val="00BF0CD7"/>
    <w:rsid w:val="00BF39CF"/>
    <w:rsid w:val="00BF4BAF"/>
    <w:rsid w:val="00BF4E55"/>
    <w:rsid w:val="00BF55C8"/>
    <w:rsid w:val="00BF651B"/>
    <w:rsid w:val="00C00427"/>
    <w:rsid w:val="00C0133B"/>
    <w:rsid w:val="00C0149E"/>
    <w:rsid w:val="00C0266F"/>
    <w:rsid w:val="00C04223"/>
    <w:rsid w:val="00C04BD7"/>
    <w:rsid w:val="00C05C4F"/>
    <w:rsid w:val="00C06349"/>
    <w:rsid w:val="00C06734"/>
    <w:rsid w:val="00C07887"/>
    <w:rsid w:val="00C12655"/>
    <w:rsid w:val="00C136DF"/>
    <w:rsid w:val="00C2005D"/>
    <w:rsid w:val="00C20CE6"/>
    <w:rsid w:val="00C21B6C"/>
    <w:rsid w:val="00C2259D"/>
    <w:rsid w:val="00C230DE"/>
    <w:rsid w:val="00C2357D"/>
    <w:rsid w:val="00C244EC"/>
    <w:rsid w:val="00C25474"/>
    <w:rsid w:val="00C256CF"/>
    <w:rsid w:val="00C25964"/>
    <w:rsid w:val="00C25FA6"/>
    <w:rsid w:val="00C263E6"/>
    <w:rsid w:val="00C27497"/>
    <w:rsid w:val="00C275C4"/>
    <w:rsid w:val="00C27686"/>
    <w:rsid w:val="00C27851"/>
    <w:rsid w:val="00C27CD5"/>
    <w:rsid w:val="00C30637"/>
    <w:rsid w:val="00C31474"/>
    <w:rsid w:val="00C331F2"/>
    <w:rsid w:val="00C3322C"/>
    <w:rsid w:val="00C347F0"/>
    <w:rsid w:val="00C36010"/>
    <w:rsid w:val="00C36F19"/>
    <w:rsid w:val="00C401BB"/>
    <w:rsid w:val="00C4277E"/>
    <w:rsid w:val="00C42ACA"/>
    <w:rsid w:val="00C43CF0"/>
    <w:rsid w:val="00C44703"/>
    <w:rsid w:val="00C45056"/>
    <w:rsid w:val="00C503DD"/>
    <w:rsid w:val="00C5122C"/>
    <w:rsid w:val="00C518E1"/>
    <w:rsid w:val="00C538A9"/>
    <w:rsid w:val="00C53B5A"/>
    <w:rsid w:val="00C541D2"/>
    <w:rsid w:val="00C54F5A"/>
    <w:rsid w:val="00C569B4"/>
    <w:rsid w:val="00C56A01"/>
    <w:rsid w:val="00C56A3E"/>
    <w:rsid w:val="00C57726"/>
    <w:rsid w:val="00C5784E"/>
    <w:rsid w:val="00C57EC1"/>
    <w:rsid w:val="00C57F6C"/>
    <w:rsid w:val="00C63646"/>
    <w:rsid w:val="00C63C31"/>
    <w:rsid w:val="00C64182"/>
    <w:rsid w:val="00C67A92"/>
    <w:rsid w:val="00C7037B"/>
    <w:rsid w:val="00C70506"/>
    <w:rsid w:val="00C70AA8"/>
    <w:rsid w:val="00C7497E"/>
    <w:rsid w:val="00C74D43"/>
    <w:rsid w:val="00C75DEA"/>
    <w:rsid w:val="00C76A6D"/>
    <w:rsid w:val="00C778A7"/>
    <w:rsid w:val="00C77FCB"/>
    <w:rsid w:val="00C805F7"/>
    <w:rsid w:val="00C80AFF"/>
    <w:rsid w:val="00C81568"/>
    <w:rsid w:val="00C81EF1"/>
    <w:rsid w:val="00C823B8"/>
    <w:rsid w:val="00C827BE"/>
    <w:rsid w:val="00C82B08"/>
    <w:rsid w:val="00C82DD1"/>
    <w:rsid w:val="00C82E11"/>
    <w:rsid w:val="00C83520"/>
    <w:rsid w:val="00C83F1C"/>
    <w:rsid w:val="00C84560"/>
    <w:rsid w:val="00C84F52"/>
    <w:rsid w:val="00C8658C"/>
    <w:rsid w:val="00C86679"/>
    <w:rsid w:val="00C87B45"/>
    <w:rsid w:val="00C903A2"/>
    <w:rsid w:val="00C936AA"/>
    <w:rsid w:val="00C94AE8"/>
    <w:rsid w:val="00C97C1E"/>
    <w:rsid w:val="00C97CDF"/>
    <w:rsid w:val="00CA04FC"/>
    <w:rsid w:val="00CA06E4"/>
    <w:rsid w:val="00CA20C5"/>
    <w:rsid w:val="00CA2ABF"/>
    <w:rsid w:val="00CA2C1D"/>
    <w:rsid w:val="00CA4288"/>
    <w:rsid w:val="00CA44B8"/>
    <w:rsid w:val="00CA489E"/>
    <w:rsid w:val="00CA5038"/>
    <w:rsid w:val="00CA52A2"/>
    <w:rsid w:val="00CA732D"/>
    <w:rsid w:val="00CA77AF"/>
    <w:rsid w:val="00CA79E7"/>
    <w:rsid w:val="00CB0279"/>
    <w:rsid w:val="00CB1E55"/>
    <w:rsid w:val="00CB26F2"/>
    <w:rsid w:val="00CB38D8"/>
    <w:rsid w:val="00CB4EBF"/>
    <w:rsid w:val="00CB5F22"/>
    <w:rsid w:val="00CB666B"/>
    <w:rsid w:val="00CB66FF"/>
    <w:rsid w:val="00CB6C78"/>
    <w:rsid w:val="00CB736E"/>
    <w:rsid w:val="00CC0409"/>
    <w:rsid w:val="00CC0699"/>
    <w:rsid w:val="00CC0743"/>
    <w:rsid w:val="00CC0A37"/>
    <w:rsid w:val="00CC27F1"/>
    <w:rsid w:val="00CC2BCC"/>
    <w:rsid w:val="00CC4FE9"/>
    <w:rsid w:val="00CC5368"/>
    <w:rsid w:val="00CC6A97"/>
    <w:rsid w:val="00CC7B32"/>
    <w:rsid w:val="00CC7F1D"/>
    <w:rsid w:val="00CD19EE"/>
    <w:rsid w:val="00CD1E4F"/>
    <w:rsid w:val="00CD2391"/>
    <w:rsid w:val="00CD26ED"/>
    <w:rsid w:val="00CD48FD"/>
    <w:rsid w:val="00CD4A4A"/>
    <w:rsid w:val="00CD5362"/>
    <w:rsid w:val="00CD58BC"/>
    <w:rsid w:val="00CD6765"/>
    <w:rsid w:val="00CD707C"/>
    <w:rsid w:val="00CE0E09"/>
    <w:rsid w:val="00CE1616"/>
    <w:rsid w:val="00CE16C6"/>
    <w:rsid w:val="00CE2F4F"/>
    <w:rsid w:val="00CE484B"/>
    <w:rsid w:val="00CE4900"/>
    <w:rsid w:val="00CE62A1"/>
    <w:rsid w:val="00CE7082"/>
    <w:rsid w:val="00CE759A"/>
    <w:rsid w:val="00CF0426"/>
    <w:rsid w:val="00CF0DEE"/>
    <w:rsid w:val="00CF21F4"/>
    <w:rsid w:val="00CF2C05"/>
    <w:rsid w:val="00CF2EB3"/>
    <w:rsid w:val="00CF325F"/>
    <w:rsid w:val="00CF52A6"/>
    <w:rsid w:val="00CF5360"/>
    <w:rsid w:val="00CF6EDE"/>
    <w:rsid w:val="00CF7BD2"/>
    <w:rsid w:val="00D006AE"/>
    <w:rsid w:val="00D00AC9"/>
    <w:rsid w:val="00D011EF"/>
    <w:rsid w:val="00D01B8D"/>
    <w:rsid w:val="00D01CF0"/>
    <w:rsid w:val="00D01EFD"/>
    <w:rsid w:val="00D03C9F"/>
    <w:rsid w:val="00D0442A"/>
    <w:rsid w:val="00D044E7"/>
    <w:rsid w:val="00D06055"/>
    <w:rsid w:val="00D061A5"/>
    <w:rsid w:val="00D066B7"/>
    <w:rsid w:val="00D10C2B"/>
    <w:rsid w:val="00D10DF3"/>
    <w:rsid w:val="00D12536"/>
    <w:rsid w:val="00D128E3"/>
    <w:rsid w:val="00D14563"/>
    <w:rsid w:val="00D17683"/>
    <w:rsid w:val="00D20C5C"/>
    <w:rsid w:val="00D21C47"/>
    <w:rsid w:val="00D21D86"/>
    <w:rsid w:val="00D229D2"/>
    <w:rsid w:val="00D23DD9"/>
    <w:rsid w:val="00D24673"/>
    <w:rsid w:val="00D2494B"/>
    <w:rsid w:val="00D26B08"/>
    <w:rsid w:val="00D27F9B"/>
    <w:rsid w:val="00D30632"/>
    <w:rsid w:val="00D30F52"/>
    <w:rsid w:val="00D343CB"/>
    <w:rsid w:val="00D366DC"/>
    <w:rsid w:val="00D36FCC"/>
    <w:rsid w:val="00D4061C"/>
    <w:rsid w:val="00D41E80"/>
    <w:rsid w:val="00D422E4"/>
    <w:rsid w:val="00D44C10"/>
    <w:rsid w:val="00D45694"/>
    <w:rsid w:val="00D4618F"/>
    <w:rsid w:val="00D46BD3"/>
    <w:rsid w:val="00D46D75"/>
    <w:rsid w:val="00D46DE9"/>
    <w:rsid w:val="00D472FB"/>
    <w:rsid w:val="00D478EB"/>
    <w:rsid w:val="00D51604"/>
    <w:rsid w:val="00D5235B"/>
    <w:rsid w:val="00D53487"/>
    <w:rsid w:val="00D53773"/>
    <w:rsid w:val="00D5377B"/>
    <w:rsid w:val="00D538D1"/>
    <w:rsid w:val="00D53E87"/>
    <w:rsid w:val="00D5420C"/>
    <w:rsid w:val="00D54AF3"/>
    <w:rsid w:val="00D55F0A"/>
    <w:rsid w:val="00D56860"/>
    <w:rsid w:val="00D57E34"/>
    <w:rsid w:val="00D57F2C"/>
    <w:rsid w:val="00D608F6"/>
    <w:rsid w:val="00D60EFF"/>
    <w:rsid w:val="00D6117E"/>
    <w:rsid w:val="00D611A0"/>
    <w:rsid w:val="00D61388"/>
    <w:rsid w:val="00D61A54"/>
    <w:rsid w:val="00D621F1"/>
    <w:rsid w:val="00D6339A"/>
    <w:rsid w:val="00D64275"/>
    <w:rsid w:val="00D64DEA"/>
    <w:rsid w:val="00D6632C"/>
    <w:rsid w:val="00D701ED"/>
    <w:rsid w:val="00D70C80"/>
    <w:rsid w:val="00D70C93"/>
    <w:rsid w:val="00D71333"/>
    <w:rsid w:val="00D71504"/>
    <w:rsid w:val="00D7168E"/>
    <w:rsid w:val="00D71E57"/>
    <w:rsid w:val="00D724EF"/>
    <w:rsid w:val="00D72CED"/>
    <w:rsid w:val="00D74F29"/>
    <w:rsid w:val="00D75AA2"/>
    <w:rsid w:val="00D7600C"/>
    <w:rsid w:val="00D7645E"/>
    <w:rsid w:val="00D76FFC"/>
    <w:rsid w:val="00D77BE0"/>
    <w:rsid w:val="00D8050E"/>
    <w:rsid w:val="00D80893"/>
    <w:rsid w:val="00D8205E"/>
    <w:rsid w:val="00D824FF"/>
    <w:rsid w:val="00D83442"/>
    <w:rsid w:val="00D837B7"/>
    <w:rsid w:val="00D84078"/>
    <w:rsid w:val="00D84854"/>
    <w:rsid w:val="00D848B4"/>
    <w:rsid w:val="00D85130"/>
    <w:rsid w:val="00D85739"/>
    <w:rsid w:val="00D85883"/>
    <w:rsid w:val="00D85E80"/>
    <w:rsid w:val="00D86B06"/>
    <w:rsid w:val="00D8713A"/>
    <w:rsid w:val="00D914D3"/>
    <w:rsid w:val="00D92CF1"/>
    <w:rsid w:val="00D92D38"/>
    <w:rsid w:val="00D950F5"/>
    <w:rsid w:val="00D95E16"/>
    <w:rsid w:val="00D963B4"/>
    <w:rsid w:val="00D97459"/>
    <w:rsid w:val="00DA0BCC"/>
    <w:rsid w:val="00DA0E8B"/>
    <w:rsid w:val="00DA1598"/>
    <w:rsid w:val="00DA1EDC"/>
    <w:rsid w:val="00DA3944"/>
    <w:rsid w:val="00DA4752"/>
    <w:rsid w:val="00DA4E22"/>
    <w:rsid w:val="00DA582A"/>
    <w:rsid w:val="00DA61F3"/>
    <w:rsid w:val="00DA6B93"/>
    <w:rsid w:val="00DA6F94"/>
    <w:rsid w:val="00DB0F93"/>
    <w:rsid w:val="00DB1A67"/>
    <w:rsid w:val="00DB1D7A"/>
    <w:rsid w:val="00DB46A7"/>
    <w:rsid w:val="00DB5074"/>
    <w:rsid w:val="00DB5B21"/>
    <w:rsid w:val="00DB67BE"/>
    <w:rsid w:val="00DB74E4"/>
    <w:rsid w:val="00DC00F2"/>
    <w:rsid w:val="00DC0F74"/>
    <w:rsid w:val="00DC3A89"/>
    <w:rsid w:val="00DC3ADE"/>
    <w:rsid w:val="00DC75A7"/>
    <w:rsid w:val="00DC7981"/>
    <w:rsid w:val="00DD0C05"/>
    <w:rsid w:val="00DD1139"/>
    <w:rsid w:val="00DD1C15"/>
    <w:rsid w:val="00DD1D9E"/>
    <w:rsid w:val="00DD3D8F"/>
    <w:rsid w:val="00DD4252"/>
    <w:rsid w:val="00DD46CF"/>
    <w:rsid w:val="00DD53DA"/>
    <w:rsid w:val="00DD7168"/>
    <w:rsid w:val="00DE0F6A"/>
    <w:rsid w:val="00DE1093"/>
    <w:rsid w:val="00DE1F5F"/>
    <w:rsid w:val="00DE1F69"/>
    <w:rsid w:val="00DE2E29"/>
    <w:rsid w:val="00DE3644"/>
    <w:rsid w:val="00DE4EFA"/>
    <w:rsid w:val="00DE5297"/>
    <w:rsid w:val="00DE5520"/>
    <w:rsid w:val="00DE563D"/>
    <w:rsid w:val="00DE5E2E"/>
    <w:rsid w:val="00DE772C"/>
    <w:rsid w:val="00DE7959"/>
    <w:rsid w:val="00DE7B28"/>
    <w:rsid w:val="00DF0D66"/>
    <w:rsid w:val="00DF1D9A"/>
    <w:rsid w:val="00DF312A"/>
    <w:rsid w:val="00DF4A63"/>
    <w:rsid w:val="00DF69AB"/>
    <w:rsid w:val="00DF7E4A"/>
    <w:rsid w:val="00E012E3"/>
    <w:rsid w:val="00E0166D"/>
    <w:rsid w:val="00E01795"/>
    <w:rsid w:val="00E021AE"/>
    <w:rsid w:val="00E029F0"/>
    <w:rsid w:val="00E0350F"/>
    <w:rsid w:val="00E04818"/>
    <w:rsid w:val="00E06442"/>
    <w:rsid w:val="00E06BCF"/>
    <w:rsid w:val="00E077AB"/>
    <w:rsid w:val="00E1001C"/>
    <w:rsid w:val="00E11336"/>
    <w:rsid w:val="00E11949"/>
    <w:rsid w:val="00E12F84"/>
    <w:rsid w:val="00E13844"/>
    <w:rsid w:val="00E1560E"/>
    <w:rsid w:val="00E15D63"/>
    <w:rsid w:val="00E22386"/>
    <w:rsid w:val="00E23006"/>
    <w:rsid w:val="00E23993"/>
    <w:rsid w:val="00E23D8D"/>
    <w:rsid w:val="00E24A14"/>
    <w:rsid w:val="00E257D6"/>
    <w:rsid w:val="00E25ABF"/>
    <w:rsid w:val="00E25B8C"/>
    <w:rsid w:val="00E25E76"/>
    <w:rsid w:val="00E260AA"/>
    <w:rsid w:val="00E26907"/>
    <w:rsid w:val="00E26F66"/>
    <w:rsid w:val="00E26FEB"/>
    <w:rsid w:val="00E27517"/>
    <w:rsid w:val="00E27566"/>
    <w:rsid w:val="00E30AF3"/>
    <w:rsid w:val="00E3260F"/>
    <w:rsid w:val="00E3332D"/>
    <w:rsid w:val="00E3487D"/>
    <w:rsid w:val="00E3544F"/>
    <w:rsid w:val="00E35BE0"/>
    <w:rsid w:val="00E35F88"/>
    <w:rsid w:val="00E405F1"/>
    <w:rsid w:val="00E41209"/>
    <w:rsid w:val="00E41D8B"/>
    <w:rsid w:val="00E4230C"/>
    <w:rsid w:val="00E42E7A"/>
    <w:rsid w:val="00E44473"/>
    <w:rsid w:val="00E45138"/>
    <w:rsid w:val="00E45432"/>
    <w:rsid w:val="00E45ECF"/>
    <w:rsid w:val="00E510CB"/>
    <w:rsid w:val="00E51D65"/>
    <w:rsid w:val="00E53996"/>
    <w:rsid w:val="00E55DE8"/>
    <w:rsid w:val="00E5657A"/>
    <w:rsid w:val="00E60D44"/>
    <w:rsid w:val="00E61747"/>
    <w:rsid w:val="00E6200B"/>
    <w:rsid w:val="00E63034"/>
    <w:rsid w:val="00E65C85"/>
    <w:rsid w:val="00E66199"/>
    <w:rsid w:val="00E66B5E"/>
    <w:rsid w:val="00E711C7"/>
    <w:rsid w:val="00E72D6F"/>
    <w:rsid w:val="00E733CD"/>
    <w:rsid w:val="00E744F5"/>
    <w:rsid w:val="00E7494F"/>
    <w:rsid w:val="00E74A6E"/>
    <w:rsid w:val="00E74D21"/>
    <w:rsid w:val="00E755EC"/>
    <w:rsid w:val="00E75794"/>
    <w:rsid w:val="00E75FC2"/>
    <w:rsid w:val="00E7624D"/>
    <w:rsid w:val="00E77AB9"/>
    <w:rsid w:val="00E80ED3"/>
    <w:rsid w:val="00E8132F"/>
    <w:rsid w:val="00E81F34"/>
    <w:rsid w:val="00E82B88"/>
    <w:rsid w:val="00E82D06"/>
    <w:rsid w:val="00E83262"/>
    <w:rsid w:val="00E83E1B"/>
    <w:rsid w:val="00E840B3"/>
    <w:rsid w:val="00E841EA"/>
    <w:rsid w:val="00E848B2"/>
    <w:rsid w:val="00E85FE4"/>
    <w:rsid w:val="00E86083"/>
    <w:rsid w:val="00E87ADB"/>
    <w:rsid w:val="00E87BAD"/>
    <w:rsid w:val="00E87CA4"/>
    <w:rsid w:val="00E9154C"/>
    <w:rsid w:val="00E9157B"/>
    <w:rsid w:val="00E9566C"/>
    <w:rsid w:val="00E95EF2"/>
    <w:rsid w:val="00E97242"/>
    <w:rsid w:val="00EA2006"/>
    <w:rsid w:val="00EA25C2"/>
    <w:rsid w:val="00EA288B"/>
    <w:rsid w:val="00EA29CE"/>
    <w:rsid w:val="00EA38F3"/>
    <w:rsid w:val="00EA3D42"/>
    <w:rsid w:val="00EA5224"/>
    <w:rsid w:val="00EA531B"/>
    <w:rsid w:val="00EA55F5"/>
    <w:rsid w:val="00EA5758"/>
    <w:rsid w:val="00EA6B1B"/>
    <w:rsid w:val="00EB062E"/>
    <w:rsid w:val="00EB0CB5"/>
    <w:rsid w:val="00EB3380"/>
    <w:rsid w:val="00EB57A6"/>
    <w:rsid w:val="00EB5BC8"/>
    <w:rsid w:val="00EB606C"/>
    <w:rsid w:val="00EB7A6C"/>
    <w:rsid w:val="00EC04F1"/>
    <w:rsid w:val="00EC0FB7"/>
    <w:rsid w:val="00EC178D"/>
    <w:rsid w:val="00EC1B2B"/>
    <w:rsid w:val="00EC32E5"/>
    <w:rsid w:val="00EC3E8C"/>
    <w:rsid w:val="00EC5005"/>
    <w:rsid w:val="00EC6308"/>
    <w:rsid w:val="00ED0174"/>
    <w:rsid w:val="00ED0175"/>
    <w:rsid w:val="00ED0D1B"/>
    <w:rsid w:val="00ED0EC2"/>
    <w:rsid w:val="00ED2889"/>
    <w:rsid w:val="00ED3474"/>
    <w:rsid w:val="00ED3D54"/>
    <w:rsid w:val="00ED41B6"/>
    <w:rsid w:val="00ED480E"/>
    <w:rsid w:val="00ED4FB6"/>
    <w:rsid w:val="00ED7323"/>
    <w:rsid w:val="00ED7CEE"/>
    <w:rsid w:val="00EE0522"/>
    <w:rsid w:val="00EE12D9"/>
    <w:rsid w:val="00EE28F3"/>
    <w:rsid w:val="00EE2A38"/>
    <w:rsid w:val="00EE3DC6"/>
    <w:rsid w:val="00EE407C"/>
    <w:rsid w:val="00EE46B8"/>
    <w:rsid w:val="00EE50D1"/>
    <w:rsid w:val="00EE5B74"/>
    <w:rsid w:val="00EE6D31"/>
    <w:rsid w:val="00EE6DE5"/>
    <w:rsid w:val="00EE77FA"/>
    <w:rsid w:val="00EE7A83"/>
    <w:rsid w:val="00EF05FC"/>
    <w:rsid w:val="00EF1B7A"/>
    <w:rsid w:val="00EF1E4E"/>
    <w:rsid w:val="00EF34FA"/>
    <w:rsid w:val="00EF3A33"/>
    <w:rsid w:val="00EF4ED4"/>
    <w:rsid w:val="00EF4F7F"/>
    <w:rsid w:val="00EF5110"/>
    <w:rsid w:val="00EF5646"/>
    <w:rsid w:val="00EF6A38"/>
    <w:rsid w:val="00EF6A8D"/>
    <w:rsid w:val="00EF709A"/>
    <w:rsid w:val="00EF77EE"/>
    <w:rsid w:val="00F00B5B"/>
    <w:rsid w:val="00F0207D"/>
    <w:rsid w:val="00F02E93"/>
    <w:rsid w:val="00F0334E"/>
    <w:rsid w:val="00F04686"/>
    <w:rsid w:val="00F05B90"/>
    <w:rsid w:val="00F07967"/>
    <w:rsid w:val="00F10411"/>
    <w:rsid w:val="00F10D53"/>
    <w:rsid w:val="00F11B9E"/>
    <w:rsid w:val="00F11C01"/>
    <w:rsid w:val="00F11E71"/>
    <w:rsid w:val="00F1222E"/>
    <w:rsid w:val="00F13E02"/>
    <w:rsid w:val="00F14144"/>
    <w:rsid w:val="00F14413"/>
    <w:rsid w:val="00F14850"/>
    <w:rsid w:val="00F14F9D"/>
    <w:rsid w:val="00F15882"/>
    <w:rsid w:val="00F161D3"/>
    <w:rsid w:val="00F1704A"/>
    <w:rsid w:val="00F171E0"/>
    <w:rsid w:val="00F17E04"/>
    <w:rsid w:val="00F20147"/>
    <w:rsid w:val="00F20BD3"/>
    <w:rsid w:val="00F24414"/>
    <w:rsid w:val="00F24CFD"/>
    <w:rsid w:val="00F2526A"/>
    <w:rsid w:val="00F267EC"/>
    <w:rsid w:val="00F27042"/>
    <w:rsid w:val="00F2740A"/>
    <w:rsid w:val="00F30B87"/>
    <w:rsid w:val="00F3275B"/>
    <w:rsid w:val="00F33B53"/>
    <w:rsid w:val="00F35081"/>
    <w:rsid w:val="00F35391"/>
    <w:rsid w:val="00F35AC8"/>
    <w:rsid w:val="00F363CE"/>
    <w:rsid w:val="00F36BB5"/>
    <w:rsid w:val="00F373A5"/>
    <w:rsid w:val="00F375E2"/>
    <w:rsid w:val="00F37C72"/>
    <w:rsid w:val="00F40727"/>
    <w:rsid w:val="00F41E67"/>
    <w:rsid w:val="00F42CE4"/>
    <w:rsid w:val="00F42E08"/>
    <w:rsid w:val="00F431DC"/>
    <w:rsid w:val="00F47310"/>
    <w:rsid w:val="00F47548"/>
    <w:rsid w:val="00F47559"/>
    <w:rsid w:val="00F47C58"/>
    <w:rsid w:val="00F47E85"/>
    <w:rsid w:val="00F50114"/>
    <w:rsid w:val="00F5084C"/>
    <w:rsid w:val="00F50D6E"/>
    <w:rsid w:val="00F51C27"/>
    <w:rsid w:val="00F52141"/>
    <w:rsid w:val="00F52BE4"/>
    <w:rsid w:val="00F53294"/>
    <w:rsid w:val="00F55C31"/>
    <w:rsid w:val="00F56037"/>
    <w:rsid w:val="00F56C72"/>
    <w:rsid w:val="00F57907"/>
    <w:rsid w:val="00F60E7A"/>
    <w:rsid w:val="00F60F5A"/>
    <w:rsid w:val="00F61176"/>
    <w:rsid w:val="00F615F5"/>
    <w:rsid w:val="00F62A30"/>
    <w:rsid w:val="00F63E2A"/>
    <w:rsid w:val="00F641BE"/>
    <w:rsid w:val="00F64ABD"/>
    <w:rsid w:val="00F64C7B"/>
    <w:rsid w:val="00F658C4"/>
    <w:rsid w:val="00F65B25"/>
    <w:rsid w:val="00F65D6A"/>
    <w:rsid w:val="00F65DD2"/>
    <w:rsid w:val="00F676DD"/>
    <w:rsid w:val="00F71667"/>
    <w:rsid w:val="00F72817"/>
    <w:rsid w:val="00F73895"/>
    <w:rsid w:val="00F73F74"/>
    <w:rsid w:val="00F75A26"/>
    <w:rsid w:val="00F76706"/>
    <w:rsid w:val="00F768C8"/>
    <w:rsid w:val="00F7769F"/>
    <w:rsid w:val="00F81B8D"/>
    <w:rsid w:val="00F82183"/>
    <w:rsid w:val="00F83FAD"/>
    <w:rsid w:val="00F8467F"/>
    <w:rsid w:val="00F85324"/>
    <w:rsid w:val="00F8653A"/>
    <w:rsid w:val="00F869D5"/>
    <w:rsid w:val="00F86BC2"/>
    <w:rsid w:val="00F87187"/>
    <w:rsid w:val="00F871FB"/>
    <w:rsid w:val="00F87548"/>
    <w:rsid w:val="00F91EBF"/>
    <w:rsid w:val="00F91F55"/>
    <w:rsid w:val="00F92349"/>
    <w:rsid w:val="00F93001"/>
    <w:rsid w:val="00F93B21"/>
    <w:rsid w:val="00F952A0"/>
    <w:rsid w:val="00F9625B"/>
    <w:rsid w:val="00F96E68"/>
    <w:rsid w:val="00F9703D"/>
    <w:rsid w:val="00F970D1"/>
    <w:rsid w:val="00F973EC"/>
    <w:rsid w:val="00FA03E3"/>
    <w:rsid w:val="00FA1822"/>
    <w:rsid w:val="00FA19BD"/>
    <w:rsid w:val="00FA3A2D"/>
    <w:rsid w:val="00FA3C7F"/>
    <w:rsid w:val="00FA414F"/>
    <w:rsid w:val="00FA5AF4"/>
    <w:rsid w:val="00FA67AC"/>
    <w:rsid w:val="00FA6B2F"/>
    <w:rsid w:val="00FB0FA5"/>
    <w:rsid w:val="00FB1BF3"/>
    <w:rsid w:val="00FB4402"/>
    <w:rsid w:val="00FB4683"/>
    <w:rsid w:val="00FB4D65"/>
    <w:rsid w:val="00FB60FE"/>
    <w:rsid w:val="00FB652D"/>
    <w:rsid w:val="00FB6B77"/>
    <w:rsid w:val="00FB74E2"/>
    <w:rsid w:val="00FC04B7"/>
    <w:rsid w:val="00FC0D36"/>
    <w:rsid w:val="00FC12C6"/>
    <w:rsid w:val="00FC1300"/>
    <w:rsid w:val="00FC34D1"/>
    <w:rsid w:val="00FC55B6"/>
    <w:rsid w:val="00FC6FF3"/>
    <w:rsid w:val="00FC71DC"/>
    <w:rsid w:val="00FC7F91"/>
    <w:rsid w:val="00FD036B"/>
    <w:rsid w:val="00FD2ED2"/>
    <w:rsid w:val="00FD3C9A"/>
    <w:rsid w:val="00FD41AE"/>
    <w:rsid w:val="00FD5614"/>
    <w:rsid w:val="00FD5E78"/>
    <w:rsid w:val="00FD636A"/>
    <w:rsid w:val="00FD7A90"/>
    <w:rsid w:val="00FE01AA"/>
    <w:rsid w:val="00FE0BE1"/>
    <w:rsid w:val="00FE1276"/>
    <w:rsid w:val="00FE1DE9"/>
    <w:rsid w:val="00FE36AF"/>
    <w:rsid w:val="00FE39C2"/>
    <w:rsid w:val="00FE3C32"/>
    <w:rsid w:val="00FE4275"/>
    <w:rsid w:val="00FE61DA"/>
    <w:rsid w:val="00FE64AE"/>
    <w:rsid w:val="00FE6C61"/>
    <w:rsid w:val="00FF0697"/>
    <w:rsid w:val="00FF12F1"/>
    <w:rsid w:val="00FF1BAC"/>
    <w:rsid w:val="00FF211E"/>
    <w:rsid w:val="00FF2881"/>
    <w:rsid w:val="00FF3191"/>
    <w:rsid w:val="00FF4C1C"/>
    <w:rsid w:val="00FF7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numbering" w:styleId="ArticleSection">
    <w:name w:val="Outline List 3"/>
    <w:basedOn w:val="NoList"/>
    <w:semiHidden/>
    <w:rsid w:val="00E44473"/>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numbering" w:styleId="ArticleSection">
    <w:name w:val="Outline List 3"/>
    <w:basedOn w:val="NoList"/>
    <w:semiHidden/>
    <w:rsid w:val="00E4447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83018318">
      <w:bodyDiv w:val="1"/>
      <w:marLeft w:val="0"/>
      <w:marRight w:val="0"/>
      <w:marTop w:val="0"/>
      <w:marBottom w:val="0"/>
      <w:divBdr>
        <w:top w:val="none" w:sz="0" w:space="0" w:color="auto"/>
        <w:left w:val="none" w:sz="0" w:space="0" w:color="auto"/>
        <w:bottom w:val="none" w:sz="0" w:space="0" w:color="auto"/>
        <w:right w:val="none" w:sz="0" w:space="0" w:color="auto"/>
      </w:divBdr>
    </w:div>
    <w:div w:id="692657901">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85519704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73459094">
      <w:bodyDiv w:val="1"/>
      <w:marLeft w:val="0"/>
      <w:marRight w:val="0"/>
      <w:marTop w:val="0"/>
      <w:marBottom w:val="0"/>
      <w:divBdr>
        <w:top w:val="none" w:sz="0" w:space="0" w:color="auto"/>
        <w:left w:val="none" w:sz="0" w:space="0" w:color="auto"/>
        <w:bottom w:val="none" w:sz="0" w:space="0" w:color="auto"/>
        <w:right w:val="none" w:sz="0" w:space="0" w:color="auto"/>
      </w:divBdr>
    </w:div>
    <w:div w:id="1544900420">
      <w:bodyDiv w:val="1"/>
      <w:marLeft w:val="0"/>
      <w:marRight w:val="0"/>
      <w:marTop w:val="0"/>
      <w:marBottom w:val="0"/>
      <w:divBdr>
        <w:top w:val="none" w:sz="0" w:space="0" w:color="auto"/>
        <w:left w:val="none" w:sz="0" w:space="0" w:color="auto"/>
        <w:bottom w:val="none" w:sz="0" w:space="0" w:color="auto"/>
        <w:right w:val="none" w:sz="0" w:space="0" w:color="auto"/>
      </w:divBdr>
    </w:div>
    <w:div w:id="1967199299">
      <w:bodyDiv w:val="1"/>
      <w:marLeft w:val="0"/>
      <w:marRight w:val="0"/>
      <w:marTop w:val="0"/>
      <w:marBottom w:val="0"/>
      <w:divBdr>
        <w:top w:val="none" w:sz="0" w:space="0" w:color="auto"/>
        <w:left w:val="none" w:sz="0" w:space="0" w:color="auto"/>
        <w:bottom w:val="none" w:sz="0" w:space="0" w:color="auto"/>
        <w:right w:val="none" w:sz="0" w:space="0" w:color="auto"/>
      </w:divBdr>
    </w:div>
    <w:div w:id="210399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Listed equity</c:v>
          </c:tx>
          <c:marker>
            <c:symbol val="none"/>
          </c:marker>
          <c:cat>
            <c:numRef>
              <c:f>'[Equity ownership approach calculations - data to December 2015_final.xlsx]Listed_byownership'!$AY$1:$DH$1</c:f>
              <c:numCache>
                <c:formatCode>mmm\-yyyy</c:formatCode>
                <c:ptCount val="62"/>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numCache>
            </c:numRef>
          </c:cat>
          <c:val>
            <c:numRef>
              <c:f>'[Equity ownership approach calculations - data to December 2015_final.xlsx]Listed_byownership'!$AY$26:$DH$26</c:f>
              <c:numCache>
                <c:formatCode>0.000</c:formatCode>
                <c:ptCount val="62"/>
                <c:pt idx="0">
                  <c:v>0.51331445057490632</c:v>
                </c:pt>
                <c:pt idx="1">
                  <c:v>0.54740179008912082</c:v>
                </c:pt>
                <c:pt idx="2">
                  <c:v>0.54310171127191231</c:v>
                </c:pt>
                <c:pt idx="3">
                  <c:v>0.53875567644088151</c:v>
                </c:pt>
                <c:pt idx="4">
                  <c:v>0.51811696504201321</c:v>
                </c:pt>
                <c:pt idx="5">
                  <c:v>0.52607619800155792</c:v>
                </c:pt>
                <c:pt idx="6">
                  <c:v>0.53580042518168736</c:v>
                </c:pt>
                <c:pt idx="7">
                  <c:v>0.5267941424621374</c:v>
                </c:pt>
                <c:pt idx="8">
                  <c:v>0.50738287658747039</c:v>
                </c:pt>
                <c:pt idx="9">
                  <c:v>0.4949847392152148</c:v>
                </c:pt>
                <c:pt idx="10">
                  <c:v>0.48632985120039407</c:v>
                </c:pt>
                <c:pt idx="11">
                  <c:v>0.48046657766441003</c:v>
                </c:pt>
                <c:pt idx="12">
                  <c:v>0.48121142657072408</c:v>
                </c:pt>
                <c:pt idx="13">
                  <c:v>0.48297981379279192</c:v>
                </c:pt>
                <c:pt idx="14">
                  <c:v>0.49225038368125401</c:v>
                </c:pt>
                <c:pt idx="15">
                  <c:v>0.49178262124711314</c:v>
                </c:pt>
                <c:pt idx="16">
                  <c:v>0.50714313460001781</c:v>
                </c:pt>
                <c:pt idx="17">
                  <c:v>0.54665246613076113</c:v>
                </c:pt>
                <c:pt idx="18">
                  <c:v>0.54442826845200165</c:v>
                </c:pt>
                <c:pt idx="19">
                  <c:v>0.54528860416761127</c:v>
                </c:pt>
                <c:pt idx="20">
                  <c:v>0.55002511606485549</c:v>
                </c:pt>
                <c:pt idx="21">
                  <c:v>0.54618689642612106</c:v>
                </c:pt>
                <c:pt idx="22">
                  <c:v>0.54941445210130901</c:v>
                </c:pt>
                <c:pt idx="23">
                  <c:v>0.54639100487001557</c:v>
                </c:pt>
                <c:pt idx="24">
                  <c:v>0.54088739492994631</c:v>
                </c:pt>
                <c:pt idx="25">
                  <c:v>0.54784288148077342</c:v>
                </c:pt>
                <c:pt idx="26">
                  <c:v>0.54698404663904909</c:v>
                </c:pt>
                <c:pt idx="27">
                  <c:v>0.54839503960161373</c:v>
                </c:pt>
                <c:pt idx="28">
                  <c:v>0.54862432239755754</c:v>
                </c:pt>
                <c:pt idx="29">
                  <c:v>0.54581431321268947</c:v>
                </c:pt>
                <c:pt idx="30">
                  <c:v>0.50080266551432184</c:v>
                </c:pt>
                <c:pt idx="31">
                  <c:v>0.49310591510999369</c:v>
                </c:pt>
                <c:pt idx="32">
                  <c:v>0.47518261512886678</c:v>
                </c:pt>
                <c:pt idx="33">
                  <c:v>0.4400887438346871</c:v>
                </c:pt>
                <c:pt idx="34">
                  <c:v>0.42028507683039051</c:v>
                </c:pt>
                <c:pt idx="35">
                  <c:v>0.43888922149010823</c:v>
                </c:pt>
                <c:pt idx="36">
                  <c:v>0.4688934244047932</c:v>
                </c:pt>
                <c:pt idx="37">
                  <c:v>0.46857039216103596</c:v>
                </c:pt>
                <c:pt idx="38">
                  <c:v>0.46569326706426883</c:v>
                </c:pt>
                <c:pt idx="39">
                  <c:v>0.4517250628939764</c:v>
                </c:pt>
                <c:pt idx="40">
                  <c:v>0.45701627138621825</c:v>
                </c:pt>
                <c:pt idx="41">
                  <c:v>0.46077574179146125</c:v>
                </c:pt>
                <c:pt idx="42">
                  <c:v>0.46704651190893381</c:v>
                </c:pt>
                <c:pt idx="43">
                  <c:v>0.43321316580584668</c:v>
                </c:pt>
                <c:pt idx="44">
                  <c:v>0.40000364987402565</c:v>
                </c:pt>
                <c:pt idx="45">
                  <c:v>0.38832911992922337</c:v>
                </c:pt>
                <c:pt idx="46">
                  <c:v>0.39525208293579506</c:v>
                </c:pt>
                <c:pt idx="47">
                  <c:v>0.3846074377987253</c:v>
                </c:pt>
                <c:pt idx="48">
                  <c:v>0.40725904966997734</c:v>
                </c:pt>
                <c:pt idx="49">
                  <c:v>0.41704727575059758</c:v>
                </c:pt>
                <c:pt idx="50">
                  <c:v>0.43167592705827418</c:v>
                </c:pt>
                <c:pt idx="51">
                  <c:v>0.41920787609111326</c:v>
                </c:pt>
                <c:pt idx="52">
                  <c:v>0.44430963220828112</c:v>
                </c:pt>
                <c:pt idx="53">
                  <c:v>0.45249814720650611</c:v>
                </c:pt>
                <c:pt idx="54">
                  <c:v>0.45263727434433881</c:v>
                </c:pt>
                <c:pt idx="55">
                  <c:v>0.45734709600266771</c:v>
                </c:pt>
                <c:pt idx="56">
                  <c:v>0.44580911277835844</c:v>
                </c:pt>
                <c:pt idx="57">
                  <c:v>0.45884872337610794</c:v>
                </c:pt>
                <c:pt idx="58">
                  <c:v>0.47037516224552661</c:v>
                </c:pt>
                <c:pt idx="59">
                  <c:v>0.45228304751021392</c:v>
                </c:pt>
                <c:pt idx="60">
                  <c:v>0.44637540341855242</c:v>
                </c:pt>
                <c:pt idx="61">
                  <c:v>0.46688489512706266</c:v>
                </c:pt>
              </c:numCache>
            </c:numRef>
          </c:val>
          <c:smooth val="0"/>
        </c:ser>
        <c:ser>
          <c:idx val="1"/>
          <c:order val="1"/>
          <c:tx>
            <c:v>Total equity</c:v>
          </c:tx>
          <c:marker>
            <c:symbol val="none"/>
          </c:marker>
          <c:cat>
            <c:numRef>
              <c:f>'[Equity ownership approach calculations - data to December 2015_final.xlsx]Listed_byownership'!$AY$1:$DH$1</c:f>
              <c:numCache>
                <c:formatCode>mmm\-yyyy</c:formatCode>
                <c:ptCount val="62"/>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numCache>
            </c:numRef>
          </c:cat>
          <c:val>
            <c:numRef>
              <c:f>'[Equity ownership approach calculations - data to December 2015_final.xlsx]Total_byownership'!$AY$26:$DH$26</c:f>
              <c:numCache>
                <c:formatCode>0.000</c:formatCode>
                <c:ptCount val="62"/>
                <c:pt idx="0">
                  <c:v>0.58425201354567091</c:v>
                </c:pt>
                <c:pt idx="1">
                  <c:v>0.60569815065071397</c:v>
                </c:pt>
                <c:pt idx="2">
                  <c:v>0.60585932636479833</c:v>
                </c:pt>
                <c:pt idx="3">
                  <c:v>0.60411136464342363</c:v>
                </c:pt>
                <c:pt idx="4">
                  <c:v>0.59600586521449883</c:v>
                </c:pt>
                <c:pt idx="5">
                  <c:v>0.59914602920931159</c:v>
                </c:pt>
                <c:pt idx="6">
                  <c:v>0.61036165613900506</c:v>
                </c:pt>
                <c:pt idx="7">
                  <c:v>0.60607191119291004</c:v>
                </c:pt>
                <c:pt idx="8">
                  <c:v>0.60124506132103772</c:v>
                </c:pt>
                <c:pt idx="9">
                  <c:v>0.58628237752466172</c:v>
                </c:pt>
                <c:pt idx="10">
                  <c:v>0.58746355213379808</c:v>
                </c:pt>
                <c:pt idx="11">
                  <c:v>0.58404309773350904</c:v>
                </c:pt>
                <c:pt idx="12">
                  <c:v>0.58115942028985512</c:v>
                </c:pt>
                <c:pt idx="13">
                  <c:v>0.58447012205323123</c:v>
                </c:pt>
                <c:pt idx="14">
                  <c:v>0.59983973280644987</c:v>
                </c:pt>
                <c:pt idx="15">
                  <c:v>0.6093910163636469</c:v>
                </c:pt>
                <c:pt idx="16">
                  <c:v>0.61943081095565988</c:v>
                </c:pt>
                <c:pt idx="17">
                  <c:v>0.6231669790248916</c:v>
                </c:pt>
                <c:pt idx="18">
                  <c:v>0.63606341769160424</c:v>
                </c:pt>
                <c:pt idx="19">
                  <c:v>0.67538619366119979</c:v>
                </c:pt>
                <c:pt idx="20">
                  <c:v>0.67567348433165919</c:v>
                </c:pt>
                <c:pt idx="21">
                  <c:v>0.67147220720107614</c:v>
                </c:pt>
                <c:pt idx="22">
                  <c:v>0.66250234450862655</c:v>
                </c:pt>
                <c:pt idx="23">
                  <c:v>0.66774648596032493</c:v>
                </c:pt>
                <c:pt idx="24">
                  <c:v>0.66579368560086194</c:v>
                </c:pt>
                <c:pt idx="25">
                  <c:v>0.66250703930813359</c:v>
                </c:pt>
                <c:pt idx="26">
                  <c:v>0.65222264149974718</c:v>
                </c:pt>
                <c:pt idx="27">
                  <c:v>0.64801594602580037</c:v>
                </c:pt>
                <c:pt idx="28">
                  <c:v>0.64219582047024315</c:v>
                </c:pt>
                <c:pt idx="29">
                  <c:v>0.64199405052179848</c:v>
                </c:pt>
                <c:pt idx="30">
                  <c:v>0.62525118389789125</c:v>
                </c:pt>
                <c:pt idx="31">
                  <c:v>0.61844866856343517</c:v>
                </c:pt>
                <c:pt idx="32">
                  <c:v>0.61941034964637787</c:v>
                </c:pt>
                <c:pt idx="33">
                  <c:v>0.59912025856652684</c:v>
                </c:pt>
                <c:pt idx="34">
                  <c:v>0.58989934731681193</c:v>
                </c:pt>
                <c:pt idx="35">
                  <c:v>0.59010157700773058</c:v>
                </c:pt>
                <c:pt idx="36">
                  <c:v>0.59097963446241641</c:v>
                </c:pt>
                <c:pt idx="37">
                  <c:v>0.59132725785343854</c:v>
                </c:pt>
                <c:pt idx="38">
                  <c:v>0.58815798155776733</c:v>
                </c:pt>
                <c:pt idx="39">
                  <c:v>0.58690759525051373</c:v>
                </c:pt>
                <c:pt idx="40">
                  <c:v>0.58698907949536139</c:v>
                </c:pt>
                <c:pt idx="41">
                  <c:v>0.58006919492542774</c:v>
                </c:pt>
                <c:pt idx="42">
                  <c:v>0.57699228785063705</c:v>
                </c:pt>
                <c:pt idx="43">
                  <c:v>0.5784555901055225</c:v>
                </c:pt>
                <c:pt idx="44">
                  <c:v>0.57241174823519236</c:v>
                </c:pt>
                <c:pt idx="45">
                  <c:v>0.57102041665191194</c:v>
                </c:pt>
                <c:pt idx="46">
                  <c:v>0.57066374198177838</c:v>
                </c:pt>
                <c:pt idx="47">
                  <c:v>0.573975586818951</c:v>
                </c:pt>
                <c:pt idx="48">
                  <c:v>0.58178023265492662</c:v>
                </c:pt>
                <c:pt idx="49">
                  <c:v>0.58892609723211853</c:v>
                </c:pt>
                <c:pt idx="50">
                  <c:v>0.59434860972347159</c:v>
                </c:pt>
                <c:pt idx="51">
                  <c:v>0.59468550643131446</c:v>
                </c:pt>
                <c:pt idx="52">
                  <c:v>0.60202898917035941</c:v>
                </c:pt>
                <c:pt idx="53">
                  <c:v>0.61326745671333549</c:v>
                </c:pt>
                <c:pt idx="54">
                  <c:v>0.6112989503971592</c:v>
                </c:pt>
                <c:pt idx="55">
                  <c:v>0.61423966958422771</c:v>
                </c:pt>
                <c:pt idx="56">
                  <c:v>0.61006228785386851</c:v>
                </c:pt>
                <c:pt idx="57">
                  <c:v>0.615877741945138</c:v>
                </c:pt>
                <c:pt idx="58">
                  <c:v>0.61864746156337391</c:v>
                </c:pt>
                <c:pt idx="59">
                  <c:v>0.61404019966608048</c:v>
                </c:pt>
                <c:pt idx="60">
                  <c:v>0.61357941309484532</c:v>
                </c:pt>
                <c:pt idx="61">
                  <c:v>0.62011794036813961</c:v>
                </c:pt>
              </c:numCache>
            </c:numRef>
          </c:val>
          <c:smooth val="0"/>
        </c:ser>
        <c:dLbls>
          <c:showLegendKey val="0"/>
          <c:showVal val="0"/>
          <c:showCatName val="0"/>
          <c:showSerName val="0"/>
          <c:showPercent val="0"/>
          <c:showBubbleSize val="0"/>
        </c:dLbls>
        <c:marker val="1"/>
        <c:smooth val="0"/>
        <c:axId val="84526208"/>
        <c:axId val="84527744"/>
      </c:lineChart>
      <c:dateAx>
        <c:axId val="84526208"/>
        <c:scaling>
          <c:orientation val="minMax"/>
        </c:scaling>
        <c:delete val="0"/>
        <c:axPos val="b"/>
        <c:numFmt formatCode="mmm\-yyyy" sourceLinked="1"/>
        <c:majorTickMark val="out"/>
        <c:minorTickMark val="none"/>
        <c:tickLblPos val="nextTo"/>
        <c:crossAx val="84527744"/>
        <c:crosses val="autoZero"/>
        <c:auto val="0"/>
        <c:lblOffset val="100"/>
        <c:baseTimeUnit val="months"/>
        <c:majorUnit val="12"/>
        <c:majorTimeUnit val="months"/>
      </c:dateAx>
      <c:valAx>
        <c:axId val="84527744"/>
        <c:scaling>
          <c:orientation val="minMax"/>
          <c:max val="0.70000000000000007"/>
          <c:min val="0.30000000000000004"/>
        </c:scaling>
        <c:delete val="0"/>
        <c:axPos val="l"/>
        <c:majorGridlines/>
        <c:title>
          <c:tx>
            <c:rich>
              <a:bodyPr rot="0" vert="horz"/>
              <a:lstStyle/>
              <a:p>
                <a:pPr>
                  <a:defRPr/>
                </a:pPr>
                <a:r>
                  <a:rPr lang="en-AU"/>
                  <a:t>Refined domestic ownership</a:t>
                </a:r>
                <a:r>
                  <a:rPr lang="en-AU" baseline="0"/>
                  <a:t> share of Australian equity </a:t>
                </a:r>
              </a:p>
            </c:rich>
          </c:tx>
          <c:overlay val="0"/>
        </c:title>
        <c:numFmt formatCode="0.000" sourceLinked="1"/>
        <c:majorTickMark val="out"/>
        <c:minorTickMark val="none"/>
        <c:tickLblPos val="nextTo"/>
        <c:crossAx val="84526208"/>
        <c:crossesAt val="36770"/>
        <c:crossBetween val="midCat"/>
        <c:majorUnit val="5.000000000000001E-2"/>
        <c:minorUnit val="4.000000000000001E-3"/>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CE6272-E3EF-48C8-A47A-85A2E89F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84E06F20</Template>
  <TotalTime>0</TotalTime>
  <Pages>177</Pages>
  <Words>59150</Words>
  <Characters>337161</Characters>
  <Application>Microsoft Office Word</Application>
  <DocSecurity>0</DocSecurity>
  <Lines>2809</Lines>
  <Paragraphs>791</Paragraphs>
  <ScaleCrop>false</ScaleCrop>
  <Company/>
  <LinksUpToDate>false</LinksUpToDate>
  <CharactersWithSpaces>395520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2016-05-25T03:44:00Z</dcterms:created>
  <dcterms:modified xsi:type="dcterms:W3CDTF">2016-05-25T03:44:00Z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8677870</vt:lpwstr>
  </property>
</Properties>
</file>