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C9D1674" wp14:editId="5173139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43395D" w:rsidP="008F07A3">
          <w:pPr>
            <w:pStyle w:val="ReportSubtitle"/>
          </w:pPr>
          <w:r>
            <w:t>Australian Gas Networks</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5D03B1">
            <w:t>9</w:t>
          </w:r>
          <w:r w:rsidR="00DA4752">
            <w:t xml:space="preserve"> </w:t>
          </w:r>
          <w:r w:rsidR="00415F31">
            <w:rPr>
              <w:rFonts w:cs="Arial"/>
            </w:rPr>
            <w:t>–</w:t>
          </w:r>
          <w:r w:rsidR="00DA4752">
            <w:t xml:space="preserve"> </w:t>
          </w:r>
          <w:r w:rsidR="005D03B1">
            <w:t>Efficiency carryover mechanism</w:t>
          </w:r>
        </w:p>
        <w:p w:rsidR="000A6C7B" w:rsidRPr="00327A1E" w:rsidRDefault="00471F5A" w:rsidP="00327A1E">
          <w:pPr>
            <w:pStyle w:val="ReportDate"/>
          </w:pPr>
          <w:r>
            <w:t xml:space="preserve">May </w:t>
          </w:r>
          <w:r w:rsidR="00A2303E">
            <w:t>2016</w:t>
          </w:r>
        </w:p>
      </w:sdtContent>
    </w:sdt>
    <w:p w:rsidR="00327A1E" w:rsidRPr="00290C63" w:rsidRDefault="00327A1E" w:rsidP="00290C63">
      <w:r>
        <w:br w:type="page"/>
      </w:r>
    </w:p>
    <w:p w:rsidR="000A6C7B" w:rsidRDefault="00507769"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471F5A" w:rsidRDefault="000A6C7B" w:rsidP="00983C25">
      <w:pPr>
        <w:pStyle w:val="AERbulletlistfirststyle"/>
        <w:rPr>
          <w:sz w:val="20"/>
          <w:szCs w:val="20"/>
        </w:rPr>
      </w:pPr>
      <w:r w:rsidRPr="00471F5A">
        <w:t xml:space="preserve">the </w:t>
      </w:r>
      <w:r w:rsidRPr="00471F5A">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527466"/>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833BE3" w:rsidRPr="00833BE3" w:rsidRDefault="00833BE3" w:rsidP="00833BE3">
      <w:r w:rsidRPr="00833BE3">
        <w:t>This attachment forms part of the AER's final decision on the access arrangement for Australian Gas Networks South Australian distribution network for 2016–21. It should be read with all other parts of the final decision.</w:t>
      </w:r>
    </w:p>
    <w:p w:rsidR="00415F31" w:rsidRDefault="00415F31" w:rsidP="00833BE3">
      <w:r>
        <w:t xml:space="preserve">The </w:t>
      </w:r>
      <w:r w:rsidR="00A2303E">
        <w:t>final</w:t>
      </w:r>
      <w:r w:rsidR="005C0A7F">
        <w:t xml:space="preserve"> </w:t>
      </w:r>
      <w:r>
        <w:t>decision includes the following documents:</w:t>
      </w:r>
    </w:p>
    <w:p w:rsidR="00415F31" w:rsidRDefault="00415F31" w:rsidP="00833BE3">
      <w:r>
        <w:t>Overview</w:t>
      </w:r>
    </w:p>
    <w:p w:rsidR="0070011E" w:rsidRDefault="0070011E" w:rsidP="00833BE3">
      <w:r>
        <w:t xml:space="preserve">Attachment 1 - </w:t>
      </w:r>
      <w:r w:rsidR="00EE77FA">
        <w:t>Services covered by the access arrangement</w:t>
      </w:r>
    </w:p>
    <w:p w:rsidR="0070011E" w:rsidRDefault="0070011E" w:rsidP="00833BE3">
      <w:r>
        <w:t xml:space="preserve">Attachment 2 - </w:t>
      </w:r>
      <w:r w:rsidR="00EE77FA">
        <w:t>Capital base</w:t>
      </w:r>
    </w:p>
    <w:p w:rsidR="0070011E" w:rsidRDefault="0070011E" w:rsidP="00833BE3">
      <w:r>
        <w:t xml:space="preserve">Attachment 3 - </w:t>
      </w:r>
      <w:r w:rsidR="00EE77FA">
        <w:t>R</w:t>
      </w:r>
      <w:r>
        <w:t>ate of return</w:t>
      </w:r>
    </w:p>
    <w:p w:rsidR="0070011E" w:rsidRDefault="0070011E" w:rsidP="00833BE3">
      <w:r>
        <w:t>Attachment 4 - Value of imputation credits</w:t>
      </w:r>
    </w:p>
    <w:p w:rsidR="0070011E" w:rsidRDefault="0070011E" w:rsidP="00833BE3">
      <w:r>
        <w:t>Attachment 5 - Regulatory depreciation</w:t>
      </w:r>
    </w:p>
    <w:p w:rsidR="0070011E" w:rsidRDefault="0070011E" w:rsidP="00833BE3">
      <w:r>
        <w:t xml:space="preserve">Attachment 6 - Capital expenditure </w:t>
      </w:r>
    </w:p>
    <w:p w:rsidR="0070011E" w:rsidRDefault="0070011E" w:rsidP="00833BE3">
      <w:r>
        <w:t>Attachment 7 - Operating expenditure</w:t>
      </w:r>
    </w:p>
    <w:p w:rsidR="0070011E" w:rsidRDefault="0070011E" w:rsidP="00833BE3">
      <w:r>
        <w:t>Attachment 8 - Corporate income tax</w:t>
      </w:r>
    </w:p>
    <w:p w:rsidR="0070011E" w:rsidRDefault="0070011E" w:rsidP="00833BE3">
      <w:r>
        <w:t xml:space="preserve">Attachment 9 - Efficiency </w:t>
      </w:r>
      <w:r w:rsidR="00EE77FA">
        <w:t>carryover mechanism</w:t>
      </w:r>
    </w:p>
    <w:p w:rsidR="0070011E" w:rsidRDefault="0070011E" w:rsidP="00833BE3">
      <w:r>
        <w:t xml:space="preserve">Attachment 10 - </w:t>
      </w:r>
      <w:r w:rsidR="00EE77FA">
        <w:t>Reference tariff setting</w:t>
      </w:r>
    </w:p>
    <w:p w:rsidR="0070011E" w:rsidRDefault="0070011E" w:rsidP="00833BE3">
      <w:r>
        <w:t xml:space="preserve">Attachment 11 - </w:t>
      </w:r>
      <w:r w:rsidR="00EE77FA">
        <w:t>Reference tariff variation mechanism</w:t>
      </w:r>
    </w:p>
    <w:p w:rsidR="0070011E" w:rsidRDefault="0070011E" w:rsidP="00833BE3">
      <w:r>
        <w:t xml:space="preserve">Attachment 12 - </w:t>
      </w:r>
      <w:r w:rsidR="00EE77FA">
        <w:t>Non-tariff components</w:t>
      </w:r>
    </w:p>
    <w:p w:rsidR="0070011E" w:rsidRDefault="0070011E" w:rsidP="00833BE3">
      <w:r>
        <w:t xml:space="preserve">Attachment 13 - </w:t>
      </w:r>
      <w:r w:rsidR="00EE77FA">
        <w:t>Demand</w:t>
      </w:r>
    </w:p>
    <w:p w:rsidR="0043395D" w:rsidRDefault="0043395D" w:rsidP="00833BE3">
      <w:r>
        <w:t>Attachment 14 - Other incentive schemes</w:t>
      </w:r>
    </w:p>
    <w:p w:rsidR="00DE563D" w:rsidRPr="00A72B34" w:rsidRDefault="00DE563D" w:rsidP="00DE772C">
      <w:pPr>
        <w:pStyle w:val="UnnumberedHeading"/>
        <w:numPr>
          <w:ilvl w:val="0"/>
          <w:numId w:val="23"/>
        </w:numPr>
      </w:pPr>
      <w:bookmarkStart w:id="5" w:name="_Toc403144133"/>
      <w:bookmarkStart w:id="6" w:name="_Toc451527467"/>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6150FB"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527466" w:history="1">
            <w:r w:rsidR="006150FB" w:rsidRPr="002C2409">
              <w:rPr>
                <w:rStyle w:val="Hyperlink"/>
              </w:rPr>
              <w:t>Note</w:t>
            </w:r>
            <w:r w:rsidR="006150FB">
              <w:rPr>
                <w:webHidden/>
              </w:rPr>
              <w:tab/>
            </w:r>
            <w:r w:rsidR="006150FB">
              <w:rPr>
                <w:webHidden/>
              </w:rPr>
              <w:fldChar w:fldCharType="begin"/>
            </w:r>
            <w:r w:rsidR="006150FB">
              <w:rPr>
                <w:webHidden/>
              </w:rPr>
              <w:instrText xml:space="preserve"> PAGEREF _Toc451527466 \h </w:instrText>
            </w:r>
            <w:r w:rsidR="006150FB">
              <w:rPr>
                <w:webHidden/>
              </w:rPr>
            </w:r>
            <w:r w:rsidR="006150FB">
              <w:rPr>
                <w:webHidden/>
              </w:rPr>
              <w:fldChar w:fldCharType="separate"/>
            </w:r>
            <w:r w:rsidR="006150FB">
              <w:rPr>
                <w:webHidden/>
              </w:rPr>
              <w:t>9-2</w:t>
            </w:r>
            <w:r w:rsidR="006150FB">
              <w:rPr>
                <w:webHidden/>
              </w:rPr>
              <w:fldChar w:fldCharType="end"/>
            </w:r>
          </w:hyperlink>
        </w:p>
        <w:p w:rsidR="006150FB" w:rsidRDefault="006150FB">
          <w:pPr>
            <w:pStyle w:val="TOC1"/>
            <w:rPr>
              <w:rFonts w:asciiTheme="minorHAnsi" w:eastAsiaTheme="minorEastAsia" w:hAnsiTheme="minorHAnsi"/>
              <w:b w:val="0"/>
              <w:color w:val="auto"/>
              <w:sz w:val="22"/>
              <w:lang w:val="en-AU" w:eastAsia="en-AU"/>
            </w:rPr>
          </w:pPr>
          <w:hyperlink w:anchor="_Toc451527467" w:history="1">
            <w:r w:rsidRPr="002C2409">
              <w:rPr>
                <w:rStyle w:val="Hyperlink"/>
              </w:rPr>
              <w:t>Contents</w:t>
            </w:r>
            <w:r>
              <w:rPr>
                <w:webHidden/>
              </w:rPr>
              <w:tab/>
            </w:r>
            <w:r>
              <w:rPr>
                <w:webHidden/>
              </w:rPr>
              <w:fldChar w:fldCharType="begin"/>
            </w:r>
            <w:r>
              <w:rPr>
                <w:webHidden/>
              </w:rPr>
              <w:instrText xml:space="preserve"> PAGEREF _Toc451527467 \h </w:instrText>
            </w:r>
            <w:r>
              <w:rPr>
                <w:webHidden/>
              </w:rPr>
            </w:r>
            <w:r>
              <w:rPr>
                <w:webHidden/>
              </w:rPr>
              <w:fldChar w:fldCharType="separate"/>
            </w:r>
            <w:r>
              <w:rPr>
                <w:webHidden/>
              </w:rPr>
              <w:t>9-3</w:t>
            </w:r>
            <w:r>
              <w:rPr>
                <w:webHidden/>
              </w:rPr>
              <w:fldChar w:fldCharType="end"/>
            </w:r>
          </w:hyperlink>
        </w:p>
        <w:p w:rsidR="006150FB" w:rsidRDefault="006150FB">
          <w:pPr>
            <w:pStyle w:val="TOC1"/>
            <w:rPr>
              <w:rFonts w:asciiTheme="minorHAnsi" w:eastAsiaTheme="minorEastAsia" w:hAnsiTheme="minorHAnsi"/>
              <w:b w:val="0"/>
              <w:color w:val="auto"/>
              <w:sz w:val="22"/>
              <w:lang w:val="en-AU" w:eastAsia="en-AU"/>
            </w:rPr>
          </w:pPr>
          <w:hyperlink w:anchor="_Toc451527468" w:history="1">
            <w:r w:rsidRPr="002C2409">
              <w:rPr>
                <w:rStyle w:val="Hyperlink"/>
              </w:rPr>
              <w:t>Shortened forms</w:t>
            </w:r>
            <w:r>
              <w:rPr>
                <w:webHidden/>
              </w:rPr>
              <w:tab/>
            </w:r>
            <w:r>
              <w:rPr>
                <w:webHidden/>
              </w:rPr>
              <w:fldChar w:fldCharType="begin"/>
            </w:r>
            <w:r>
              <w:rPr>
                <w:webHidden/>
              </w:rPr>
              <w:instrText xml:space="preserve"> PAGEREF _Toc451527468 \h </w:instrText>
            </w:r>
            <w:r>
              <w:rPr>
                <w:webHidden/>
              </w:rPr>
            </w:r>
            <w:r>
              <w:rPr>
                <w:webHidden/>
              </w:rPr>
              <w:fldChar w:fldCharType="separate"/>
            </w:r>
            <w:r>
              <w:rPr>
                <w:webHidden/>
              </w:rPr>
              <w:t>9-4</w:t>
            </w:r>
            <w:r>
              <w:rPr>
                <w:webHidden/>
              </w:rPr>
              <w:fldChar w:fldCharType="end"/>
            </w:r>
          </w:hyperlink>
        </w:p>
        <w:p w:rsidR="006150FB" w:rsidRDefault="006150FB">
          <w:pPr>
            <w:pStyle w:val="TOC1"/>
            <w:rPr>
              <w:rFonts w:asciiTheme="minorHAnsi" w:eastAsiaTheme="minorEastAsia" w:hAnsiTheme="minorHAnsi"/>
              <w:b w:val="0"/>
              <w:color w:val="auto"/>
              <w:sz w:val="22"/>
              <w:lang w:val="en-AU" w:eastAsia="en-AU"/>
            </w:rPr>
          </w:pPr>
          <w:hyperlink w:anchor="_Toc451527469" w:history="1">
            <w:r w:rsidRPr="002C2409">
              <w:rPr>
                <w:rStyle w:val="Hyperlink"/>
              </w:rPr>
              <w:t>9</w:t>
            </w:r>
            <w:r>
              <w:rPr>
                <w:rFonts w:asciiTheme="minorHAnsi" w:eastAsiaTheme="minorEastAsia" w:hAnsiTheme="minorHAnsi"/>
                <w:b w:val="0"/>
                <w:color w:val="auto"/>
                <w:sz w:val="22"/>
                <w:lang w:val="en-AU" w:eastAsia="en-AU"/>
              </w:rPr>
              <w:tab/>
            </w:r>
            <w:r w:rsidRPr="002C2409">
              <w:rPr>
                <w:rStyle w:val="Hyperlink"/>
              </w:rPr>
              <w:t>Efficiency carryover mechanism</w:t>
            </w:r>
            <w:r>
              <w:rPr>
                <w:webHidden/>
              </w:rPr>
              <w:tab/>
            </w:r>
            <w:r>
              <w:rPr>
                <w:webHidden/>
              </w:rPr>
              <w:fldChar w:fldCharType="begin"/>
            </w:r>
            <w:r>
              <w:rPr>
                <w:webHidden/>
              </w:rPr>
              <w:instrText xml:space="preserve"> PAGEREF _Toc451527469 \h </w:instrText>
            </w:r>
            <w:r>
              <w:rPr>
                <w:webHidden/>
              </w:rPr>
            </w:r>
            <w:r>
              <w:rPr>
                <w:webHidden/>
              </w:rPr>
              <w:fldChar w:fldCharType="separate"/>
            </w:r>
            <w:r>
              <w:rPr>
                <w:webHidden/>
              </w:rPr>
              <w:t>9-6</w:t>
            </w:r>
            <w:r>
              <w:rPr>
                <w:webHidden/>
              </w:rPr>
              <w:fldChar w:fldCharType="end"/>
            </w:r>
          </w:hyperlink>
        </w:p>
        <w:p w:rsidR="006150FB" w:rsidRDefault="006150FB">
          <w:pPr>
            <w:pStyle w:val="TOC2"/>
            <w:rPr>
              <w:rFonts w:asciiTheme="minorHAnsi" w:eastAsiaTheme="minorEastAsia" w:hAnsiTheme="minorHAnsi"/>
              <w:b w:val="0"/>
              <w:color w:val="auto"/>
              <w:sz w:val="22"/>
              <w:lang w:eastAsia="en-AU"/>
            </w:rPr>
          </w:pPr>
          <w:hyperlink w:anchor="_Toc451527470" w:history="1">
            <w:r w:rsidRPr="002C2409">
              <w:rPr>
                <w:rStyle w:val="Hyperlink"/>
              </w:rPr>
              <w:t>9.1</w:t>
            </w:r>
            <w:r>
              <w:rPr>
                <w:rFonts w:asciiTheme="minorHAnsi" w:eastAsiaTheme="minorEastAsia" w:hAnsiTheme="minorHAnsi"/>
                <w:b w:val="0"/>
                <w:color w:val="auto"/>
                <w:sz w:val="22"/>
                <w:lang w:eastAsia="en-AU"/>
              </w:rPr>
              <w:tab/>
            </w:r>
            <w:r w:rsidRPr="002C2409">
              <w:rPr>
                <w:rStyle w:val="Hyperlink"/>
              </w:rPr>
              <w:t>Final decision</w:t>
            </w:r>
            <w:r>
              <w:rPr>
                <w:webHidden/>
              </w:rPr>
              <w:tab/>
            </w:r>
            <w:r>
              <w:rPr>
                <w:webHidden/>
              </w:rPr>
              <w:fldChar w:fldCharType="begin"/>
            </w:r>
            <w:r>
              <w:rPr>
                <w:webHidden/>
              </w:rPr>
              <w:instrText xml:space="preserve"> PAGEREF _Toc451527470 \h </w:instrText>
            </w:r>
            <w:r>
              <w:rPr>
                <w:webHidden/>
              </w:rPr>
            </w:r>
            <w:r>
              <w:rPr>
                <w:webHidden/>
              </w:rPr>
              <w:fldChar w:fldCharType="separate"/>
            </w:r>
            <w:r>
              <w:rPr>
                <w:webHidden/>
              </w:rPr>
              <w:t>9-6</w:t>
            </w:r>
            <w:r>
              <w:rPr>
                <w:webHidden/>
              </w:rPr>
              <w:fldChar w:fldCharType="end"/>
            </w:r>
          </w:hyperlink>
        </w:p>
        <w:p w:rsidR="006150FB" w:rsidRDefault="006150FB">
          <w:pPr>
            <w:pStyle w:val="TOC3"/>
            <w:rPr>
              <w:rFonts w:asciiTheme="minorHAnsi" w:eastAsiaTheme="minorEastAsia" w:hAnsiTheme="minorHAnsi"/>
              <w:lang w:eastAsia="en-AU"/>
            </w:rPr>
          </w:pPr>
          <w:hyperlink w:anchor="_Toc451527471" w:history="1">
            <w:r w:rsidRPr="002C2409">
              <w:rPr>
                <w:rStyle w:val="Hyperlink"/>
              </w:rPr>
              <w:t>9.1.1</w:t>
            </w:r>
            <w:r>
              <w:rPr>
                <w:rFonts w:asciiTheme="minorHAnsi" w:eastAsiaTheme="minorEastAsia" w:hAnsiTheme="minorHAnsi"/>
                <w:lang w:eastAsia="en-AU"/>
              </w:rPr>
              <w:tab/>
            </w:r>
            <w:r w:rsidRPr="002C2409">
              <w:rPr>
                <w:rStyle w:val="Hyperlink"/>
              </w:rPr>
              <w:t>Carryover amounts from the 2011–16 period</w:t>
            </w:r>
            <w:r>
              <w:rPr>
                <w:webHidden/>
              </w:rPr>
              <w:tab/>
            </w:r>
            <w:r>
              <w:rPr>
                <w:webHidden/>
              </w:rPr>
              <w:fldChar w:fldCharType="begin"/>
            </w:r>
            <w:r>
              <w:rPr>
                <w:webHidden/>
              </w:rPr>
              <w:instrText xml:space="preserve"> PAGEREF _Toc451527471 \h </w:instrText>
            </w:r>
            <w:r>
              <w:rPr>
                <w:webHidden/>
              </w:rPr>
            </w:r>
            <w:r>
              <w:rPr>
                <w:webHidden/>
              </w:rPr>
              <w:fldChar w:fldCharType="separate"/>
            </w:r>
            <w:r>
              <w:rPr>
                <w:webHidden/>
              </w:rPr>
              <w:t>9-6</w:t>
            </w:r>
            <w:r>
              <w:rPr>
                <w:webHidden/>
              </w:rPr>
              <w:fldChar w:fldCharType="end"/>
            </w:r>
          </w:hyperlink>
        </w:p>
        <w:p w:rsidR="006150FB" w:rsidRDefault="006150FB">
          <w:pPr>
            <w:pStyle w:val="TOC3"/>
            <w:rPr>
              <w:rFonts w:asciiTheme="minorHAnsi" w:eastAsiaTheme="minorEastAsia" w:hAnsiTheme="minorHAnsi"/>
              <w:lang w:eastAsia="en-AU"/>
            </w:rPr>
          </w:pPr>
          <w:hyperlink w:anchor="_Toc451527472" w:history="1">
            <w:r w:rsidRPr="002C2409">
              <w:rPr>
                <w:rStyle w:val="Hyperlink"/>
              </w:rPr>
              <w:t>9.1.2</w:t>
            </w:r>
            <w:r>
              <w:rPr>
                <w:rFonts w:asciiTheme="minorHAnsi" w:eastAsiaTheme="minorEastAsia" w:hAnsiTheme="minorHAnsi"/>
                <w:lang w:eastAsia="en-AU"/>
              </w:rPr>
              <w:tab/>
            </w:r>
            <w:r w:rsidRPr="002C2409">
              <w:rPr>
                <w:rStyle w:val="Hyperlink"/>
              </w:rPr>
              <w:t>Incentive mechanism for the 2016–21 period</w:t>
            </w:r>
            <w:r>
              <w:rPr>
                <w:webHidden/>
              </w:rPr>
              <w:tab/>
            </w:r>
            <w:r>
              <w:rPr>
                <w:webHidden/>
              </w:rPr>
              <w:fldChar w:fldCharType="begin"/>
            </w:r>
            <w:r>
              <w:rPr>
                <w:webHidden/>
              </w:rPr>
              <w:instrText xml:space="preserve"> PAGEREF _Toc451527472 \h </w:instrText>
            </w:r>
            <w:r>
              <w:rPr>
                <w:webHidden/>
              </w:rPr>
            </w:r>
            <w:r>
              <w:rPr>
                <w:webHidden/>
              </w:rPr>
              <w:fldChar w:fldCharType="separate"/>
            </w:r>
            <w:r>
              <w:rPr>
                <w:webHidden/>
              </w:rPr>
              <w:t>9-7</w:t>
            </w:r>
            <w:r>
              <w:rPr>
                <w:webHidden/>
              </w:rPr>
              <w:fldChar w:fldCharType="end"/>
            </w:r>
          </w:hyperlink>
        </w:p>
        <w:p w:rsidR="006150FB" w:rsidRDefault="006150FB">
          <w:pPr>
            <w:pStyle w:val="TOC2"/>
            <w:rPr>
              <w:rFonts w:asciiTheme="minorHAnsi" w:eastAsiaTheme="minorEastAsia" w:hAnsiTheme="minorHAnsi"/>
              <w:b w:val="0"/>
              <w:color w:val="auto"/>
              <w:sz w:val="22"/>
              <w:lang w:eastAsia="en-AU"/>
            </w:rPr>
          </w:pPr>
          <w:hyperlink w:anchor="_Toc451527473" w:history="1">
            <w:r w:rsidRPr="002C2409">
              <w:rPr>
                <w:rStyle w:val="Hyperlink"/>
              </w:rPr>
              <w:t>9.2</w:t>
            </w:r>
            <w:r>
              <w:rPr>
                <w:rFonts w:asciiTheme="minorHAnsi" w:eastAsiaTheme="minorEastAsia" w:hAnsiTheme="minorHAnsi"/>
                <w:b w:val="0"/>
                <w:color w:val="auto"/>
                <w:sz w:val="22"/>
                <w:lang w:eastAsia="en-AU"/>
              </w:rPr>
              <w:tab/>
            </w:r>
            <w:r w:rsidRPr="002C2409">
              <w:rPr>
                <w:rStyle w:val="Hyperlink"/>
              </w:rPr>
              <w:t>AGN's revised proposal</w:t>
            </w:r>
            <w:r>
              <w:rPr>
                <w:webHidden/>
              </w:rPr>
              <w:tab/>
            </w:r>
            <w:r>
              <w:rPr>
                <w:webHidden/>
              </w:rPr>
              <w:fldChar w:fldCharType="begin"/>
            </w:r>
            <w:r>
              <w:rPr>
                <w:webHidden/>
              </w:rPr>
              <w:instrText xml:space="preserve"> PAGEREF _Toc451527473 \h </w:instrText>
            </w:r>
            <w:r>
              <w:rPr>
                <w:webHidden/>
              </w:rPr>
            </w:r>
            <w:r>
              <w:rPr>
                <w:webHidden/>
              </w:rPr>
              <w:fldChar w:fldCharType="separate"/>
            </w:r>
            <w:r>
              <w:rPr>
                <w:webHidden/>
              </w:rPr>
              <w:t>9-7</w:t>
            </w:r>
            <w:r>
              <w:rPr>
                <w:webHidden/>
              </w:rPr>
              <w:fldChar w:fldCharType="end"/>
            </w:r>
          </w:hyperlink>
        </w:p>
        <w:p w:rsidR="006150FB" w:rsidRDefault="006150FB">
          <w:pPr>
            <w:pStyle w:val="TOC3"/>
            <w:rPr>
              <w:rFonts w:asciiTheme="minorHAnsi" w:eastAsiaTheme="minorEastAsia" w:hAnsiTheme="minorHAnsi"/>
              <w:lang w:eastAsia="en-AU"/>
            </w:rPr>
          </w:pPr>
          <w:hyperlink w:anchor="_Toc451527474" w:history="1">
            <w:r w:rsidRPr="002C2409">
              <w:rPr>
                <w:rStyle w:val="Hyperlink"/>
              </w:rPr>
              <w:t>9.2.1</w:t>
            </w:r>
            <w:r>
              <w:rPr>
                <w:rFonts w:asciiTheme="minorHAnsi" w:eastAsiaTheme="minorEastAsia" w:hAnsiTheme="minorHAnsi"/>
                <w:lang w:eastAsia="en-AU"/>
              </w:rPr>
              <w:tab/>
            </w:r>
            <w:r w:rsidRPr="002C2409">
              <w:rPr>
                <w:rStyle w:val="Hyperlink"/>
              </w:rPr>
              <w:t>Carryover amounts from the 2011–16 period</w:t>
            </w:r>
            <w:r>
              <w:rPr>
                <w:webHidden/>
              </w:rPr>
              <w:tab/>
            </w:r>
            <w:r>
              <w:rPr>
                <w:webHidden/>
              </w:rPr>
              <w:fldChar w:fldCharType="begin"/>
            </w:r>
            <w:r>
              <w:rPr>
                <w:webHidden/>
              </w:rPr>
              <w:instrText xml:space="preserve"> PAGEREF _Toc451527474 \h </w:instrText>
            </w:r>
            <w:r>
              <w:rPr>
                <w:webHidden/>
              </w:rPr>
            </w:r>
            <w:r>
              <w:rPr>
                <w:webHidden/>
              </w:rPr>
              <w:fldChar w:fldCharType="separate"/>
            </w:r>
            <w:r>
              <w:rPr>
                <w:webHidden/>
              </w:rPr>
              <w:t>9-7</w:t>
            </w:r>
            <w:r>
              <w:rPr>
                <w:webHidden/>
              </w:rPr>
              <w:fldChar w:fldCharType="end"/>
            </w:r>
          </w:hyperlink>
        </w:p>
        <w:p w:rsidR="006150FB" w:rsidRDefault="006150FB">
          <w:pPr>
            <w:pStyle w:val="TOC3"/>
            <w:rPr>
              <w:rFonts w:asciiTheme="minorHAnsi" w:eastAsiaTheme="minorEastAsia" w:hAnsiTheme="minorHAnsi"/>
              <w:lang w:eastAsia="en-AU"/>
            </w:rPr>
          </w:pPr>
          <w:hyperlink w:anchor="_Toc451527475" w:history="1">
            <w:r w:rsidRPr="002C2409">
              <w:rPr>
                <w:rStyle w:val="Hyperlink"/>
              </w:rPr>
              <w:t>9.2.2</w:t>
            </w:r>
            <w:r>
              <w:rPr>
                <w:rFonts w:asciiTheme="minorHAnsi" w:eastAsiaTheme="minorEastAsia" w:hAnsiTheme="minorHAnsi"/>
                <w:lang w:eastAsia="en-AU"/>
              </w:rPr>
              <w:tab/>
            </w:r>
            <w:r w:rsidRPr="002C2409">
              <w:rPr>
                <w:rStyle w:val="Hyperlink"/>
              </w:rPr>
              <w:t>Incentive mechanism for the 2016–21 period</w:t>
            </w:r>
            <w:r>
              <w:rPr>
                <w:webHidden/>
              </w:rPr>
              <w:tab/>
            </w:r>
            <w:r>
              <w:rPr>
                <w:webHidden/>
              </w:rPr>
              <w:fldChar w:fldCharType="begin"/>
            </w:r>
            <w:r>
              <w:rPr>
                <w:webHidden/>
              </w:rPr>
              <w:instrText xml:space="preserve"> PAGEREF _Toc451527475 \h </w:instrText>
            </w:r>
            <w:r>
              <w:rPr>
                <w:webHidden/>
              </w:rPr>
            </w:r>
            <w:r>
              <w:rPr>
                <w:webHidden/>
              </w:rPr>
              <w:fldChar w:fldCharType="separate"/>
            </w:r>
            <w:r>
              <w:rPr>
                <w:webHidden/>
              </w:rPr>
              <w:t>9-8</w:t>
            </w:r>
            <w:r>
              <w:rPr>
                <w:webHidden/>
              </w:rPr>
              <w:fldChar w:fldCharType="end"/>
            </w:r>
          </w:hyperlink>
        </w:p>
        <w:p w:rsidR="006150FB" w:rsidRDefault="006150FB">
          <w:pPr>
            <w:pStyle w:val="TOC2"/>
            <w:rPr>
              <w:rFonts w:asciiTheme="minorHAnsi" w:eastAsiaTheme="minorEastAsia" w:hAnsiTheme="minorHAnsi"/>
              <w:b w:val="0"/>
              <w:color w:val="auto"/>
              <w:sz w:val="22"/>
              <w:lang w:eastAsia="en-AU"/>
            </w:rPr>
          </w:pPr>
          <w:hyperlink w:anchor="_Toc451527476" w:history="1">
            <w:r w:rsidRPr="002C2409">
              <w:rPr>
                <w:rStyle w:val="Hyperlink"/>
              </w:rPr>
              <w:t>9.3</w:t>
            </w:r>
            <w:r>
              <w:rPr>
                <w:rFonts w:asciiTheme="minorHAnsi" w:eastAsiaTheme="minorEastAsia" w:hAnsiTheme="minorHAnsi"/>
                <w:b w:val="0"/>
                <w:color w:val="auto"/>
                <w:sz w:val="22"/>
                <w:lang w:eastAsia="en-AU"/>
              </w:rPr>
              <w:tab/>
            </w:r>
            <w:r w:rsidRPr="002C2409">
              <w:rPr>
                <w:rStyle w:val="Hyperlink"/>
              </w:rPr>
              <w:t>AER's assessment approach</w:t>
            </w:r>
            <w:r>
              <w:rPr>
                <w:webHidden/>
              </w:rPr>
              <w:tab/>
            </w:r>
            <w:r>
              <w:rPr>
                <w:webHidden/>
              </w:rPr>
              <w:fldChar w:fldCharType="begin"/>
            </w:r>
            <w:r>
              <w:rPr>
                <w:webHidden/>
              </w:rPr>
              <w:instrText xml:space="preserve"> PAGEREF _Toc451527476 \h </w:instrText>
            </w:r>
            <w:r>
              <w:rPr>
                <w:webHidden/>
              </w:rPr>
            </w:r>
            <w:r>
              <w:rPr>
                <w:webHidden/>
              </w:rPr>
              <w:fldChar w:fldCharType="separate"/>
            </w:r>
            <w:r>
              <w:rPr>
                <w:webHidden/>
              </w:rPr>
              <w:t>9-8</w:t>
            </w:r>
            <w:r>
              <w:rPr>
                <w:webHidden/>
              </w:rPr>
              <w:fldChar w:fldCharType="end"/>
            </w:r>
          </w:hyperlink>
        </w:p>
        <w:p w:rsidR="006150FB" w:rsidRDefault="006150FB">
          <w:pPr>
            <w:pStyle w:val="TOC2"/>
            <w:rPr>
              <w:rFonts w:asciiTheme="minorHAnsi" w:eastAsiaTheme="minorEastAsia" w:hAnsiTheme="minorHAnsi"/>
              <w:b w:val="0"/>
              <w:color w:val="auto"/>
              <w:sz w:val="22"/>
              <w:lang w:eastAsia="en-AU"/>
            </w:rPr>
          </w:pPr>
          <w:hyperlink w:anchor="_Toc451527477" w:history="1">
            <w:r w:rsidRPr="002C2409">
              <w:rPr>
                <w:rStyle w:val="Hyperlink"/>
              </w:rPr>
              <w:t>9.4</w:t>
            </w:r>
            <w:r>
              <w:rPr>
                <w:rFonts w:asciiTheme="minorHAnsi" w:eastAsiaTheme="minorEastAsia" w:hAnsiTheme="minorHAnsi"/>
                <w:b w:val="0"/>
                <w:color w:val="auto"/>
                <w:sz w:val="22"/>
                <w:lang w:eastAsia="en-AU"/>
              </w:rPr>
              <w:tab/>
            </w:r>
            <w:r w:rsidRPr="002C2409">
              <w:rPr>
                <w:rStyle w:val="Hyperlink"/>
              </w:rPr>
              <w:t>Reasons for final decision</w:t>
            </w:r>
            <w:r>
              <w:rPr>
                <w:webHidden/>
              </w:rPr>
              <w:tab/>
            </w:r>
            <w:r>
              <w:rPr>
                <w:webHidden/>
              </w:rPr>
              <w:fldChar w:fldCharType="begin"/>
            </w:r>
            <w:r>
              <w:rPr>
                <w:webHidden/>
              </w:rPr>
              <w:instrText xml:space="preserve"> PAGEREF _Toc451527477 \h </w:instrText>
            </w:r>
            <w:r>
              <w:rPr>
                <w:webHidden/>
              </w:rPr>
            </w:r>
            <w:r>
              <w:rPr>
                <w:webHidden/>
              </w:rPr>
              <w:fldChar w:fldCharType="separate"/>
            </w:r>
            <w:r>
              <w:rPr>
                <w:webHidden/>
              </w:rPr>
              <w:t>9-8</w:t>
            </w:r>
            <w:r>
              <w:rPr>
                <w:webHidden/>
              </w:rPr>
              <w:fldChar w:fldCharType="end"/>
            </w:r>
          </w:hyperlink>
        </w:p>
        <w:p w:rsidR="006150FB" w:rsidRDefault="006150FB">
          <w:pPr>
            <w:pStyle w:val="TOC3"/>
            <w:rPr>
              <w:rFonts w:asciiTheme="minorHAnsi" w:eastAsiaTheme="minorEastAsia" w:hAnsiTheme="minorHAnsi"/>
              <w:lang w:eastAsia="en-AU"/>
            </w:rPr>
          </w:pPr>
          <w:hyperlink w:anchor="_Toc451527478" w:history="1">
            <w:r w:rsidRPr="002C2409">
              <w:rPr>
                <w:rStyle w:val="Hyperlink"/>
              </w:rPr>
              <w:t>9.4.1</w:t>
            </w:r>
            <w:r>
              <w:rPr>
                <w:rFonts w:asciiTheme="minorHAnsi" w:eastAsiaTheme="minorEastAsia" w:hAnsiTheme="minorHAnsi"/>
                <w:lang w:eastAsia="en-AU"/>
              </w:rPr>
              <w:tab/>
            </w:r>
            <w:r w:rsidRPr="002C2409">
              <w:rPr>
                <w:rStyle w:val="Hyperlink"/>
              </w:rPr>
              <w:t>Carryover amounts from the 2011–16 period</w:t>
            </w:r>
            <w:r>
              <w:rPr>
                <w:webHidden/>
              </w:rPr>
              <w:tab/>
            </w:r>
            <w:r>
              <w:rPr>
                <w:webHidden/>
              </w:rPr>
              <w:fldChar w:fldCharType="begin"/>
            </w:r>
            <w:r>
              <w:rPr>
                <w:webHidden/>
              </w:rPr>
              <w:instrText xml:space="preserve"> PAGEREF _Toc451527478 \h </w:instrText>
            </w:r>
            <w:r>
              <w:rPr>
                <w:webHidden/>
              </w:rPr>
            </w:r>
            <w:r>
              <w:rPr>
                <w:webHidden/>
              </w:rPr>
              <w:fldChar w:fldCharType="separate"/>
            </w:r>
            <w:r>
              <w:rPr>
                <w:webHidden/>
              </w:rPr>
              <w:t>9-8</w:t>
            </w:r>
            <w:r>
              <w:rPr>
                <w:webHidden/>
              </w:rPr>
              <w:fldChar w:fldCharType="end"/>
            </w:r>
          </w:hyperlink>
        </w:p>
        <w:p w:rsidR="006150FB" w:rsidRDefault="006150FB">
          <w:pPr>
            <w:pStyle w:val="TOC3"/>
            <w:rPr>
              <w:rFonts w:asciiTheme="minorHAnsi" w:eastAsiaTheme="minorEastAsia" w:hAnsiTheme="minorHAnsi"/>
              <w:lang w:eastAsia="en-AU"/>
            </w:rPr>
          </w:pPr>
          <w:hyperlink w:anchor="_Toc451527479" w:history="1">
            <w:r w:rsidRPr="002C2409">
              <w:rPr>
                <w:rStyle w:val="Hyperlink"/>
              </w:rPr>
              <w:t>9.4.2</w:t>
            </w:r>
            <w:r>
              <w:rPr>
                <w:rFonts w:asciiTheme="minorHAnsi" w:eastAsiaTheme="minorEastAsia" w:hAnsiTheme="minorHAnsi"/>
                <w:lang w:eastAsia="en-AU"/>
              </w:rPr>
              <w:tab/>
            </w:r>
            <w:r w:rsidRPr="002C2409">
              <w:rPr>
                <w:rStyle w:val="Hyperlink"/>
              </w:rPr>
              <w:t>Incentive mechanism for the 2016–21 period</w:t>
            </w:r>
            <w:r>
              <w:rPr>
                <w:webHidden/>
              </w:rPr>
              <w:tab/>
            </w:r>
            <w:r>
              <w:rPr>
                <w:webHidden/>
              </w:rPr>
              <w:fldChar w:fldCharType="begin"/>
            </w:r>
            <w:r>
              <w:rPr>
                <w:webHidden/>
              </w:rPr>
              <w:instrText xml:space="preserve"> PAGEREF _Toc451527479 \h </w:instrText>
            </w:r>
            <w:r>
              <w:rPr>
                <w:webHidden/>
              </w:rPr>
            </w:r>
            <w:r>
              <w:rPr>
                <w:webHidden/>
              </w:rPr>
              <w:fldChar w:fldCharType="separate"/>
            </w:r>
            <w:r>
              <w:rPr>
                <w:webHidden/>
              </w:rPr>
              <w:t>9-8</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527468"/>
      <w:r>
        <w:lastRenderedPageBreak/>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E8018B" w:rsidTr="00E801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Shortened form</w:t>
            </w:r>
          </w:p>
        </w:tc>
        <w:tc>
          <w:tcPr>
            <w:tcW w:w="5041" w:type="dxa"/>
            <w:tcBorders>
              <w:top w:val="nil"/>
              <w:left w:val="nil"/>
              <w:bottom w:val="nil"/>
              <w:right w:val="nil"/>
            </w:tcBorders>
            <w:hideMark/>
          </w:tcPr>
          <w:p w:rsidR="00E8018B" w:rsidRPr="00E8018B" w:rsidRDefault="00E8018B" w:rsidP="00E8018B">
            <w:pPr>
              <w:numPr>
                <w:ilvl w:val="0"/>
                <w:numId w:val="24"/>
              </w:numPr>
              <w:cnfStyle w:val="100000000000" w:firstRow="1" w:lastRow="0" w:firstColumn="0" w:lastColumn="0" w:oddVBand="0" w:evenVBand="0" w:oddHBand="0" w:evenHBand="0" w:firstRowFirstColumn="0" w:firstRowLastColumn="0" w:lastRowFirstColumn="0" w:lastRowLastColumn="0"/>
            </w:pPr>
            <w:r w:rsidRPr="00E8018B">
              <w:t>Extended form</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AA</w:t>
            </w:r>
          </w:p>
        </w:tc>
        <w:tc>
          <w:tcPr>
            <w:tcW w:w="5041" w:type="dxa"/>
            <w:tcBorders>
              <w:top w:val="nil"/>
              <w:left w:val="nil"/>
              <w:bottom w:val="nil"/>
              <w:right w:val="nil"/>
            </w:tcBorders>
            <w:hideMark/>
          </w:tcPr>
          <w:p w:rsidR="00E8018B" w:rsidRPr="00E8018B" w:rsidRDefault="00E8018B" w:rsidP="00E8018B">
            <w:pPr>
              <w:cnfStyle w:val="000000000000" w:firstRow="0" w:lastRow="0" w:firstColumn="0" w:lastColumn="0" w:oddVBand="0" w:evenVBand="0" w:oddHBand="0" w:evenHBand="0" w:firstRowFirstColumn="0" w:firstRowLastColumn="0" w:lastRowFirstColumn="0" w:lastRowLastColumn="0"/>
            </w:pPr>
            <w:r w:rsidRPr="00E8018B">
              <w:t>Access Arrangement</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AAI</w:t>
            </w:r>
          </w:p>
        </w:tc>
        <w:tc>
          <w:tcPr>
            <w:tcW w:w="5041" w:type="dxa"/>
            <w:tcBorders>
              <w:top w:val="nil"/>
              <w:left w:val="nil"/>
              <w:bottom w:val="nil"/>
              <w:right w:val="nil"/>
            </w:tcBorders>
            <w:hideMark/>
          </w:tcPr>
          <w:p w:rsidR="00E8018B" w:rsidRPr="00E8018B" w:rsidRDefault="00E8018B" w:rsidP="00E8018B">
            <w:pPr>
              <w:cnfStyle w:val="000000010000" w:firstRow="0" w:lastRow="0" w:firstColumn="0" w:lastColumn="0" w:oddVBand="0" w:evenVBand="0" w:oddHBand="0" w:evenHBand="1" w:firstRowFirstColumn="0" w:firstRowLastColumn="0" w:lastRowFirstColumn="0" w:lastRowLastColumn="0"/>
            </w:pPr>
            <w:r w:rsidRPr="00E8018B">
              <w:t>Access Arrangement Information</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AER</w:t>
            </w:r>
          </w:p>
        </w:tc>
        <w:tc>
          <w:tcPr>
            <w:tcW w:w="5041" w:type="dxa"/>
            <w:tcBorders>
              <w:top w:val="nil"/>
              <w:left w:val="nil"/>
              <w:bottom w:val="nil"/>
              <w:right w:val="nil"/>
            </w:tcBorders>
            <w:hideMark/>
          </w:tcPr>
          <w:p w:rsidR="00E8018B" w:rsidRPr="00E8018B" w:rsidRDefault="00E8018B" w:rsidP="00E8018B">
            <w:pPr>
              <w:numPr>
                <w:ilvl w:val="0"/>
                <w:numId w:val="24"/>
              </w:numPr>
              <w:cnfStyle w:val="000000000000" w:firstRow="0" w:lastRow="0" w:firstColumn="0" w:lastColumn="0" w:oddVBand="0" w:evenVBand="0" w:oddHBand="0" w:evenHBand="0" w:firstRowFirstColumn="0" w:firstRowLastColumn="0" w:lastRowFirstColumn="0" w:lastRowLastColumn="0"/>
            </w:pPr>
            <w:r w:rsidRPr="00E8018B">
              <w:t>Australian Energy Regulator</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AGN</w:t>
            </w:r>
          </w:p>
        </w:tc>
        <w:tc>
          <w:tcPr>
            <w:tcW w:w="5041" w:type="dxa"/>
            <w:tcBorders>
              <w:top w:val="nil"/>
              <w:left w:val="nil"/>
              <w:bottom w:val="nil"/>
              <w:right w:val="nil"/>
            </w:tcBorders>
            <w:hideMark/>
          </w:tcPr>
          <w:p w:rsidR="00E8018B" w:rsidRPr="00E8018B" w:rsidRDefault="00E8018B" w:rsidP="00E8018B">
            <w:pPr>
              <w:cnfStyle w:val="000000010000" w:firstRow="0" w:lastRow="0" w:firstColumn="0" w:lastColumn="0" w:oddVBand="0" w:evenVBand="0" w:oddHBand="0" w:evenHBand="1" w:firstRowFirstColumn="0" w:firstRowLastColumn="0" w:lastRowFirstColumn="0" w:lastRowLastColumn="0"/>
            </w:pPr>
            <w:r w:rsidRPr="00E8018B">
              <w:t>Australian Gas Networks</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ATO</w:t>
            </w:r>
          </w:p>
        </w:tc>
        <w:tc>
          <w:tcPr>
            <w:tcW w:w="5041" w:type="dxa"/>
            <w:tcBorders>
              <w:top w:val="nil"/>
              <w:left w:val="nil"/>
              <w:bottom w:val="nil"/>
              <w:right w:val="nil"/>
            </w:tcBorders>
            <w:hideMark/>
          </w:tcPr>
          <w:p w:rsidR="00E8018B" w:rsidRPr="00E8018B" w:rsidRDefault="00E8018B" w:rsidP="00E8018B">
            <w:pPr>
              <w:cnfStyle w:val="000000000000" w:firstRow="0" w:lastRow="0" w:firstColumn="0" w:lastColumn="0" w:oddVBand="0" w:evenVBand="0" w:oddHBand="0" w:evenHBand="0" w:firstRowFirstColumn="0" w:firstRowLastColumn="0" w:lastRowFirstColumn="0" w:lastRowLastColumn="0"/>
            </w:pPr>
            <w:r w:rsidRPr="00E8018B">
              <w:t>Australian Tax Office</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capex</w:t>
            </w:r>
          </w:p>
        </w:tc>
        <w:tc>
          <w:tcPr>
            <w:tcW w:w="5041" w:type="dxa"/>
            <w:tcBorders>
              <w:top w:val="nil"/>
              <w:left w:val="nil"/>
              <w:bottom w:val="nil"/>
              <w:right w:val="nil"/>
            </w:tcBorders>
            <w:hideMark/>
          </w:tcPr>
          <w:p w:rsidR="00E8018B" w:rsidRPr="00E8018B" w:rsidRDefault="00E8018B" w:rsidP="00E8018B">
            <w:pPr>
              <w:numPr>
                <w:ilvl w:val="0"/>
                <w:numId w:val="24"/>
              </w:numPr>
              <w:cnfStyle w:val="000000010000" w:firstRow="0" w:lastRow="0" w:firstColumn="0" w:lastColumn="0" w:oddVBand="0" w:evenVBand="0" w:oddHBand="0" w:evenHBand="1" w:firstRowFirstColumn="0" w:firstRowLastColumn="0" w:lastRowFirstColumn="0" w:lastRowLastColumn="0"/>
            </w:pPr>
            <w:r w:rsidRPr="00E8018B">
              <w:t>capital expenditure</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CAPM</w:t>
            </w:r>
          </w:p>
        </w:tc>
        <w:tc>
          <w:tcPr>
            <w:tcW w:w="5041" w:type="dxa"/>
            <w:tcBorders>
              <w:top w:val="nil"/>
              <w:left w:val="nil"/>
              <w:bottom w:val="nil"/>
              <w:right w:val="nil"/>
            </w:tcBorders>
            <w:hideMark/>
          </w:tcPr>
          <w:p w:rsidR="00E8018B" w:rsidRPr="00E8018B" w:rsidRDefault="00E8018B" w:rsidP="00E8018B">
            <w:pPr>
              <w:numPr>
                <w:ilvl w:val="0"/>
                <w:numId w:val="24"/>
              </w:numPr>
              <w:cnfStyle w:val="000000000000" w:firstRow="0" w:lastRow="0" w:firstColumn="0" w:lastColumn="0" w:oddVBand="0" w:evenVBand="0" w:oddHBand="0" w:evenHBand="0" w:firstRowFirstColumn="0" w:firstRowLastColumn="0" w:lastRowFirstColumn="0" w:lastRowLastColumn="0"/>
            </w:pPr>
            <w:r w:rsidRPr="00E8018B">
              <w:t>capital asset pricing model</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CCP</w:t>
            </w:r>
          </w:p>
        </w:tc>
        <w:tc>
          <w:tcPr>
            <w:tcW w:w="5041" w:type="dxa"/>
            <w:tcBorders>
              <w:top w:val="nil"/>
              <w:left w:val="nil"/>
              <w:bottom w:val="nil"/>
              <w:right w:val="nil"/>
            </w:tcBorders>
            <w:hideMark/>
          </w:tcPr>
          <w:p w:rsidR="00E8018B" w:rsidRPr="00E8018B" w:rsidRDefault="00E8018B" w:rsidP="00E8018B">
            <w:pPr>
              <w:numPr>
                <w:ilvl w:val="0"/>
                <w:numId w:val="24"/>
              </w:numPr>
              <w:cnfStyle w:val="000000010000" w:firstRow="0" w:lastRow="0" w:firstColumn="0" w:lastColumn="0" w:oddVBand="0" w:evenVBand="0" w:oddHBand="0" w:evenHBand="1" w:firstRowFirstColumn="0" w:firstRowLastColumn="0" w:lastRowFirstColumn="0" w:lastRowLastColumn="0"/>
            </w:pPr>
            <w:r w:rsidRPr="00E8018B">
              <w:t>Consumer Challenge Panel</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CESS</w:t>
            </w:r>
          </w:p>
        </w:tc>
        <w:tc>
          <w:tcPr>
            <w:tcW w:w="5041" w:type="dxa"/>
            <w:tcBorders>
              <w:top w:val="nil"/>
              <w:left w:val="nil"/>
              <w:bottom w:val="nil"/>
              <w:right w:val="nil"/>
            </w:tcBorders>
            <w:hideMark/>
          </w:tcPr>
          <w:p w:rsidR="00E8018B" w:rsidRPr="00E8018B" w:rsidRDefault="00E8018B" w:rsidP="00E8018B">
            <w:pPr>
              <w:numPr>
                <w:ilvl w:val="0"/>
                <w:numId w:val="24"/>
              </w:numPr>
              <w:cnfStyle w:val="000000000000" w:firstRow="0" w:lastRow="0" w:firstColumn="0" w:lastColumn="0" w:oddVBand="0" w:evenVBand="0" w:oddHBand="0" w:evenHBand="0" w:firstRowFirstColumn="0" w:firstRowLastColumn="0" w:lastRowFirstColumn="0" w:lastRowLastColumn="0"/>
            </w:pPr>
            <w:r w:rsidRPr="00E8018B">
              <w:t>Capital Expenditure Sharing Scheme</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CPI</w:t>
            </w:r>
          </w:p>
        </w:tc>
        <w:tc>
          <w:tcPr>
            <w:tcW w:w="5041" w:type="dxa"/>
            <w:tcBorders>
              <w:top w:val="nil"/>
              <w:left w:val="nil"/>
              <w:bottom w:val="nil"/>
              <w:right w:val="nil"/>
            </w:tcBorders>
            <w:hideMark/>
          </w:tcPr>
          <w:p w:rsidR="00E8018B" w:rsidRPr="00E8018B" w:rsidRDefault="00E8018B" w:rsidP="00E8018B">
            <w:pPr>
              <w:numPr>
                <w:ilvl w:val="0"/>
                <w:numId w:val="24"/>
              </w:numPr>
              <w:cnfStyle w:val="000000010000" w:firstRow="0" w:lastRow="0" w:firstColumn="0" w:lastColumn="0" w:oddVBand="0" w:evenVBand="0" w:oddHBand="0" w:evenHBand="1" w:firstRowFirstColumn="0" w:firstRowLastColumn="0" w:lastRowFirstColumn="0" w:lastRowLastColumn="0"/>
            </w:pPr>
            <w:r w:rsidRPr="00E8018B">
              <w:t>consumer price index</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CSIS</w:t>
            </w:r>
          </w:p>
        </w:tc>
        <w:tc>
          <w:tcPr>
            <w:tcW w:w="5041" w:type="dxa"/>
            <w:tcBorders>
              <w:top w:val="nil"/>
              <w:left w:val="nil"/>
              <w:bottom w:val="nil"/>
              <w:right w:val="nil"/>
            </w:tcBorders>
            <w:hideMark/>
          </w:tcPr>
          <w:p w:rsidR="00E8018B" w:rsidRPr="00E8018B" w:rsidRDefault="00E8018B" w:rsidP="00E8018B">
            <w:pPr>
              <w:cnfStyle w:val="000000000000" w:firstRow="0" w:lastRow="0" w:firstColumn="0" w:lastColumn="0" w:oddVBand="0" w:evenVBand="0" w:oddHBand="0" w:evenHBand="0" w:firstRowFirstColumn="0" w:firstRowLastColumn="0" w:lastRowFirstColumn="0" w:lastRowLastColumn="0"/>
            </w:pPr>
            <w:r w:rsidRPr="00E8018B">
              <w:t>Customer Service Incentive Scheme</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DRP</w:t>
            </w:r>
          </w:p>
        </w:tc>
        <w:tc>
          <w:tcPr>
            <w:tcW w:w="5041" w:type="dxa"/>
            <w:tcBorders>
              <w:top w:val="nil"/>
              <w:left w:val="nil"/>
              <w:bottom w:val="nil"/>
              <w:right w:val="nil"/>
            </w:tcBorders>
            <w:hideMark/>
          </w:tcPr>
          <w:p w:rsidR="00E8018B" w:rsidRPr="00E8018B" w:rsidRDefault="00E8018B" w:rsidP="00E8018B">
            <w:pPr>
              <w:numPr>
                <w:ilvl w:val="0"/>
                <w:numId w:val="24"/>
              </w:numPr>
              <w:cnfStyle w:val="000000010000" w:firstRow="0" w:lastRow="0" w:firstColumn="0" w:lastColumn="0" w:oddVBand="0" w:evenVBand="0" w:oddHBand="0" w:evenHBand="1" w:firstRowFirstColumn="0" w:firstRowLastColumn="0" w:lastRowFirstColumn="0" w:lastRowLastColumn="0"/>
            </w:pPr>
            <w:r w:rsidRPr="00E8018B">
              <w:t>debt risk premium</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EBSS</w:t>
            </w:r>
          </w:p>
        </w:tc>
        <w:tc>
          <w:tcPr>
            <w:tcW w:w="5041" w:type="dxa"/>
            <w:tcBorders>
              <w:top w:val="nil"/>
              <w:left w:val="nil"/>
              <w:bottom w:val="nil"/>
              <w:right w:val="nil"/>
            </w:tcBorders>
            <w:hideMark/>
          </w:tcPr>
          <w:p w:rsidR="00E8018B" w:rsidRPr="00E8018B" w:rsidRDefault="00E8018B" w:rsidP="00E8018B">
            <w:pPr>
              <w:cnfStyle w:val="000000000000" w:firstRow="0" w:lastRow="0" w:firstColumn="0" w:lastColumn="0" w:oddVBand="0" w:evenVBand="0" w:oddHBand="0" w:evenHBand="0" w:firstRowFirstColumn="0" w:firstRowLastColumn="0" w:lastRowFirstColumn="0" w:lastRowLastColumn="0"/>
            </w:pPr>
            <w:r w:rsidRPr="00E8018B">
              <w:t>Efficiency Benefit Sharing Scheme</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ECM</w:t>
            </w:r>
          </w:p>
        </w:tc>
        <w:tc>
          <w:tcPr>
            <w:tcW w:w="5041" w:type="dxa"/>
            <w:tcBorders>
              <w:top w:val="nil"/>
              <w:left w:val="nil"/>
              <w:bottom w:val="nil"/>
              <w:right w:val="nil"/>
            </w:tcBorders>
            <w:hideMark/>
          </w:tcPr>
          <w:p w:rsidR="00E8018B" w:rsidRPr="00E8018B" w:rsidRDefault="00E8018B" w:rsidP="00E8018B">
            <w:pPr>
              <w:cnfStyle w:val="000000010000" w:firstRow="0" w:lastRow="0" w:firstColumn="0" w:lastColumn="0" w:oddVBand="0" w:evenVBand="0" w:oddHBand="0" w:evenHBand="1" w:firstRowFirstColumn="0" w:firstRowLastColumn="0" w:lastRowFirstColumn="0" w:lastRowLastColumn="0"/>
            </w:pPr>
            <w:r w:rsidRPr="00E8018B">
              <w:t>Efficiency Carryover Mechanism</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ERP</w:t>
            </w:r>
          </w:p>
        </w:tc>
        <w:tc>
          <w:tcPr>
            <w:tcW w:w="5041" w:type="dxa"/>
            <w:tcBorders>
              <w:top w:val="nil"/>
              <w:left w:val="nil"/>
              <w:bottom w:val="nil"/>
              <w:right w:val="nil"/>
            </w:tcBorders>
            <w:hideMark/>
          </w:tcPr>
          <w:p w:rsidR="00E8018B" w:rsidRPr="00E8018B" w:rsidRDefault="00E8018B" w:rsidP="00E8018B">
            <w:pPr>
              <w:numPr>
                <w:ilvl w:val="0"/>
                <w:numId w:val="24"/>
              </w:numPr>
              <w:cnfStyle w:val="000000000000" w:firstRow="0" w:lastRow="0" w:firstColumn="0" w:lastColumn="0" w:oddVBand="0" w:evenVBand="0" w:oddHBand="0" w:evenHBand="0" w:firstRowFirstColumn="0" w:firstRowLastColumn="0" w:lastRowFirstColumn="0" w:lastRowLastColumn="0"/>
            </w:pPr>
            <w:r w:rsidRPr="00E8018B">
              <w:t>equity risk premium</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Expenditure Guideline</w:t>
            </w:r>
          </w:p>
        </w:tc>
        <w:tc>
          <w:tcPr>
            <w:tcW w:w="5041" w:type="dxa"/>
            <w:tcBorders>
              <w:top w:val="nil"/>
              <w:left w:val="nil"/>
              <w:bottom w:val="nil"/>
              <w:right w:val="nil"/>
            </w:tcBorders>
            <w:hideMark/>
          </w:tcPr>
          <w:p w:rsidR="00E8018B" w:rsidRPr="00E8018B" w:rsidRDefault="00E8018B" w:rsidP="00E8018B">
            <w:pPr>
              <w:cnfStyle w:val="000000010000" w:firstRow="0" w:lastRow="0" w:firstColumn="0" w:lastColumn="0" w:oddVBand="0" w:evenVBand="0" w:oddHBand="0" w:evenHBand="1" w:firstRowFirstColumn="0" w:firstRowLastColumn="0" w:lastRowFirstColumn="0" w:lastRowLastColumn="0"/>
            </w:pPr>
            <w:r w:rsidRPr="00E8018B">
              <w:t>Expenditure Forecast Assessment Guideline</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gamma</w:t>
            </w:r>
          </w:p>
        </w:tc>
        <w:tc>
          <w:tcPr>
            <w:tcW w:w="5041" w:type="dxa"/>
            <w:tcBorders>
              <w:top w:val="nil"/>
              <w:left w:val="nil"/>
              <w:bottom w:val="nil"/>
              <w:right w:val="nil"/>
            </w:tcBorders>
            <w:hideMark/>
          </w:tcPr>
          <w:p w:rsidR="00E8018B" w:rsidRPr="00E8018B" w:rsidRDefault="00E8018B" w:rsidP="00E8018B">
            <w:pPr>
              <w:cnfStyle w:val="000000000000" w:firstRow="0" w:lastRow="0" w:firstColumn="0" w:lastColumn="0" w:oddVBand="0" w:evenVBand="0" w:oddHBand="0" w:evenHBand="0" w:firstRowFirstColumn="0" w:firstRowLastColumn="0" w:lastRowFirstColumn="0" w:lastRowLastColumn="0"/>
            </w:pPr>
            <w:r w:rsidRPr="00E8018B">
              <w:t>value of imputation credits</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GSL</w:t>
            </w:r>
          </w:p>
        </w:tc>
        <w:tc>
          <w:tcPr>
            <w:tcW w:w="5041" w:type="dxa"/>
            <w:tcBorders>
              <w:top w:val="nil"/>
              <w:left w:val="nil"/>
              <w:bottom w:val="nil"/>
              <w:right w:val="nil"/>
            </w:tcBorders>
            <w:hideMark/>
          </w:tcPr>
          <w:p w:rsidR="00E8018B" w:rsidRPr="00E8018B" w:rsidRDefault="00E8018B" w:rsidP="00E8018B">
            <w:pPr>
              <w:cnfStyle w:val="000000010000" w:firstRow="0" w:lastRow="0" w:firstColumn="0" w:lastColumn="0" w:oddVBand="0" w:evenVBand="0" w:oddHBand="0" w:evenHBand="1" w:firstRowFirstColumn="0" w:firstRowLastColumn="0" w:lastRowFirstColumn="0" w:lastRowLastColumn="0"/>
            </w:pPr>
            <w:r w:rsidRPr="00E8018B">
              <w:t>Guaranteed Service Level</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MRP</w:t>
            </w:r>
          </w:p>
        </w:tc>
        <w:tc>
          <w:tcPr>
            <w:tcW w:w="5041" w:type="dxa"/>
            <w:tcBorders>
              <w:top w:val="nil"/>
              <w:left w:val="nil"/>
              <w:bottom w:val="nil"/>
              <w:right w:val="nil"/>
            </w:tcBorders>
            <w:hideMark/>
          </w:tcPr>
          <w:p w:rsidR="00E8018B" w:rsidRPr="00E8018B" w:rsidRDefault="00E8018B" w:rsidP="00E8018B">
            <w:pPr>
              <w:numPr>
                <w:ilvl w:val="0"/>
                <w:numId w:val="24"/>
              </w:numPr>
              <w:cnfStyle w:val="000000000000" w:firstRow="0" w:lastRow="0" w:firstColumn="0" w:lastColumn="0" w:oddVBand="0" w:evenVBand="0" w:oddHBand="0" w:evenHBand="0" w:firstRowFirstColumn="0" w:firstRowLastColumn="0" w:lastRowFirstColumn="0" w:lastRowLastColumn="0"/>
            </w:pPr>
            <w:r w:rsidRPr="00E8018B">
              <w:t>market risk premium</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NECF</w:t>
            </w:r>
          </w:p>
        </w:tc>
        <w:tc>
          <w:tcPr>
            <w:tcW w:w="5041" w:type="dxa"/>
            <w:tcBorders>
              <w:top w:val="nil"/>
              <w:left w:val="nil"/>
              <w:bottom w:val="nil"/>
              <w:right w:val="nil"/>
            </w:tcBorders>
            <w:hideMark/>
          </w:tcPr>
          <w:p w:rsidR="00E8018B" w:rsidRPr="00E8018B" w:rsidRDefault="00E8018B" w:rsidP="00E8018B">
            <w:pPr>
              <w:cnfStyle w:val="000000010000" w:firstRow="0" w:lastRow="0" w:firstColumn="0" w:lastColumn="0" w:oddVBand="0" w:evenVBand="0" w:oddHBand="0" w:evenHBand="1" w:firstRowFirstColumn="0" w:firstRowLastColumn="0" w:lastRowFirstColumn="0" w:lastRowLastColumn="0"/>
            </w:pPr>
            <w:r w:rsidRPr="00E8018B">
              <w:t>National Energy Customer Framework</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NERL</w:t>
            </w:r>
          </w:p>
        </w:tc>
        <w:tc>
          <w:tcPr>
            <w:tcW w:w="5041" w:type="dxa"/>
            <w:tcBorders>
              <w:top w:val="nil"/>
              <w:left w:val="nil"/>
              <w:bottom w:val="nil"/>
              <w:right w:val="nil"/>
            </w:tcBorders>
            <w:hideMark/>
          </w:tcPr>
          <w:p w:rsidR="00E8018B" w:rsidRPr="00E8018B" w:rsidRDefault="00E8018B" w:rsidP="00E8018B">
            <w:pPr>
              <w:cnfStyle w:val="000000000000" w:firstRow="0" w:lastRow="0" w:firstColumn="0" w:lastColumn="0" w:oddVBand="0" w:evenVBand="0" w:oddHBand="0" w:evenHBand="0" w:firstRowFirstColumn="0" w:firstRowLastColumn="0" w:lastRowFirstColumn="0" w:lastRowLastColumn="0"/>
            </w:pPr>
            <w:r w:rsidRPr="00E8018B">
              <w:t>National Energy Retail Law</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NERR</w:t>
            </w:r>
          </w:p>
        </w:tc>
        <w:tc>
          <w:tcPr>
            <w:tcW w:w="5041" w:type="dxa"/>
            <w:tcBorders>
              <w:top w:val="nil"/>
              <w:left w:val="nil"/>
              <w:bottom w:val="nil"/>
              <w:right w:val="nil"/>
            </w:tcBorders>
            <w:hideMark/>
          </w:tcPr>
          <w:p w:rsidR="00E8018B" w:rsidRPr="00E8018B" w:rsidRDefault="00E8018B" w:rsidP="00E8018B">
            <w:pPr>
              <w:numPr>
                <w:ilvl w:val="0"/>
                <w:numId w:val="24"/>
              </w:numPr>
              <w:cnfStyle w:val="000000010000" w:firstRow="0" w:lastRow="0" w:firstColumn="0" w:lastColumn="0" w:oddVBand="0" w:evenVBand="0" w:oddHBand="0" w:evenHBand="1" w:firstRowFirstColumn="0" w:firstRowLastColumn="0" w:lastRowFirstColumn="0" w:lastRowLastColumn="0"/>
            </w:pPr>
            <w:r w:rsidRPr="00E8018B">
              <w:t>National Energy Retail Rules</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NGL</w:t>
            </w:r>
          </w:p>
        </w:tc>
        <w:tc>
          <w:tcPr>
            <w:tcW w:w="5041" w:type="dxa"/>
            <w:tcBorders>
              <w:top w:val="nil"/>
              <w:left w:val="nil"/>
              <w:bottom w:val="nil"/>
              <w:right w:val="nil"/>
            </w:tcBorders>
            <w:hideMark/>
          </w:tcPr>
          <w:p w:rsidR="00E8018B" w:rsidRPr="00E8018B" w:rsidRDefault="00E8018B" w:rsidP="00E8018B">
            <w:pPr>
              <w:numPr>
                <w:ilvl w:val="0"/>
                <w:numId w:val="24"/>
              </w:numPr>
              <w:cnfStyle w:val="000000000000" w:firstRow="0" w:lastRow="0" w:firstColumn="0" w:lastColumn="0" w:oddVBand="0" w:evenVBand="0" w:oddHBand="0" w:evenHBand="0" w:firstRowFirstColumn="0" w:firstRowLastColumn="0" w:lastRowFirstColumn="0" w:lastRowLastColumn="0"/>
            </w:pPr>
            <w:r w:rsidRPr="00E8018B">
              <w:t>National Gas Law</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NGO</w:t>
            </w:r>
          </w:p>
        </w:tc>
        <w:tc>
          <w:tcPr>
            <w:tcW w:w="5041" w:type="dxa"/>
            <w:tcBorders>
              <w:top w:val="nil"/>
              <w:left w:val="nil"/>
              <w:bottom w:val="nil"/>
              <w:right w:val="nil"/>
            </w:tcBorders>
            <w:hideMark/>
          </w:tcPr>
          <w:p w:rsidR="00E8018B" w:rsidRPr="00E8018B" w:rsidRDefault="00E8018B" w:rsidP="00E8018B">
            <w:pPr>
              <w:numPr>
                <w:ilvl w:val="0"/>
                <w:numId w:val="24"/>
              </w:numPr>
              <w:cnfStyle w:val="000000010000" w:firstRow="0" w:lastRow="0" w:firstColumn="0" w:lastColumn="0" w:oddVBand="0" w:evenVBand="0" w:oddHBand="0" w:evenHBand="1" w:firstRowFirstColumn="0" w:firstRowLastColumn="0" w:lastRowFirstColumn="0" w:lastRowLastColumn="0"/>
            </w:pPr>
            <w:r w:rsidRPr="00E8018B">
              <w:t>National Gas Objective</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NGR</w:t>
            </w:r>
          </w:p>
        </w:tc>
        <w:tc>
          <w:tcPr>
            <w:tcW w:w="5041" w:type="dxa"/>
            <w:tcBorders>
              <w:top w:val="nil"/>
              <w:left w:val="nil"/>
              <w:bottom w:val="nil"/>
              <w:right w:val="nil"/>
            </w:tcBorders>
            <w:hideMark/>
          </w:tcPr>
          <w:p w:rsidR="00E8018B" w:rsidRPr="00E8018B" w:rsidRDefault="00E8018B" w:rsidP="00E8018B">
            <w:pPr>
              <w:numPr>
                <w:ilvl w:val="0"/>
                <w:numId w:val="24"/>
              </w:numPr>
              <w:cnfStyle w:val="000000000000" w:firstRow="0" w:lastRow="0" w:firstColumn="0" w:lastColumn="0" w:oddVBand="0" w:evenVBand="0" w:oddHBand="0" w:evenHBand="0" w:firstRowFirstColumn="0" w:firstRowLastColumn="0" w:lastRowFirstColumn="0" w:lastRowLastColumn="0"/>
            </w:pPr>
            <w:r w:rsidRPr="00E8018B">
              <w:t>National Gas Rules</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NIS</w:t>
            </w:r>
          </w:p>
        </w:tc>
        <w:tc>
          <w:tcPr>
            <w:tcW w:w="5041" w:type="dxa"/>
            <w:tcBorders>
              <w:top w:val="nil"/>
              <w:left w:val="nil"/>
              <w:bottom w:val="nil"/>
              <w:right w:val="nil"/>
            </w:tcBorders>
            <w:hideMark/>
          </w:tcPr>
          <w:p w:rsidR="00E8018B" w:rsidRPr="00E8018B" w:rsidRDefault="00E8018B" w:rsidP="00E8018B">
            <w:pPr>
              <w:cnfStyle w:val="000000010000" w:firstRow="0" w:lastRow="0" w:firstColumn="0" w:lastColumn="0" w:oddVBand="0" w:evenVBand="0" w:oddHBand="0" w:evenHBand="1" w:firstRowFirstColumn="0" w:firstRowLastColumn="0" w:lastRowFirstColumn="0" w:lastRowLastColumn="0"/>
            </w:pPr>
            <w:r w:rsidRPr="00E8018B">
              <w:t>Network Incentive Scheme</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NPV</w:t>
            </w:r>
          </w:p>
        </w:tc>
        <w:tc>
          <w:tcPr>
            <w:tcW w:w="5041" w:type="dxa"/>
            <w:tcBorders>
              <w:top w:val="nil"/>
              <w:left w:val="nil"/>
              <w:bottom w:val="nil"/>
              <w:right w:val="nil"/>
            </w:tcBorders>
            <w:hideMark/>
          </w:tcPr>
          <w:p w:rsidR="00E8018B" w:rsidRPr="00E8018B" w:rsidRDefault="00E8018B" w:rsidP="00E8018B">
            <w:pPr>
              <w:cnfStyle w:val="000000000000" w:firstRow="0" w:lastRow="0" w:firstColumn="0" w:lastColumn="0" w:oddVBand="0" w:evenVBand="0" w:oddHBand="0" w:evenHBand="0" w:firstRowFirstColumn="0" w:firstRowLastColumn="0" w:lastRowFirstColumn="0" w:lastRowLastColumn="0"/>
            </w:pPr>
            <w:r w:rsidRPr="00E8018B">
              <w:t>net present value</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opex</w:t>
            </w:r>
          </w:p>
        </w:tc>
        <w:tc>
          <w:tcPr>
            <w:tcW w:w="5041" w:type="dxa"/>
            <w:tcBorders>
              <w:top w:val="nil"/>
              <w:left w:val="nil"/>
              <w:bottom w:val="nil"/>
              <w:right w:val="nil"/>
            </w:tcBorders>
            <w:hideMark/>
          </w:tcPr>
          <w:p w:rsidR="00E8018B" w:rsidRPr="00E8018B" w:rsidRDefault="00E8018B" w:rsidP="00E8018B">
            <w:pPr>
              <w:numPr>
                <w:ilvl w:val="0"/>
                <w:numId w:val="24"/>
              </w:numPr>
              <w:cnfStyle w:val="000000010000" w:firstRow="0" w:lastRow="0" w:firstColumn="0" w:lastColumn="0" w:oddVBand="0" w:evenVBand="0" w:oddHBand="0" w:evenHBand="1" w:firstRowFirstColumn="0" w:firstRowLastColumn="0" w:lastRowFirstColumn="0" w:lastRowLastColumn="0"/>
            </w:pPr>
            <w:r w:rsidRPr="00E8018B">
              <w:t>operating expenditure</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PFP</w:t>
            </w:r>
          </w:p>
        </w:tc>
        <w:tc>
          <w:tcPr>
            <w:tcW w:w="5041" w:type="dxa"/>
            <w:tcBorders>
              <w:top w:val="nil"/>
              <w:left w:val="nil"/>
              <w:bottom w:val="nil"/>
              <w:right w:val="nil"/>
            </w:tcBorders>
            <w:hideMark/>
          </w:tcPr>
          <w:p w:rsidR="00E8018B" w:rsidRPr="00E8018B" w:rsidRDefault="00E8018B" w:rsidP="00E8018B">
            <w:pPr>
              <w:cnfStyle w:val="000000000000" w:firstRow="0" w:lastRow="0" w:firstColumn="0" w:lastColumn="0" w:oddVBand="0" w:evenVBand="0" w:oddHBand="0" w:evenHBand="0" w:firstRowFirstColumn="0" w:firstRowLastColumn="0" w:lastRowFirstColumn="0" w:lastRowLastColumn="0"/>
            </w:pPr>
            <w:r w:rsidRPr="00E8018B">
              <w:t>partial factor productivity</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PPI</w:t>
            </w:r>
          </w:p>
        </w:tc>
        <w:tc>
          <w:tcPr>
            <w:tcW w:w="5041" w:type="dxa"/>
            <w:tcBorders>
              <w:top w:val="nil"/>
              <w:left w:val="nil"/>
              <w:bottom w:val="nil"/>
              <w:right w:val="nil"/>
            </w:tcBorders>
            <w:hideMark/>
          </w:tcPr>
          <w:p w:rsidR="00E8018B" w:rsidRPr="00E8018B" w:rsidRDefault="00E8018B" w:rsidP="00E8018B">
            <w:pPr>
              <w:numPr>
                <w:ilvl w:val="0"/>
                <w:numId w:val="24"/>
              </w:numPr>
              <w:cnfStyle w:val="000000010000" w:firstRow="0" w:lastRow="0" w:firstColumn="0" w:lastColumn="0" w:oddVBand="0" w:evenVBand="0" w:oddHBand="0" w:evenHBand="1" w:firstRowFirstColumn="0" w:firstRowLastColumn="0" w:lastRowFirstColumn="0" w:lastRowLastColumn="0"/>
            </w:pPr>
            <w:r w:rsidRPr="00E8018B">
              <w:t>partial performance indicators</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lastRenderedPageBreak/>
              <w:t>PTRM</w:t>
            </w:r>
          </w:p>
        </w:tc>
        <w:tc>
          <w:tcPr>
            <w:tcW w:w="5041" w:type="dxa"/>
            <w:tcBorders>
              <w:top w:val="nil"/>
              <w:left w:val="nil"/>
              <w:bottom w:val="nil"/>
              <w:right w:val="nil"/>
            </w:tcBorders>
            <w:hideMark/>
          </w:tcPr>
          <w:p w:rsidR="00E8018B" w:rsidRPr="00E8018B" w:rsidRDefault="00E8018B" w:rsidP="00E8018B">
            <w:pPr>
              <w:numPr>
                <w:ilvl w:val="0"/>
                <w:numId w:val="24"/>
              </w:numPr>
              <w:cnfStyle w:val="000000000000" w:firstRow="0" w:lastRow="0" w:firstColumn="0" w:lastColumn="0" w:oddVBand="0" w:evenVBand="0" w:oddHBand="0" w:evenHBand="0" w:firstRowFirstColumn="0" w:firstRowLastColumn="0" w:lastRowFirstColumn="0" w:lastRowLastColumn="0"/>
            </w:pPr>
            <w:r w:rsidRPr="00E8018B">
              <w:t>post-tax revenue model</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RBA</w:t>
            </w:r>
          </w:p>
        </w:tc>
        <w:tc>
          <w:tcPr>
            <w:tcW w:w="5041" w:type="dxa"/>
            <w:tcBorders>
              <w:top w:val="nil"/>
              <w:left w:val="nil"/>
              <w:bottom w:val="nil"/>
              <w:right w:val="nil"/>
            </w:tcBorders>
            <w:hideMark/>
          </w:tcPr>
          <w:p w:rsidR="00E8018B" w:rsidRPr="00E8018B" w:rsidRDefault="00E8018B" w:rsidP="00E8018B">
            <w:pPr>
              <w:numPr>
                <w:ilvl w:val="0"/>
                <w:numId w:val="24"/>
              </w:numPr>
              <w:cnfStyle w:val="000000010000" w:firstRow="0" w:lastRow="0" w:firstColumn="0" w:lastColumn="0" w:oddVBand="0" w:evenVBand="0" w:oddHBand="0" w:evenHBand="1" w:firstRowFirstColumn="0" w:firstRowLastColumn="0" w:lastRowFirstColumn="0" w:lastRowLastColumn="0"/>
            </w:pPr>
            <w:r w:rsidRPr="00E8018B">
              <w:t>Reserve Bank of Australia</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RFM</w:t>
            </w:r>
          </w:p>
        </w:tc>
        <w:tc>
          <w:tcPr>
            <w:tcW w:w="5041" w:type="dxa"/>
            <w:tcBorders>
              <w:top w:val="nil"/>
              <w:left w:val="nil"/>
              <w:bottom w:val="nil"/>
              <w:right w:val="nil"/>
            </w:tcBorders>
            <w:hideMark/>
          </w:tcPr>
          <w:p w:rsidR="00E8018B" w:rsidRPr="00E8018B" w:rsidRDefault="00E8018B" w:rsidP="00E8018B">
            <w:pPr>
              <w:numPr>
                <w:ilvl w:val="0"/>
                <w:numId w:val="24"/>
              </w:numPr>
              <w:cnfStyle w:val="000000000000" w:firstRow="0" w:lastRow="0" w:firstColumn="0" w:lastColumn="0" w:oddVBand="0" w:evenVBand="0" w:oddHBand="0" w:evenHBand="0" w:firstRowFirstColumn="0" w:firstRowLastColumn="0" w:lastRowFirstColumn="0" w:lastRowLastColumn="0"/>
            </w:pPr>
            <w:r w:rsidRPr="00E8018B">
              <w:t>roll forward model</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RIN</w:t>
            </w:r>
          </w:p>
        </w:tc>
        <w:tc>
          <w:tcPr>
            <w:tcW w:w="5041" w:type="dxa"/>
            <w:tcBorders>
              <w:top w:val="nil"/>
              <w:left w:val="nil"/>
              <w:bottom w:val="nil"/>
              <w:right w:val="nil"/>
            </w:tcBorders>
            <w:hideMark/>
          </w:tcPr>
          <w:p w:rsidR="00E8018B" w:rsidRPr="00E8018B" w:rsidRDefault="00E8018B" w:rsidP="00E8018B">
            <w:pPr>
              <w:numPr>
                <w:ilvl w:val="0"/>
                <w:numId w:val="24"/>
              </w:numPr>
              <w:cnfStyle w:val="000000010000" w:firstRow="0" w:lastRow="0" w:firstColumn="0" w:lastColumn="0" w:oddVBand="0" w:evenVBand="0" w:oddHBand="0" w:evenHBand="1" w:firstRowFirstColumn="0" w:firstRowLastColumn="0" w:lastRowFirstColumn="0" w:lastRowLastColumn="0"/>
            </w:pPr>
            <w:r w:rsidRPr="00E8018B">
              <w:t>regulatory information notice</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proofErr w:type="spellStart"/>
            <w:r w:rsidRPr="00E8018B">
              <w:t>RoLR</w:t>
            </w:r>
            <w:proofErr w:type="spellEnd"/>
          </w:p>
        </w:tc>
        <w:tc>
          <w:tcPr>
            <w:tcW w:w="5041" w:type="dxa"/>
            <w:tcBorders>
              <w:top w:val="nil"/>
              <w:left w:val="nil"/>
              <w:bottom w:val="nil"/>
              <w:right w:val="nil"/>
            </w:tcBorders>
            <w:hideMark/>
          </w:tcPr>
          <w:p w:rsidR="00E8018B" w:rsidRPr="00E8018B" w:rsidRDefault="00E8018B" w:rsidP="00E8018B">
            <w:pPr>
              <w:cnfStyle w:val="000000000000" w:firstRow="0" w:lastRow="0" w:firstColumn="0" w:lastColumn="0" w:oddVBand="0" w:evenVBand="0" w:oddHBand="0" w:evenHBand="0" w:firstRowFirstColumn="0" w:firstRowLastColumn="0" w:lastRowFirstColumn="0" w:lastRowLastColumn="0"/>
            </w:pPr>
            <w:r w:rsidRPr="00E8018B">
              <w:t>retailer of last resort</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RPP</w:t>
            </w:r>
          </w:p>
        </w:tc>
        <w:tc>
          <w:tcPr>
            <w:tcW w:w="5041" w:type="dxa"/>
            <w:tcBorders>
              <w:top w:val="nil"/>
              <w:left w:val="nil"/>
              <w:bottom w:val="nil"/>
              <w:right w:val="nil"/>
            </w:tcBorders>
            <w:hideMark/>
          </w:tcPr>
          <w:p w:rsidR="00E8018B" w:rsidRPr="00E8018B" w:rsidRDefault="00E8018B" w:rsidP="00E8018B">
            <w:pPr>
              <w:numPr>
                <w:ilvl w:val="0"/>
                <w:numId w:val="24"/>
              </w:numPr>
              <w:cnfStyle w:val="000000010000" w:firstRow="0" w:lastRow="0" w:firstColumn="0" w:lastColumn="0" w:oddVBand="0" w:evenVBand="0" w:oddHBand="0" w:evenHBand="1" w:firstRowFirstColumn="0" w:firstRowLastColumn="0" w:lastRowFirstColumn="0" w:lastRowLastColumn="0"/>
            </w:pPr>
            <w:r w:rsidRPr="00E8018B">
              <w:t>revenue and pricing principles</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SLCAPM</w:t>
            </w:r>
          </w:p>
        </w:tc>
        <w:tc>
          <w:tcPr>
            <w:tcW w:w="5041" w:type="dxa"/>
            <w:tcBorders>
              <w:top w:val="nil"/>
              <w:left w:val="nil"/>
              <w:bottom w:val="nil"/>
              <w:right w:val="nil"/>
            </w:tcBorders>
            <w:hideMark/>
          </w:tcPr>
          <w:p w:rsidR="00E8018B" w:rsidRPr="00E8018B" w:rsidRDefault="00E8018B" w:rsidP="00E8018B">
            <w:pPr>
              <w:numPr>
                <w:ilvl w:val="0"/>
                <w:numId w:val="24"/>
              </w:numPr>
              <w:cnfStyle w:val="000000000000" w:firstRow="0" w:lastRow="0" w:firstColumn="0" w:lastColumn="0" w:oddVBand="0" w:evenVBand="0" w:oddHBand="0" w:evenHBand="0" w:firstRowFirstColumn="0" w:firstRowLastColumn="0" w:lastRowFirstColumn="0" w:lastRowLastColumn="0"/>
            </w:pPr>
            <w:r w:rsidRPr="00E8018B">
              <w:t>Sharpe-</w:t>
            </w:r>
            <w:proofErr w:type="spellStart"/>
            <w:r w:rsidRPr="00E8018B">
              <w:t>Lintner</w:t>
            </w:r>
            <w:proofErr w:type="spellEnd"/>
            <w:r w:rsidRPr="00E8018B">
              <w:t xml:space="preserve"> capital asset pricing model</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STPIS</w:t>
            </w:r>
          </w:p>
        </w:tc>
        <w:tc>
          <w:tcPr>
            <w:tcW w:w="5041" w:type="dxa"/>
            <w:tcBorders>
              <w:top w:val="nil"/>
              <w:left w:val="nil"/>
              <w:bottom w:val="nil"/>
              <w:right w:val="nil"/>
            </w:tcBorders>
            <w:hideMark/>
          </w:tcPr>
          <w:p w:rsidR="00E8018B" w:rsidRPr="00E8018B" w:rsidRDefault="00E8018B" w:rsidP="00E8018B">
            <w:pPr>
              <w:cnfStyle w:val="000000010000" w:firstRow="0" w:lastRow="0" w:firstColumn="0" w:lastColumn="0" w:oddVBand="0" w:evenVBand="0" w:oddHBand="0" w:evenHBand="1" w:firstRowFirstColumn="0" w:firstRowLastColumn="0" w:lastRowFirstColumn="0" w:lastRowLastColumn="0"/>
            </w:pPr>
            <w:r w:rsidRPr="00E8018B">
              <w:t>Service Target Performance Incentive Scheme</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TAB</w:t>
            </w:r>
          </w:p>
        </w:tc>
        <w:tc>
          <w:tcPr>
            <w:tcW w:w="5041" w:type="dxa"/>
            <w:tcBorders>
              <w:top w:val="nil"/>
              <w:left w:val="nil"/>
              <w:bottom w:val="nil"/>
              <w:right w:val="nil"/>
            </w:tcBorders>
            <w:hideMark/>
          </w:tcPr>
          <w:p w:rsidR="00E8018B" w:rsidRPr="00E8018B" w:rsidRDefault="00E8018B" w:rsidP="00E8018B">
            <w:pPr>
              <w:cnfStyle w:val="000000000000" w:firstRow="0" w:lastRow="0" w:firstColumn="0" w:lastColumn="0" w:oddVBand="0" w:evenVBand="0" w:oddHBand="0" w:evenHBand="0" w:firstRowFirstColumn="0" w:firstRowLastColumn="0" w:lastRowFirstColumn="0" w:lastRowLastColumn="0"/>
            </w:pPr>
            <w:r w:rsidRPr="00E8018B">
              <w:t>tax asset base</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UAFG</w:t>
            </w:r>
          </w:p>
        </w:tc>
        <w:tc>
          <w:tcPr>
            <w:tcW w:w="5041" w:type="dxa"/>
            <w:tcBorders>
              <w:top w:val="nil"/>
              <w:left w:val="nil"/>
              <w:bottom w:val="nil"/>
              <w:right w:val="nil"/>
            </w:tcBorders>
            <w:hideMark/>
          </w:tcPr>
          <w:p w:rsidR="00E8018B" w:rsidRPr="00E8018B" w:rsidRDefault="00E8018B" w:rsidP="00E8018B">
            <w:pPr>
              <w:cnfStyle w:val="000000010000" w:firstRow="0" w:lastRow="0" w:firstColumn="0" w:lastColumn="0" w:oddVBand="0" w:evenVBand="0" w:oddHBand="0" w:evenHBand="1" w:firstRowFirstColumn="0" w:firstRowLastColumn="0" w:lastRowFirstColumn="0" w:lastRowLastColumn="0"/>
            </w:pPr>
            <w:r w:rsidRPr="00E8018B">
              <w:t>unaccounted for gas</w:t>
            </w:r>
          </w:p>
        </w:tc>
      </w:tr>
      <w:tr w:rsidR="00E8018B" w:rsidTr="00E8018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8018B" w:rsidRPr="00E8018B" w:rsidRDefault="00E8018B" w:rsidP="00E8018B">
            <w:pPr>
              <w:numPr>
                <w:ilvl w:val="0"/>
                <w:numId w:val="24"/>
              </w:numPr>
            </w:pPr>
            <w:r w:rsidRPr="00E8018B">
              <w:t>WACC</w:t>
            </w:r>
          </w:p>
        </w:tc>
        <w:tc>
          <w:tcPr>
            <w:tcW w:w="5041" w:type="dxa"/>
            <w:tcBorders>
              <w:top w:val="nil"/>
              <w:left w:val="nil"/>
              <w:bottom w:val="nil"/>
              <w:right w:val="nil"/>
            </w:tcBorders>
            <w:hideMark/>
          </w:tcPr>
          <w:p w:rsidR="00E8018B" w:rsidRPr="00E8018B" w:rsidRDefault="00E8018B" w:rsidP="00E8018B">
            <w:pPr>
              <w:numPr>
                <w:ilvl w:val="0"/>
                <w:numId w:val="24"/>
              </w:numPr>
              <w:cnfStyle w:val="000000000000" w:firstRow="0" w:lastRow="0" w:firstColumn="0" w:lastColumn="0" w:oddVBand="0" w:evenVBand="0" w:oddHBand="0" w:evenHBand="0" w:firstRowFirstColumn="0" w:firstRowLastColumn="0" w:lastRowFirstColumn="0" w:lastRowLastColumn="0"/>
            </w:pPr>
            <w:r w:rsidRPr="00E8018B">
              <w:t>weighted average cost of capital</w:t>
            </w:r>
          </w:p>
        </w:tc>
      </w:tr>
      <w:tr w:rsidR="00E8018B" w:rsidTr="00E80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E8018B" w:rsidRPr="00E8018B" w:rsidRDefault="00E8018B" w:rsidP="00E8018B">
            <w:pPr>
              <w:numPr>
                <w:ilvl w:val="0"/>
                <w:numId w:val="24"/>
              </w:numPr>
            </w:pPr>
            <w:r w:rsidRPr="00E8018B">
              <w:t>WPI</w:t>
            </w:r>
          </w:p>
        </w:tc>
        <w:tc>
          <w:tcPr>
            <w:tcW w:w="5041" w:type="dxa"/>
            <w:tcBorders>
              <w:top w:val="nil"/>
              <w:left w:val="nil"/>
              <w:bottom w:val="single" w:sz="4" w:space="0" w:color="365F91"/>
              <w:right w:val="nil"/>
            </w:tcBorders>
            <w:hideMark/>
          </w:tcPr>
          <w:p w:rsidR="00E8018B" w:rsidRPr="00E8018B" w:rsidRDefault="00E8018B" w:rsidP="00E8018B">
            <w:pPr>
              <w:cnfStyle w:val="000000010000" w:firstRow="0" w:lastRow="0" w:firstColumn="0" w:lastColumn="0" w:oddVBand="0" w:evenVBand="0" w:oddHBand="0" w:evenHBand="1" w:firstRowFirstColumn="0" w:firstRowLastColumn="0" w:lastRowFirstColumn="0" w:lastRowLastColumn="0"/>
            </w:pPr>
            <w:r w:rsidRPr="00E8018B">
              <w:t>Wage Price Index</w:t>
            </w:r>
          </w:p>
        </w:tc>
      </w:tr>
    </w:tbl>
    <w:p w:rsidR="00E8018B" w:rsidRPr="00E8018B" w:rsidRDefault="00E8018B" w:rsidP="00E8018B"/>
    <w:p w:rsidR="00DE563D" w:rsidRDefault="005D03B1" w:rsidP="005D03B1">
      <w:pPr>
        <w:pStyle w:val="Heading1"/>
      </w:pPr>
      <w:bookmarkStart w:id="10" w:name="_Toc451527469"/>
      <w:r>
        <w:t>Efficiency carryover mechanism</w:t>
      </w:r>
      <w:bookmarkEnd w:id="10"/>
    </w:p>
    <w:p w:rsidR="00281FFB" w:rsidRPr="00281FFB" w:rsidRDefault="00281FFB" w:rsidP="00281FFB">
      <w:r w:rsidRPr="00281FFB">
        <w:t>The efficiency carryover mechanism provides an additional incentive for service providers to pursue efficiency improvements in operating expenditure (opex).</w:t>
      </w:r>
    </w:p>
    <w:p w:rsidR="00281FFB" w:rsidRPr="00281FFB" w:rsidRDefault="00281FFB" w:rsidP="00281FFB">
      <w:r w:rsidRPr="00281FFB">
        <w:t>To encourage a service provider to become more efficient during the access arrangement period</w:t>
      </w:r>
      <w:r w:rsidR="00D54E0C">
        <w:t>,</w:t>
      </w:r>
      <w:r w:rsidRPr="00281FFB">
        <w:t xml:space="preserve"> it is allowed to keep any difference between its approved forecast and its actual opex during </w:t>
      </w:r>
      <w:r w:rsidR="009E5F60">
        <w:t>the</w:t>
      </w:r>
      <w:r w:rsidRPr="00281FFB">
        <w:t xml:space="preserve"> access arrangement period. This is supplemented </w:t>
      </w:r>
      <w:r w:rsidR="009E5F60">
        <w:t>with</w:t>
      </w:r>
      <w:r w:rsidRPr="00281FFB">
        <w:t xml:space="preserve"> the efficiency carryover mechanism which provides the service provider with an additional reward for reductions in opex and additional penalties for increases in opex. </w:t>
      </w:r>
    </w:p>
    <w:p w:rsidR="00281FFB" w:rsidRPr="00281FFB" w:rsidRDefault="00281FFB" w:rsidP="00281FFB">
      <w:r w:rsidRPr="00281FFB">
        <w:t xml:space="preserve">Together, these rewards and penalties work to provide a continuous incentive for a service provider to pursue efficiency gains over the access arrangement period. The efficiency carryover mechanism also </w:t>
      </w:r>
      <w:r w:rsidR="009E5F60">
        <w:t xml:space="preserve">acts to </w:t>
      </w:r>
      <w:r w:rsidRPr="00281FFB">
        <w:t xml:space="preserve">discourage a service provider from </w:t>
      </w:r>
      <w:r w:rsidR="009E5F60">
        <w:t xml:space="preserve">inflating its </w:t>
      </w:r>
      <w:r w:rsidRPr="00281FFB">
        <w:t xml:space="preserve">base year </w:t>
      </w:r>
      <w:r w:rsidR="009E5F60">
        <w:t xml:space="preserve">opex </w:t>
      </w:r>
      <w:r w:rsidRPr="00281FFB">
        <w:t xml:space="preserve">in order to receive a higher opex allowance in the following access arrangement period. </w:t>
      </w:r>
    </w:p>
    <w:p w:rsidR="00281FFB" w:rsidRPr="00281FFB" w:rsidRDefault="00281FFB" w:rsidP="00281FFB">
      <w:r w:rsidRPr="00281FFB">
        <w:t xml:space="preserve">An efficiency carryover mechanism applied to AGN during the 2011–16 access arrangement </w:t>
      </w:r>
      <w:proofErr w:type="gramStart"/>
      <w:r w:rsidRPr="00281FFB">
        <w:t>period</w:t>
      </w:r>
      <w:proofErr w:type="gramEnd"/>
      <w:r w:rsidRPr="00281FFB">
        <w:t>.</w:t>
      </w:r>
      <w:r w:rsidRPr="00281FFB">
        <w:rPr>
          <w:rStyle w:val="FootnoteReference"/>
        </w:rPr>
        <w:footnoteReference w:id="1"/>
      </w:r>
      <w:r w:rsidRPr="00281FFB">
        <w:t xml:space="preserve"> AGN proposed an efficiency carryover mechanism apply to it in the 2016–21 access arrangement </w:t>
      </w:r>
      <w:proofErr w:type="gramStart"/>
      <w:r w:rsidRPr="00281FFB">
        <w:t>period</w:t>
      </w:r>
      <w:proofErr w:type="gramEnd"/>
      <w:r w:rsidRPr="00281FFB">
        <w:t>.</w:t>
      </w:r>
    </w:p>
    <w:p w:rsidR="00281FFB" w:rsidRPr="00281FFB" w:rsidRDefault="00281FFB" w:rsidP="00281FFB">
      <w:pPr>
        <w:pStyle w:val="Heading2"/>
      </w:pPr>
      <w:bookmarkStart w:id="11" w:name="_Toc451527470"/>
      <w:r w:rsidRPr="00281FFB">
        <w:t>Final decision</w:t>
      </w:r>
      <w:bookmarkEnd w:id="11"/>
    </w:p>
    <w:p w:rsidR="00281FFB" w:rsidRPr="00281FFB" w:rsidRDefault="00281FFB" w:rsidP="00281FFB">
      <w:pPr>
        <w:pStyle w:val="Heading3"/>
      </w:pPr>
      <w:bookmarkStart w:id="12" w:name="_Toc436054680"/>
      <w:bookmarkStart w:id="13" w:name="_Ref440633404"/>
      <w:bookmarkStart w:id="14" w:name="_Toc451527471"/>
      <w:r w:rsidRPr="00281FFB">
        <w:t>Carryover amounts from the 2011–16 period</w:t>
      </w:r>
      <w:bookmarkEnd w:id="12"/>
      <w:bookmarkEnd w:id="13"/>
      <w:bookmarkEnd w:id="14"/>
    </w:p>
    <w:p w:rsidR="00281FFB" w:rsidRPr="00281FFB" w:rsidRDefault="00281FFB" w:rsidP="00281FFB">
      <w:r w:rsidRPr="00281FFB">
        <w:t xml:space="preserve">Our final decision is to carryover </w:t>
      </w:r>
      <w:r w:rsidR="00C4273C">
        <w:t>–</w:t>
      </w:r>
      <w:r w:rsidRPr="00281FFB">
        <w:t>$0.</w:t>
      </w:r>
      <w:r w:rsidR="00C4273C">
        <w:t>5</w:t>
      </w:r>
      <w:r w:rsidRPr="00281FFB">
        <w:t xml:space="preserve"> million ($2015–16) from the 2011–16 access arrangement period to the revenue building blocks for the 2016–21 access arrangement </w:t>
      </w:r>
      <w:proofErr w:type="gramStart"/>
      <w:r w:rsidRPr="00281FFB">
        <w:t>period</w:t>
      </w:r>
      <w:proofErr w:type="gramEnd"/>
      <w:r w:rsidRPr="00281FFB">
        <w:t xml:space="preserve">. </w:t>
      </w:r>
      <w:r w:rsidR="00AD59A1">
        <w:fldChar w:fldCharType="begin"/>
      </w:r>
      <w:r w:rsidR="00AD59A1">
        <w:instrText xml:space="preserve"> REF _Ref440636117 \h </w:instrText>
      </w:r>
      <w:r w:rsidR="00AD59A1">
        <w:fldChar w:fldCharType="separate"/>
      </w:r>
      <w:r w:rsidR="00EC5C2F">
        <w:t xml:space="preserve">Table </w:t>
      </w:r>
      <w:r w:rsidR="00EC5C2F">
        <w:rPr>
          <w:noProof/>
        </w:rPr>
        <w:t>9</w:t>
      </w:r>
      <w:r w:rsidR="00EC5C2F">
        <w:t>.</w:t>
      </w:r>
      <w:r w:rsidR="00EC5C2F">
        <w:rPr>
          <w:noProof/>
        </w:rPr>
        <w:t>1</w:t>
      </w:r>
      <w:r w:rsidR="00AD59A1">
        <w:fldChar w:fldCharType="end"/>
      </w:r>
      <w:r w:rsidR="00AD59A1">
        <w:t xml:space="preserve"> </w:t>
      </w:r>
      <w:r w:rsidRPr="00281FFB">
        <w:t xml:space="preserve">shows our final decision on the carryover amounts, </w:t>
      </w:r>
      <w:r w:rsidR="009E7235">
        <w:t xml:space="preserve">which are the same as those proposed by AGN in its </w:t>
      </w:r>
      <w:r w:rsidR="00253D3E">
        <w:t>revised proposal</w:t>
      </w:r>
      <w:r w:rsidR="005D7369">
        <w:t>.</w:t>
      </w:r>
      <w:r w:rsidR="00C4273C">
        <w:rPr>
          <w:rStyle w:val="FootnoteReference"/>
        </w:rPr>
        <w:footnoteReference w:id="2"/>
      </w:r>
    </w:p>
    <w:p w:rsidR="00281FFB" w:rsidRPr="00281FFB" w:rsidRDefault="00AD59A1" w:rsidP="00AD59A1">
      <w:pPr>
        <w:pStyle w:val="Caption"/>
      </w:pPr>
      <w:bookmarkStart w:id="15" w:name="_Ref440636117"/>
      <w:proofErr w:type="gramStart"/>
      <w:r>
        <w:t xml:space="preserve">Table </w:t>
      </w:r>
      <w:proofErr w:type="gramEnd"/>
      <w:r w:rsidR="00E8018B">
        <w:fldChar w:fldCharType="begin"/>
      </w:r>
      <w:r w:rsidR="00E8018B">
        <w:instrText xml:space="preserve"> STYLEREF 1 \s </w:instrText>
      </w:r>
      <w:r w:rsidR="00E8018B">
        <w:fldChar w:fldCharType="separate"/>
      </w:r>
      <w:r w:rsidR="00EC5C2F">
        <w:rPr>
          <w:noProof/>
        </w:rPr>
        <w:t>9</w:t>
      </w:r>
      <w:r w:rsidR="00E8018B">
        <w:rPr>
          <w:noProof/>
        </w:rPr>
        <w:fldChar w:fldCharType="end"/>
      </w:r>
      <w:proofErr w:type="gramStart"/>
      <w:r w:rsidR="00EC5C2F">
        <w:t>.</w:t>
      </w:r>
      <w:proofErr w:type="gramEnd"/>
      <w:r w:rsidR="00EC5C2F">
        <w:fldChar w:fldCharType="begin"/>
      </w:r>
      <w:r w:rsidR="00EC5C2F">
        <w:instrText xml:space="preserve"> SEQ Table \* ARABIC \s 1 </w:instrText>
      </w:r>
      <w:r w:rsidR="00EC5C2F">
        <w:fldChar w:fldCharType="separate"/>
      </w:r>
      <w:r w:rsidR="00EC5C2F">
        <w:rPr>
          <w:noProof/>
        </w:rPr>
        <w:t>1</w:t>
      </w:r>
      <w:r w:rsidR="00EC5C2F">
        <w:fldChar w:fldCharType="end"/>
      </w:r>
      <w:bookmarkEnd w:id="15"/>
      <w:r>
        <w:tab/>
      </w:r>
      <w:r w:rsidR="00281FFB" w:rsidRPr="00281FFB">
        <w:t>AER final decision on carryover amounts ($million, $2015–16)</w:t>
      </w:r>
    </w:p>
    <w:tbl>
      <w:tblPr>
        <w:tblStyle w:val="AERtable-numbers"/>
        <w:tblW w:w="4811" w:type="pct"/>
        <w:tblInd w:w="108" w:type="dxa"/>
        <w:tblLayout w:type="fixed"/>
        <w:tblLook w:val="04A0" w:firstRow="1" w:lastRow="0" w:firstColumn="1" w:lastColumn="0" w:noHBand="0" w:noVBand="1"/>
      </w:tblPr>
      <w:tblGrid>
        <w:gridCol w:w="3189"/>
        <w:gridCol w:w="862"/>
        <w:gridCol w:w="863"/>
        <w:gridCol w:w="863"/>
        <w:gridCol w:w="861"/>
        <w:gridCol w:w="863"/>
        <w:gridCol w:w="863"/>
      </w:tblGrid>
      <w:tr w:rsidR="00281FFB" w:rsidRPr="004664BA" w:rsidTr="00DD7C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pct"/>
            <w:vAlign w:val="top"/>
          </w:tcPr>
          <w:p w:rsidR="00281FFB" w:rsidRPr="00281FFB" w:rsidRDefault="00281FFB" w:rsidP="00281FFB"/>
        </w:tc>
        <w:tc>
          <w:tcPr>
            <w:tcW w:w="515" w:type="pct"/>
            <w:vAlign w:val="top"/>
          </w:tcPr>
          <w:p w:rsidR="00281FFB" w:rsidRPr="00281FFB" w:rsidRDefault="00281FFB" w:rsidP="00281FFB">
            <w:pPr>
              <w:cnfStyle w:val="100000000000" w:firstRow="1" w:lastRow="0" w:firstColumn="0" w:lastColumn="0" w:oddVBand="0" w:evenVBand="0" w:oddHBand="0" w:evenHBand="0" w:firstRowFirstColumn="0" w:firstRowLastColumn="0" w:lastRowFirstColumn="0" w:lastRowLastColumn="0"/>
            </w:pPr>
            <w:r w:rsidRPr="00281FFB">
              <w:t>2016</w:t>
            </w:r>
            <w:r w:rsidRPr="00281FFB">
              <w:noBreakHyphen/>
              <w:t>17</w:t>
            </w:r>
          </w:p>
        </w:tc>
        <w:tc>
          <w:tcPr>
            <w:tcW w:w="516" w:type="pct"/>
            <w:vAlign w:val="top"/>
          </w:tcPr>
          <w:p w:rsidR="00281FFB" w:rsidRPr="00281FFB" w:rsidRDefault="00281FFB" w:rsidP="00281FFB">
            <w:pPr>
              <w:cnfStyle w:val="100000000000" w:firstRow="1" w:lastRow="0" w:firstColumn="0" w:lastColumn="0" w:oddVBand="0" w:evenVBand="0" w:oddHBand="0" w:evenHBand="0" w:firstRowFirstColumn="0" w:firstRowLastColumn="0" w:lastRowFirstColumn="0" w:lastRowLastColumn="0"/>
            </w:pPr>
            <w:r w:rsidRPr="00281FFB">
              <w:t>2017</w:t>
            </w:r>
            <w:r w:rsidRPr="00281FFB">
              <w:noBreakHyphen/>
              <w:t>18</w:t>
            </w:r>
          </w:p>
        </w:tc>
        <w:tc>
          <w:tcPr>
            <w:tcW w:w="516" w:type="pct"/>
            <w:vAlign w:val="top"/>
          </w:tcPr>
          <w:p w:rsidR="00281FFB" w:rsidRPr="00281FFB" w:rsidRDefault="00281FFB" w:rsidP="00281FFB">
            <w:pPr>
              <w:cnfStyle w:val="100000000000" w:firstRow="1" w:lastRow="0" w:firstColumn="0" w:lastColumn="0" w:oddVBand="0" w:evenVBand="0" w:oddHBand="0" w:evenHBand="0" w:firstRowFirstColumn="0" w:firstRowLastColumn="0" w:lastRowFirstColumn="0" w:lastRowLastColumn="0"/>
            </w:pPr>
            <w:r w:rsidRPr="00281FFB">
              <w:t>2018</w:t>
            </w:r>
            <w:r w:rsidRPr="00281FFB">
              <w:noBreakHyphen/>
              <w:t>19</w:t>
            </w:r>
          </w:p>
        </w:tc>
        <w:tc>
          <w:tcPr>
            <w:tcW w:w="515" w:type="pct"/>
            <w:vAlign w:val="top"/>
          </w:tcPr>
          <w:p w:rsidR="00281FFB" w:rsidRPr="00281FFB" w:rsidRDefault="00281FFB" w:rsidP="00281FFB">
            <w:pPr>
              <w:cnfStyle w:val="100000000000" w:firstRow="1" w:lastRow="0" w:firstColumn="0" w:lastColumn="0" w:oddVBand="0" w:evenVBand="0" w:oddHBand="0" w:evenHBand="0" w:firstRowFirstColumn="0" w:firstRowLastColumn="0" w:lastRowFirstColumn="0" w:lastRowLastColumn="0"/>
            </w:pPr>
            <w:r w:rsidRPr="00281FFB">
              <w:t>2019</w:t>
            </w:r>
            <w:r w:rsidRPr="00281FFB">
              <w:noBreakHyphen/>
              <w:t>20</w:t>
            </w:r>
          </w:p>
        </w:tc>
        <w:tc>
          <w:tcPr>
            <w:tcW w:w="516" w:type="pct"/>
            <w:vAlign w:val="top"/>
          </w:tcPr>
          <w:p w:rsidR="00281FFB" w:rsidRPr="00281FFB" w:rsidRDefault="00281FFB" w:rsidP="00281FFB">
            <w:pPr>
              <w:cnfStyle w:val="100000000000" w:firstRow="1" w:lastRow="0" w:firstColumn="0" w:lastColumn="0" w:oddVBand="0" w:evenVBand="0" w:oddHBand="0" w:evenHBand="0" w:firstRowFirstColumn="0" w:firstRowLastColumn="0" w:lastRowFirstColumn="0" w:lastRowLastColumn="0"/>
            </w:pPr>
            <w:r w:rsidRPr="00281FFB">
              <w:t>2020</w:t>
            </w:r>
            <w:r w:rsidRPr="00281FFB">
              <w:noBreakHyphen/>
              <w:t>21</w:t>
            </w:r>
          </w:p>
        </w:tc>
        <w:tc>
          <w:tcPr>
            <w:tcW w:w="516" w:type="pct"/>
          </w:tcPr>
          <w:p w:rsidR="00281FFB" w:rsidRPr="00281FFB" w:rsidRDefault="00281FFB" w:rsidP="00281FFB">
            <w:pPr>
              <w:cnfStyle w:val="100000000000" w:firstRow="1" w:lastRow="0" w:firstColumn="0" w:lastColumn="0" w:oddVBand="0" w:evenVBand="0" w:oddHBand="0" w:evenHBand="0" w:firstRowFirstColumn="0" w:firstRowLastColumn="0" w:lastRowFirstColumn="0" w:lastRowLastColumn="0"/>
            </w:pPr>
            <w:r w:rsidRPr="00281FFB">
              <w:t>Total</w:t>
            </w:r>
          </w:p>
        </w:tc>
      </w:tr>
      <w:tr w:rsidR="00281FFB" w:rsidRPr="004664BA" w:rsidTr="00DD7CCC">
        <w:tc>
          <w:tcPr>
            <w:cnfStyle w:val="001000000000" w:firstRow="0" w:lastRow="0" w:firstColumn="1" w:lastColumn="0" w:oddVBand="0" w:evenVBand="0" w:oddHBand="0" w:evenHBand="0" w:firstRowFirstColumn="0" w:firstRowLastColumn="0" w:lastRowFirstColumn="0" w:lastRowLastColumn="0"/>
            <w:tcW w:w="1906" w:type="pct"/>
            <w:vAlign w:val="top"/>
          </w:tcPr>
          <w:p w:rsidR="00281FFB" w:rsidRPr="00281FFB" w:rsidRDefault="00281FFB" w:rsidP="00281FFB">
            <w:r w:rsidRPr="00281FFB">
              <w:t xml:space="preserve">AER final decision </w:t>
            </w:r>
          </w:p>
        </w:tc>
        <w:tc>
          <w:tcPr>
            <w:tcW w:w="515" w:type="pct"/>
            <w:vAlign w:val="top"/>
          </w:tcPr>
          <w:p w:rsidR="00281FFB" w:rsidRPr="00281FFB" w:rsidRDefault="00281FFB" w:rsidP="00C4273C">
            <w:pPr>
              <w:cnfStyle w:val="000000000000" w:firstRow="0" w:lastRow="0" w:firstColumn="0" w:lastColumn="0" w:oddVBand="0" w:evenVBand="0" w:oddHBand="0" w:evenHBand="0" w:firstRowFirstColumn="0" w:firstRowLastColumn="0" w:lastRowFirstColumn="0" w:lastRowLastColumn="0"/>
            </w:pPr>
            <w:r w:rsidRPr="00281FFB">
              <w:t>5.</w:t>
            </w:r>
            <w:r w:rsidR="00C4273C">
              <w:t>4</w:t>
            </w:r>
          </w:p>
        </w:tc>
        <w:tc>
          <w:tcPr>
            <w:tcW w:w="516" w:type="pct"/>
            <w:vAlign w:val="top"/>
          </w:tcPr>
          <w:p w:rsidR="00281FFB" w:rsidRPr="00281FFB" w:rsidRDefault="00281FFB" w:rsidP="00C4273C">
            <w:pPr>
              <w:cnfStyle w:val="000000000000" w:firstRow="0" w:lastRow="0" w:firstColumn="0" w:lastColumn="0" w:oddVBand="0" w:evenVBand="0" w:oddHBand="0" w:evenHBand="0" w:firstRowFirstColumn="0" w:firstRowLastColumn="0" w:lastRowFirstColumn="0" w:lastRowLastColumn="0"/>
            </w:pPr>
            <w:r w:rsidRPr="00281FFB">
              <w:t>(2.</w:t>
            </w:r>
            <w:r w:rsidR="00C4273C">
              <w:t>7</w:t>
            </w:r>
            <w:r w:rsidRPr="00281FFB">
              <w:t>)</w:t>
            </w:r>
          </w:p>
        </w:tc>
        <w:tc>
          <w:tcPr>
            <w:tcW w:w="516" w:type="pct"/>
            <w:vAlign w:val="top"/>
          </w:tcPr>
          <w:p w:rsidR="00281FFB" w:rsidRPr="00281FFB" w:rsidRDefault="00281FFB" w:rsidP="00C4273C">
            <w:pPr>
              <w:cnfStyle w:val="000000000000" w:firstRow="0" w:lastRow="0" w:firstColumn="0" w:lastColumn="0" w:oddVBand="0" w:evenVBand="0" w:oddHBand="0" w:evenHBand="0" w:firstRowFirstColumn="0" w:firstRowLastColumn="0" w:lastRowFirstColumn="0" w:lastRowLastColumn="0"/>
            </w:pPr>
            <w:r w:rsidRPr="00281FFB">
              <w:t>(3.</w:t>
            </w:r>
            <w:r w:rsidR="00C4273C">
              <w:t>5</w:t>
            </w:r>
            <w:r w:rsidRPr="00281FFB">
              <w:t>)</w:t>
            </w:r>
          </w:p>
        </w:tc>
        <w:tc>
          <w:tcPr>
            <w:tcW w:w="515" w:type="pct"/>
            <w:vAlign w:val="top"/>
          </w:tcPr>
          <w:p w:rsidR="00281FFB" w:rsidRPr="00281FFB" w:rsidRDefault="00281FFB" w:rsidP="00C4273C">
            <w:pPr>
              <w:cnfStyle w:val="000000000000" w:firstRow="0" w:lastRow="0" w:firstColumn="0" w:lastColumn="0" w:oddVBand="0" w:evenVBand="0" w:oddHBand="0" w:evenHBand="0" w:firstRowFirstColumn="0" w:firstRowLastColumn="0" w:lastRowFirstColumn="0" w:lastRowLastColumn="0"/>
            </w:pPr>
            <w:r w:rsidRPr="00281FFB">
              <w:t>0.</w:t>
            </w:r>
            <w:r w:rsidR="00C4273C">
              <w:t>3</w:t>
            </w:r>
          </w:p>
        </w:tc>
        <w:tc>
          <w:tcPr>
            <w:tcW w:w="516" w:type="pct"/>
            <w:vAlign w:val="top"/>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r w:rsidRPr="00281FFB">
              <w:t>0.0</w:t>
            </w:r>
          </w:p>
        </w:tc>
        <w:tc>
          <w:tcPr>
            <w:tcW w:w="516" w:type="pct"/>
            <w:vAlign w:val="top"/>
          </w:tcPr>
          <w:p w:rsidR="00281FFB" w:rsidRPr="00281FFB" w:rsidRDefault="00C4273C" w:rsidP="00281FFB">
            <w:pPr>
              <w:cnfStyle w:val="000000000000" w:firstRow="0" w:lastRow="0" w:firstColumn="0" w:lastColumn="0" w:oddVBand="0" w:evenVBand="0" w:oddHBand="0" w:evenHBand="0" w:firstRowFirstColumn="0" w:firstRowLastColumn="0" w:lastRowFirstColumn="0" w:lastRowLastColumn="0"/>
            </w:pPr>
            <w:r>
              <w:t>–0.5</w:t>
            </w:r>
          </w:p>
        </w:tc>
      </w:tr>
      <w:tr w:rsidR="00281FFB" w:rsidRPr="004664BA" w:rsidTr="00DD7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pct"/>
            <w:vAlign w:val="top"/>
          </w:tcPr>
          <w:p w:rsidR="00281FFB" w:rsidRPr="00281FFB" w:rsidRDefault="00281FFB" w:rsidP="00281FFB">
            <w:r w:rsidRPr="00281FFB">
              <w:t>AGN revised proposal</w:t>
            </w:r>
          </w:p>
        </w:tc>
        <w:tc>
          <w:tcPr>
            <w:tcW w:w="515" w:type="pct"/>
            <w:vAlign w:val="top"/>
          </w:tcPr>
          <w:p w:rsidR="00281FFB" w:rsidRPr="00281FFB" w:rsidRDefault="00281FFB" w:rsidP="00C4273C">
            <w:pPr>
              <w:cnfStyle w:val="000000010000" w:firstRow="0" w:lastRow="0" w:firstColumn="0" w:lastColumn="0" w:oddVBand="0" w:evenVBand="0" w:oddHBand="0" w:evenHBand="1" w:firstRowFirstColumn="0" w:firstRowLastColumn="0" w:lastRowFirstColumn="0" w:lastRowLastColumn="0"/>
            </w:pPr>
            <w:r w:rsidRPr="00281FFB">
              <w:t>5.</w:t>
            </w:r>
            <w:r w:rsidR="00C4273C">
              <w:t>4</w:t>
            </w:r>
          </w:p>
        </w:tc>
        <w:tc>
          <w:tcPr>
            <w:tcW w:w="516" w:type="pct"/>
            <w:vAlign w:val="top"/>
          </w:tcPr>
          <w:p w:rsidR="00281FFB" w:rsidRPr="00281FFB" w:rsidRDefault="00281FFB" w:rsidP="00C4273C">
            <w:pPr>
              <w:cnfStyle w:val="000000010000" w:firstRow="0" w:lastRow="0" w:firstColumn="0" w:lastColumn="0" w:oddVBand="0" w:evenVBand="0" w:oddHBand="0" w:evenHBand="1" w:firstRowFirstColumn="0" w:firstRowLastColumn="0" w:lastRowFirstColumn="0" w:lastRowLastColumn="0"/>
            </w:pPr>
            <w:r w:rsidRPr="00281FFB">
              <w:t>(2.</w:t>
            </w:r>
            <w:r w:rsidR="00C4273C">
              <w:t>7</w:t>
            </w:r>
            <w:r w:rsidRPr="00281FFB">
              <w:t>)</w:t>
            </w:r>
          </w:p>
        </w:tc>
        <w:tc>
          <w:tcPr>
            <w:tcW w:w="516" w:type="pct"/>
            <w:vAlign w:val="top"/>
          </w:tcPr>
          <w:p w:rsidR="00281FFB" w:rsidRPr="00281FFB" w:rsidRDefault="00281FFB" w:rsidP="00C4273C">
            <w:pPr>
              <w:cnfStyle w:val="000000010000" w:firstRow="0" w:lastRow="0" w:firstColumn="0" w:lastColumn="0" w:oddVBand="0" w:evenVBand="0" w:oddHBand="0" w:evenHBand="1" w:firstRowFirstColumn="0" w:firstRowLastColumn="0" w:lastRowFirstColumn="0" w:lastRowLastColumn="0"/>
            </w:pPr>
            <w:r w:rsidRPr="00281FFB">
              <w:t>(3.</w:t>
            </w:r>
            <w:r w:rsidR="00C4273C">
              <w:t>5</w:t>
            </w:r>
            <w:r w:rsidRPr="00281FFB">
              <w:t>)</w:t>
            </w:r>
          </w:p>
        </w:tc>
        <w:tc>
          <w:tcPr>
            <w:tcW w:w="515" w:type="pct"/>
            <w:vAlign w:val="top"/>
          </w:tcPr>
          <w:p w:rsidR="00281FFB" w:rsidRPr="00281FFB" w:rsidRDefault="00281FFB" w:rsidP="00C4273C">
            <w:pPr>
              <w:cnfStyle w:val="000000010000" w:firstRow="0" w:lastRow="0" w:firstColumn="0" w:lastColumn="0" w:oddVBand="0" w:evenVBand="0" w:oddHBand="0" w:evenHBand="1" w:firstRowFirstColumn="0" w:firstRowLastColumn="0" w:lastRowFirstColumn="0" w:lastRowLastColumn="0"/>
            </w:pPr>
            <w:r w:rsidRPr="00281FFB">
              <w:t>0.</w:t>
            </w:r>
            <w:r w:rsidR="00C4273C">
              <w:t>3</w:t>
            </w:r>
          </w:p>
        </w:tc>
        <w:tc>
          <w:tcPr>
            <w:tcW w:w="516" w:type="pct"/>
            <w:vAlign w:val="top"/>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r w:rsidRPr="00281FFB">
              <w:t>0.0</w:t>
            </w:r>
          </w:p>
        </w:tc>
        <w:tc>
          <w:tcPr>
            <w:tcW w:w="516" w:type="pct"/>
            <w:vAlign w:val="top"/>
          </w:tcPr>
          <w:p w:rsidR="00281FFB" w:rsidRPr="00281FFB" w:rsidRDefault="00C4273C" w:rsidP="00C4273C">
            <w:pPr>
              <w:cnfStyle w:val="000000010000" w:firstRow="0" w:lastRow="0" w:firstColumn="0" w:lastColumn="0" w:oddVBand="0" w:evenVBand="0" w:oddHBand="0" w:evenHBand="1" w:firstRowFirstColumn="0" w:firstRowLastColumn="0" w:lastRowFirstColumn="0" w:lastRowLastColumn="0"/>
            </w:pPr>
            <w:r>
              <w:t>–0.5</w:t>
            </w:r>
          </w:p>
        </w:tc>
      </w:tr>
    </w:tbl>
    <w:p w:rsidR="00281FFB" w:rsidRPr="00281FFB" w:rsidRDefault="00281FFB" w:rsidP="00281FFB">
      <w:pPr>
        <w:pStyle w:val="AERtablesource"/>
      </w:pPr>
      <w:r w:rsidRPr="00281FFB">
        <w:t>Source:</w:t>
      </w:r>
      <w:r w:rsidRPr="00281FFB">
        <w:tab/>
        <w:t>AER analysis; AGN</w:t>
      </w:r>
      <w:r w:rsidR="006D5CBA">
        <w:t>,</w:t>
      </w:r>
      <w:r w:rsidRPr="00281FFB">
        <w:t xml:space="preserve"> </w:t>
      </w:r>
      <w:r w:rsidRPr="006A7693">
        <w:rPr>
          <w:i/>
        </w:rPr>
        <w:t>Revised Access Arrangement Information for AGN's SA Natural Gas Distribution Network - Attachment 1.5A South Australian Post tax Revenue Model, ECM spreadsheet</w:t>
      </w:r>
      <w:r w:rsidR="00FD71B4">
        <w:t>, January 2016.</w:t>
      </w:r>
    </w:p>
    <w:p w:rsidR="00281FFB" w:rsidRPr="00281FFB" w:rsidRDefault="00281FFB" w:rsidP="00281FFB">
      <w:pPr>
        <w:pStyle w:val="Heading3"/>
      </w:pPr>
      <w:bookmarkStart w:id="16" w:name="_Toc451527472"/>
      <w:r w:rsidRPr="00281FFB">
        <w:t>Incentive mechanism for the 2016–21 period</w:t>
      </w:r>
      <w:bookmarkEnd w:id="16"/>
    </w:p>
    <w:p w:rsidR="00281FFB" w:rsidRPr="00281FFB" w:rsidRDefault="00281FFB" w:rsidP="00281FFB">
      <w:r w:rsidRPr="00281FFB">
        <w:t>Our final decision is to apply an efficiency carryover mechanism to AGN in the 2016</w:t>
      </w:r>
      <w:r w:rsidR="00253D3E">
        <w:noBreakHyphen/>
      </w:r>
      <w:r w:rsidRPr="00281FFB">
        <w:t xml:space="preserve">21 access arrangement period. The mechanism is outlined in our </w:t>
      </w:r>
      <w:r w:rsidR="00CA0FD9">
        <w:t>approved</w:t>
      </w:r>
      <w:r w:rsidR="00032FE7">
        <w:t xml:space="preserve"> </w:t>
      </w:r>
      <w:r w:rsidRPr="00281FFB">
        <w:t>access arrangement for AGN and is</w:t>
      </w:r>
      <w:r w:rsidRPr="00281FFB" w:rsidDel="00EA2306">
        <w:t xml:space="preserve"> consistent with </w:t>
      </w:r>
      <w:r w:rsidRPr="00281FFB">
        <w:t xml:space="preserve">the </w:t>
      </w:r>
      <w:r w:rsidRPr="00281FFB" w:rsidDel="00EA2306">
        <w:t>Efficient Benefit Sharing Scheme</w:t>
      </w:r>
      <w:r w:rsidRPr="00281FFB">
        <w:t xml:space="preserve"> (EBSS)</w:t>
      </w:r>
      <w:r w:rsidRPr="00281FFB" w:rsidDel="00EA2306">
        <w:t xml:space="preserve"> we published for electricity distributors in November 2013.</w:t>
      </w:r>
      <w:r w:rsidRPr="00281FFB">
        <w:t xml:space="preserve"> It is also the same mechanism included in our draft decision, which AGN accepted in its</w:t>
      </w:r>
      <w:r w:rsidR="005D7369">
        <w:t xml:space="preserve"> </w:t>
      </w:r>
      <w:r w:rsidR="00253D3E">
        <w:t>revised proposal</w:t>
      </w:r>
      <w:r w:rsidR="005D7369">
        <w:t xml:space="preserve">. </w:t>
      </w:r>
    </w:p>
    <w:p w:rsidR="00281FFB" w:rsidRPr="00281FFB" w:rsidRDefault="00281FFB" w:rsidP="00281FFB">
      <w:pPr>
        <w:pStyle w:val="Heading2"/>
      </w:pPr>
      <w:bookmarkStart w:id="17" w:name="_Toc451527473"/>
      <w:r w:rsidRPr="00281FFB">
        <w:t>AGN's revised proposal</w:t>
      </w:r>
      <w:bookmarkEnd w:id="17"/>
    </w:p>
    <w:p w:rsidR="00281FFB" w:rsidRPr="00281FFB" w:rsidRDefault="00281FFB" w:rsidP="00281FFB">
      <w:pPr>
        <w:pStyle w:val="Heading3"/>
      </w:pPr>
      <w:bookmarkStart w:id="18" w:name="_Toc451527474"/>
      <w:r w:rsidRPr="00281FFB">
        <w:t>Carryover amounts from the 2011–16 period</w:t>
      </w:r>
      <w:bookmarkEnd w:id="18"/>
      <w:r w:rsidRPr="00281FFB">
        <w:t xml:space="preserve"> </w:t>
      </w:r>
    </w:p>
    <w:p w:rsidR="00281FFB" w:rsidRPr="00281FFB" w:rsidRDefault="00281FFB" w:rsidP="00281FFB">
      <w:r w:rsidRPr="00281FFB">
        <w:t xml:space="preserve">AGN accepted our draft decision on carryover amounts from the 2011–16 </w:t>
      </w:r>
      <w:proofErr w:type="gramStart"/>
      <w:r w:rsidRPr="00281FFB">
        <w:t>period</w:t>
      </w:r>
      <w:proofErr w:type="gramEnd"/>
      <w:r w:rsidR="009E7235">
        <w:t>, which were consistent with its original proposal</w:t>
      </w:r>
      <w:r w:rsidRPr="00281FFB">
        <w:t xml:space="preserve">. </w:t>
      </w:r>
      <w:r w:rsidR="009E7235">
        <w:t xml:space="preserve">However, </w:t>
      </w:r>
      <w:r w:rsidRPr="00281FFB">
        <w:t>AGN updated its calculations, replacing estimated 2014–15 opex with actual 2014–15 opex.</w:t>
      </w:r>
      <w:r w:rsidRPr="00281FFB">
        <w:rPr>
          <w:rStyle w:val="FootnoteReference"/>
        </w:rPr>
        <w:footnoteReference w:id="3"/>
      </w:r>
      <w:r w:rsidR="009570BE" w:rsidRPr="00281FFB">
        <w:t xml:space="preserve"> </w:t>
      </w:r>
      <w:r w:rsidRPr="00281FFB">
        <w:t xml:space="preserve">This results in a total carryover </w:t>
      </w:r>
      <w:r w:rsidR="009E7235">
        <w:t xml:space="preserve">amount </w:t>
      </w:r>
      <w:r w:rsidRPr="00281FFB">
        <w:t xml:space="preserve">of </w:t>
      </w:r>
      <w:r w:rsidR="000D1938">
        <w:t>–</w:t>
      </w:r>
      <w:r w:rsidRPr="00281FFB">
        <w:t>$0.</w:t>
      </w:r>
      <w:r w:rsidR="000D1938">
        <w:t>5</w:t>
      </w:r>
      <w:r w:rsidR="000D1938" w:rsidRPr="00281FFB">
        <w:t xml:space="preserve"> </w:t>
      </w:r>
      <w:r w:rsidRPr="00281FFB">
        <w:t>million ($</w:t>
      </w:r>
      <w:r w:rsidR="0094098E" w:rsidRPr="0094098E">
        <w:t>201</w:t>
      </w:r>
      <w:r w:rsidR="0094098E">
        <w:t>5</w:t>
      </w:r>
      <w:r w:rsidR="0094098E" w:rsidRPr="0094098E">
        <w:t>–1</w:t>
      </w:r>
      <w:r w:rsidR="0094098E">
        <w:t>6</w:t>
      </w:r>
      <w:r w:rsidRPr="00281FFB">
        <w:t xml:space="preserve">) to the revenue building blocks </w:t>
      </w:r>
      <w:r w:rsidR="009E7235">
        <w:t>for the 2016</w:t>
      </w:r>
      <w:r w:rsidR="0043450A">
        <w:t>–</w:t>
      </w:r>
      <w:r w:rsidR="009E7235">
        <w:t>21 access arrangement</w:t>
      </w:r>
      <w:r w:rsidR="007E2F1F">
        <w:t xml:space="preserve"> </w:t>
      </w:r>
      <w:proofErr w:type="gramStart"/>
      <w:r w:rsidR="009E7235">
        <w:t>period</w:t>
      </w:r>
      <w:proofErr w:type="gramEnd"/>
      <w:r w:rsidRPr="00281FFB">
        <w:t xml:space="preserve">. </w:t>
      </w:r>
      <w:r w:rsidRPr="00281FFB">
        <w:fldChar w:fldCharType="begin"/>
      </w:r>
      <w:r w:rsidRPr="00281FFB">
        <w:instrText xml:space="preserve"> REF _Ref440633627 \h </w:instrText>
      </w:r>
      <w:r w:rsidRPr="00281FFB">
        <w:fldChar w:fldCharType="separate"/>
      </w:r>
      <w:r w:rsidR="00EC5C2F" w:rsidRPr="00281FFB">
        <w:t xml:space="preserve">Table </w:t>
      </w:r>
      <w:r w:rsidR="00EC5C2F">
        <w:rPr>
          <w:noProof/>
        </w:rPr>
        <w:t>9</w:t>
      </w:r>
      <w:r w:rsidR="00EC5C2F">
        <w:t>.</w:t>
      </w:r>
      <w:r w:rsidR="00EC5C2F">
        <w:rPr>
          <w:noProof/>
        </w:rPr>
        <w:t>2</w:t>
      </w:r>
      <w:r w:rsidRPr="00281FFB">
        <w:fldChar w:fldCharType="end"/>
      </w:r>
      <w:r w:rsidRPr="00281FFB">
        <w:t xml:space="preserve"> shows AGN's calculation of incremental efficiency gains (losses) and carryover amounts.</w:t>
      </w:r>
    </w:p>
    <w:p w:rsidR="00281FFB" w:rsidRPr="00281FFB" w:rsidRDefault="00281FFB" w:rsidP="00281FFB">
      <w:pPr>
        <w:pStyle w:val="Caption"/>
      </w:pPr>
      <w:bookmarkStart w:id="19" w:name="_Ref440633627"/>
      <w:proofErr w:type="gramStart"/>
      <w:r w:rsidRPr="00281FFB">
        <w:t xml:space="preserve">Table </w:t>
      </w:r>
      <w:proofErr w:type="gramEnd"/>
      <w:r w:rsidR="00E8018B">
        <w:fldChar w:fldCharType="begin"/>
      </w:r>
      <w:r w:rsidR="00E8018B">
        <w:instrText xml:space="preserve"> STYLEREF 1 \s </w:instrText>
      </w:r>
      <w:r w:rsidR="00E8018B">
        <w:fldChar w:fldCharType="separate"/>
      </w:r>
      <w:r w:rsidR="00EC5C2F">
        <w:rPr>
          <w:noProof/>
        </w:rPr>
        <w:t>9</w:t>
      </w:r>
      <w:r w:rsidR="00E8018B">
        <w:rPr>
          <w:noProof/>
        </w:rPr>
        <w:fldChar w:fldCharType="end"/>
      </w:r>
      <w:proofErr w:type="gramStart"/>
      <w:r w:rsidR="00EC5C2F">
        <w:t>.</w:t>
      </w:r>
      <w:proofErr w:type="gramEnd"/>
      <w:r w:rsidR="00EC5C2F">
        <w:fldChar w:fldCharType="begin"/>
      </w:r>
      <w:r w:rsidR="00EC5C2F">
        <w:instrText xml:space="preserve"> SEQ Table \* ARABIC \s 1 </w:instrText>
      </w:r>
      <w:r w:rsidR="00EC5C2F">
        <w:fldChar w:fldCharType="separate"/>
      </w:r>
      <w:r w:rsidR="00EC5C2F">
        <w:rPr>
          <w:noProof/>
        </w:rPr>
        <w:t>2</w:t>
      </w:r>
      <w:r w:rsidR="00EC5C2F">
        <w:fldChar w:fldCharType="end"/>
      </w:r>
      <w:bookmarkEnd w:id="19"/>
      <w:r w:rsidRPr="00281FFB">
        <w:tab/>
        <w:t>AGN's carryover amount calculations ($ million, 2015</w:t>
      </w:r>
      <w:r w:rsidR="0043450A">
        <w:t>–</w:t>
      </w:r>
      <w:r w:rsidRPr="00281FFB">
        <w:t>16)</w:t>
      </w:r>
    </w:p>
    <w:tbl>
      <w:tblPr>
        <w:tblStyle w:val="AERtable-numbers"/>
        <w:tblW w:w="4974" w:type="pct"/>
        <w:tblInd w:w="108" w:type="dxa"/>
        <w:tblLayout w:type="fixed"/>
        <w:tblLook w:val="04A0" w:firstRow="1" w:lastRow="0" w:firstColumn="1" w:lastColumn="0" w:noHBand="0" w:noVBand="1"/>
      </w:tblPr>
      <w:tblGrid>
        <w:gridCol w:w="1701"/>
        <w:gridCol w:w="632"/>
        <w:gridCol w:w="632"/>
        <w:gridCol w:w="632"/>
        <w:gridCol w:w="632"/>
        <w:gridCol w:w="632"/>
        <w:gridCol w:w="632"/>
        <w:gridCol w:w="631"/>
        <w:gridCol w:w="631"/>
        <w:gridCol w:w="631"/>
        <w:gridCol w:w="631"/>
        <w:gridCol w:w="631"/>
      </w:tblGrid>
      <w:tr w:rsidR="00281FFB" w:rsidRPr="004664BA" w:rsidTr="00DD7C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pct"/>
            <w:vAlign w:val="top"/>
          </w:tcPr>
          <w:p w:rsidR="00281FFB" w:rsidRPr="00281FFB" w:rsidRDefault="00281FFB" w:rsidP="00281FFB">
            <w:r w:rsidRPr="00281FFB">
              <w:t>Opex</w:t>
            </w:r>
          </w:p>
        </w:tc>
        <w:tc>
          <w:tcPr>
            <w:tcW w:w="365" w:type="pct"/>
          </w:tcPr>
          <w:p w:rsidR="00281FFB" w:rsidRPr="00281FFB" w:rsidRDefault="00281FFB" w:rsidP="00281FFB">
            <w:pPr>
              <w:cnfStyle w:val="100000000000" w:firstRow="1" w:lastRow="0" w:firstColumn="0" w:lastColumn="0" w:oddVBand="0" w:evenVBand="0" w:oddHBand="0" w:evenHBand="0" w:firstRowFirstColumn="0" w:firstRowLastColumn="0" w:lastRowFirstColumn="0" w:lastRowLastColumn="0"/>
            </w:pPr>
            <w:r w:rsidRPr="00281FFB">
              <w:t>11</w:t>
            </w:r>
            <w:r w:rsidRPr="00281FFB">
              <w:noBreakHyphen/>
              <w:t>12</w:t>
            </w:r>
          </w:p>
        </w:tc>
        <w:tc>
          <w:tcPr>
            <w:tcW w:w="365" w:type="pct"/>
          </w:tcPr>
          <w:p w:rsidR="00281FFB" w:rsidRPr="00281FFB" w:rsidRDefault="00281FFB" w:rsidP="00281FFB">
            <w:pPr>
              <w:cnfStyle w:val="100000000000" w:firstRow="1" w:lastRow="0" w:firstColumn="0" w:lastColumn="0" w:oddVBand="0" w:evenVBand="0" w:oddHBand="0" w:evenHBand="0" w:firstRowFirstColumn="0" w:firstRowLastColumn="0" w:lastRowFirstColumn="0" w:lastRowLastColumn="0"/>
            </w:pPr>
            <w:r w:rsidRPr="00281FFB">
              <w:t>12</w:t>
            </w:r>
            <w:r w:rsidRPr="00281FFB">
              <w:noBreakHyphen/>
              <w:t>13</w:t>
            </w:r>
          </w:p>
        </w:tc>
        <w:tc>
          <w:tcPr>
            <w:tcW w:w="365" w:type="pct"/>
          </w:tcPr>
          <w:p w:rsidR="00281FFB" w:rsidRPr="00281FFB" w:rsidRDefault="00281FFB" w:rsidP="00281FFB">
            <w:pPr>
              <w:cnfStyle w:val="100000000000" w:firstRow="1" w:lastRow="0" w:firstColumn="0" w:lastColumn="0" w:oddVBand="0" w:evenVBand="0" w:oddHBand="0" w:evenHBand="0" w:firstRowFirstColumn="0" w:firstRowLastColumn="0" w:lastRowFirstColumn="0" w:lastRowLastColumn="0"/>
            </w:pPr>
            <w:r w:rsidRPr="00281FFB">
              <w:t>13</w:t>
            </w:r>
            <w:r w:rsidRPr="00281FFB">
              <w:noBreakHyphen/>
              <w:t>14</w:t>
            </w:r>
          </w:p>
        </w:tc>
        <w:tc>
          <w:tcPr>
            <w:tcW w:w="365" w:type="pct"/>
          </w:tcPr>
          <w:p w:rsidR="00281FFB" w:rsidRPr="00281FFB" w:rsidRDefault="00281FFB" w:rsidP="00281FFB">
            <w:pPr>
              <w:cnfStyle w:val="100000000000" w:firstRow="1" w:lastRow="0" w:firstColumn="0" w:lastColumn="0" w:oddVBand="0" w:evenVBand="0" w:oddHBand="0" w:evenHBand="0" w:firstRowFirstColumn="0" w:firstRowLastColumn="0" w:lastRowFirstColumn="0" w:lastRowLastColumn="0"/>
            </w:pPr>
            <w:r w:rsidRPr="00281FFB">
              <w:t>14</w:t>
            </w:r>
            <w:r w:rsidRPr="00281FFB">
              <w:noBreakHyphen/>
              <w:t>15</w:t>
            </w:r>
          </w:p>
        </w:tc>
        <w:tc>
          <w:tcPr>
            <w:tcW w:w="365" w:type="pct"/>
            <w:vAlign w:val="top"/>
          </w:tcPr>
          <w:p w:rsidR="00281FFB" w:rsidRPr="00281FFB" w:rsidRDefault="00281FFB" w:rsidP="00281FFB">
            <w:pPr>
              <w:cnfStyle w:val="100000000000" w:firstRow="1" w:lastRow="0" w:firstColumn="0" w:lastColumn="0" w:oddVBand="0" w:evenVBand="0" w:oddHBand="0" w:evenHBand="0" w:firstRowFirstColumn="0" w:firstRowLastColumn="0" w:lastRowFirstColumn="0" w:lastRowLastColumn="0"/>
            </w:pPr>
            <w:r w:rsidRPr="00281FFB">
              <w:t>15</w:t>
            </w:r>
            <w:r w:rsidRPr="00281FFB">
              <w:noBreakHyphen/>
              <w:t>16</w:t>
            </w:r>
          </w:p>
        </w:tc>
        <w:tc>
          <w:tcPr>
            <w:tcW w:w="365" w:type="pct"/>
            <w:vAlign w:val="top"/>
          </w:tcPr>
          <w:p w:rsidR="00281FFB" w:rsidRPr="00281FFB" w:rsidRDefault="00281FFB" w:rsidP="00281FFB">
            <w:pPr>
              <w:cnfStyle w:val="100000000000" w:firstRow="1" w:lastRow="0" w:firstColumn="0" w:lastColumn="0" w:oddVBand="0" w:evenVBand="0" w:oddHBand="0" w:evenHBand="0" w:firstRowFirstColumn="0" w:firstRowLastColumn="0" w:lastRowFirstColumn="0" w:lastRowLastColumn="0"/>
            </w:pPr>
            <w:r w:rsidRPr="00281FFB">
              <w:t>16</w:t>
            </w:r>
            <w:r w:rsidRPr="00281FFB">
              <w:noBreakHyphen/>
              <w:t>17</w:t>
            </w:r>
          </w:p>
        </w:tc>
        <w:tc>
          <w:tcPr>
            <w:tcW w:w="365" w:type="pct"/>
            <w:vAlign w:val="top"/>
          </w:tcPr>
          <w:p w:rsidR="00281FFB" w:rsidRPr="00281FFB" w:rsidRDefault="00281FFB" w:rsidP="00281FFB">
            <w:pPr>
              <w:cnfStyle w:val="100000000000" w:firstRow="1" w:lastRow="0" w:firstColumn="0" w:lastColumn="0" w:oddVBand="0" w:evenVBand="0" w:oddHBand="0" w:evenHBand="0" w:firstRowFirstColumn="0" w:firstRowLastColumn="0" w:lastRowFirstColumn="0" w:lastRowLastColumn="0"/>
            </w:pPr>
            <w:r w:rsidRPr="00281FFB">
              <w:t>17</w:t>
            </w:r>
            <w:r w:rsidRPr="00281FFB">
              <w:noBreakHyphen/>
              <w:t>18</w:t>
            </w:r>
          </w:p>
        </w:tc>
        <w:tc>
          <w:tcPr>
            <w:tcW w:w="365" w:type="pct"/>
            <w:vAlign w:val="top"/>
          </w:tcPr>
          <w:p w:rsidR="00281FFB" w:rsidRPr="00281FFB" w:rsidRDefault="00281FFB" w:rsidP="00281FFB">
            <w:pPr>
              <w:cnfStyle w:val="100000000000" w:firstRow="1" w:lastRow="0" w:firstColumn="0" w:lastColumn="0" w:oddVBand="0" w:evenVBand="0" w:oddHBand="0" w:evenHBand="0" w:firstRowFirstColumn="0" w:firstRowLastColumn="0" w:lastRowFirstColumn="0" w:lastRowLastColumn="0"/>
            </w:pPr>
            <w:r w:rsidRPr="00281FFB">
              <w:t>18</w:t>
            </w:r>
            <w:r w:rsidRPr="00281FFB">
              <w:noBreakHyphen/>
              <w:t>19</w:t>
            </w:r>
          </w:p>
        </w:tc>
        <w:tc>
          <w:tcPr>
            <w:tcW w:w="365" w:type="pct"/>
            <w:vAlign w:val="top"/>
          </w:tcPr>
          <w:p w:rsidR="00281FFB" w:rsidRPr="00281FFB" w:rsidRDefault="00281FFB" w:rsidP="00281FFB">
            <w:pPr>
              <w:cnfStyle w:val="100000000000" w:firstRow="1" w:lastRow="0" w:firstColumn="0" w:lastColumn="0" w:oddVBand="0" w:evenVBand="0" w:oddHBand="0" w:evenHBand="0" w:firstRowFirstColumn="0" w:firstRowLastColumn="0" w:lastRowFirstColumn="0" w:lastRowLastColumn="0"/>
            </w:pPr>
            <w:r w:rsidRPr="00281FFB">
              <w:t>19</w:t>
            </w:r>
            <w:r w:rsidRPr="00281FFB">
              <w:noBreakHyphen/>
              <w:t>20</w:t>
            </w:r>
          </w:p>
        </w:tc>
        <w:tc>
          <w:tcPr>
            <w:tcW w:w="365" w:type="pct"/>
            <w:vAlign w:val="top"/>
          </w:tcPr>
          <w:p w:rsidR="00281FFB" w:rsidRPr="00281FFB" w:rsidRDefault="00281FFB" w:rsidP="00281FFB">
            <w:pPr>
              <w:cnfStyle w:val="100000000000" w:firstRow="1" w:lastRow="0" w:firstColumn="0" w:lastColumn="0" w:oddVBand="0" w:evenVBand="0" w:oddHBand="0" w:evenHBand="0" w:firstRowFirstColumn="0" w:firstRowLastColumn="0" w:lastRowFirstColumn="0" w:lastRowLastColumn="0"/>
            </w:pPr>
            <w:r w:rsidRPr="00281FFB">
              <w:t>20</w:t>
            </w:r>
            <w:r w:rsidRPr="00281FFB">
              <w:noBreakHyphen/>
              <w:t>21</w:t>
            </w:r>
          </w:p>
        </w:tc>
        <w:tc>
          <w:tcPr>
            <w:tcW w:w="365" w:type="pct"/>
            <w:vAlign w:val="top"/>
          </w:tcPr>
          <w:p w:rsidR="00281FFB" w:rsidRPr="00281FFB" w:rsidRDefault="00281FFB" w:rsidP="00281FFB">
            <w:pPr>
              <w:cnfStyle w:val="100000000000" w:firstRow="1" w:lastRow="0" w:firstColumn="0" w:lastColumn="0" w:oddVBand="0" w:evenVBand="0" w:oddHBand="0" w:evenHBand="0" w:firstRowFirstColumn="0" w:firstRowLastColumn="0" w:lastRowFirstColumn="0" w:lastRowLastColumn="0"/>
            </w:pPr>
            <w:r w:rsidRPr="00281FFB">
              <w:t>Total</w:t>
            </w:r>
          </w:p>
        </w:tc>
      </w:tr>
      <w:tr w:rsidR="00281FFB" w:rsidRPr="004664BA" w:rsidTr="00DD7CCC">
        <w:tc>
          <w:tcPr>
            <w:cnfStyle w:val="001000000000" w:firstRow="0" w:lastRow="0" w:firstColumn="1" w:lastColumn="0" w:oddVBand="0" w:evenVBand="0" w:oddHBand="0" w:evenHBand="0" w:firstRowFirstColumn="0" w:firstRowLastColumn="0" w:lastRowFirstColumn="0" w:lastRowLastColumn="0"/>
            <w:tcW w:w="983" w:type="pct"/>
            <w:vAlign w:val="top"/>
          </w:tcPr>
          <w:p w:rsidR="00281FFB" w:rsidRPr="00281FFB" w:rsidRDefault="00281FFB" w:rsidP="00281FFB">
            <w:r w:rsidRPr="00281FFB">
              <w:t>Benchmark</w:t>
            </w:r>
          </w:p>
        </w:tc>
        <w:tc>
          <w:tcPr>
            <w:tcW w:w="365" w:type="pct"/>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r w:rsidRPr="00281FFB">
              <w:t>77.0</w:t>
            </w:r>
          </w:p>
        </w:tc>
        <w:tc>
          <w:tcPr>
            <w:tcW w:w="365" w:type="pct"/>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r w:rsidRPr="00281FFB">
              <w:t>75.7</w:t>
            </w:r>
          </w:p>
        </w:tc>
        <w:tc>
          <w:tcPr>
            <w:tcW w:w="365" w:type="pct"/>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r w:rsidRPr="00281FFB">
              <w:t>75.0</w:t>
            </w:r>
          </w:p>
        </w:tc>
        <w:tc>
          <w:tcPr>
            <w:tcW w:w="365" w:type="pct"/>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r w:rsidRPr="00281FFB">
              <w:t>73.3</w:t>
            </w:r>
          </w:p>
        </w:tc>
        <w:tc>
          <w:tcPr>
            <w:tcW w:w="365" w:type="pct"/>
            <w:vAlign w:val="top"/>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r w:rsidRPr="00281FFB">
              <w:t>70.6</w:t>
            </w:r>
          </w:p>
        </w:tc>
        <w:tc>
          <w:tcPr>
            <w:tcW w:w="365" w:type="pct"/>
            <w:vAlign w:val="top"/>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p>
        </w:tc>
      </w:tr>
      <w:tr w:rsidR="00281FFB" w:rsidRPr="004664BA" w:rsidTr="00DD7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pct"/>
            <w:vAlign w:val="top"/>
          </w:tcPr>
          <w:p w:rsidR="00281FFB" w:rsidRPr="00281FFB" w:rsidRDefault="00281FFB" w:rsidP="00281FFB">
            <w:r w:rsidRPr="00281FFB">
              <w:t>Actual</w:t>
            </w:r>
          </w:p>
        </w:tc>
        <w:tc>
          <w:tcPr>
            <w:tcW w:w="365" w:type="pct"/>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r w:rsidRPr="00281FFB">
              <w:t>68.9</w:t>
            </w:r>
          </w:p>
        </w:tc>
        <w:tc>
          <w:tcPr>
            <w:tcW w:w="365" w:type="pct"/>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r w:rsidRPr="00281FFB">
              <w:t>66.9</w:t>
            </w:r>
          </w:p>
        </w:tc>
        <w:tc>
          <w:tcPr>
            <w:tcW w:w="365" w:type="pct"/>
          </w:tcPr>
          <w:p w:rsidR="00281FFB" w:rsidRPr="00281FFB" w:rsidRDefault="00281FFB" w:rsidP="00C4273C">
            <w:pPr>
              <w:cnfStyle w:val="000000010000" w:firstRow="0" w:lastRow="0" w:firstColumn="0" w:lastColumn="0" w:oddVBand="0" w:evenVBand="0" w:oddHBand="0" w:evenHBand="1" w:firstRowFirstColumn="0" w:firstRowLastColumn="0" w:lastRowFirstColumn="0" w:lastRowLastColumn="0"/>
            </w:pPr>
            <w:r w:rsidRPr="00281FFB">
              <w:t>69.</w:t>
            </w:r>
            <w:r w:rsidR="00C4273C">
              <w:t>8</w:t>
            </w:r>
          </w:p>
        </w:tc>
        <w:tc>
          <w:tcPr>
            <w:tcW w:w="365" w:type="pct"/>
          </w:tcPr>
          <w:p w:rsidR="00281FFB" w:rsidRPr="00281FFB" w:rsidRDefault="00281FFB" w:rsidP="000D1938">
            <w:pPr>
              <w:cnfStyle w:val="000000010000" w:firstRow="0" w:lastRow="0" w:firstColumn="0" w:lastColumn="0" w:oddVBand="0" w:evenVBand="0" w:oddHBand="0" w:evenHBand="1" w:firstRowFirstColumn="0" w:firstRowLastColumn="0" w:lastRowFirstColumn="0" w:lastRowLastColumn="0"/>
            </w:pPr>
            <w:r w:rsidRPr="00281FFB">
              <w:t>67.</w:t>
            </w:r>
            <w:r w:rsidR="000D1938">
              <w:t>9</w:t>
            </w:r>
          </w:p>
        </w:tc>
        <w:tc>
          <w:tcPr>
            <w:tcW w:w="365" w:type="pct"/>
            <w:vAlign w:val="top"/>
          </w:tcPr>
          <w:p w:rsidR="00281FFB" w:rsidRPr="00281FFB" w:rsidRDefault="00281FFB" w:rsidP="000D1938">
            <w:pPr>
              <w:cnfStyle w:val="000000010000" w:firstRow="0" w:lastRow="0" w:firstColumn="0" w:lastColumn="0" w:oddVBand="0" w:evenVBand="0" w:oddHBand="0" w:evenHBand="1" w:firstRowFirstColumn="0" w:firstRowLastColumn="0" w:lastRowFirstColumn="0" w:lastRowLastColumn="0"/>
            </w:pPr>
            <w:r w:rsidRPr="00281FFB">
              <w:t>65.</w:t>
            </w:r>
            <w:r w:rsidR="000D1938">
              <w:t>2</w:t>
            </w:r>
          </w:p>
        </w:tc>
        <w:tc>
          <w:tcPr>
            <w:tcW w:w="365" w:type="pct"/>
            <w:vAlign w:val="top"/>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p>
        </w:tc>
      </w:tr>
      <w:tr w:rsidR="00281FFB" w:rsidRPr="004664BA" w:rsidTr="00DD7CCC">
        <w:tc>
          <w:tcPr>
            <w:cnfStyle w:val="001000000000" w:firstRow="0" w:lastRow="0" w:firstColumn="1" w:lastColumn="0" w:oddVBand="0" w:evenVBand="0" w:oddHBand="0" w:evenHBand="0" w:firstRowFirstColumn="0" w:firstRowLastColumn="0" w:lastRowFirstColumn="0" w:lastRowLastColumn="0"/>
            <w:tcW w:w="983" w:type="pct"/>
            <w:vAlign w:val="top"/>
          </w:tcPr>
          <w:p w:rsidR="00281FFB" w:rsidRPr="00281FFB" w:rsidRDefault="00281FFB" w:rsidP="00281FFB">
            <w:r w:rsidRPr="00281FFB">
              <w:t>Underspend</w:t>
            </w:r>
          </w:p>
        </w:tc>
        <w:tc>
          <w:tcPr>
            <w:tcW w:w="365" w:type="pct"/>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r w:rsidRPr="00281FFB">
              <w:t>8.1</w:t>
            </w:r>
          </w:p>
        </w:tc>
        <w:tc>
          <w:tcPr>
            <w:tcW w:w="365" w:type="pct"/>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r w:rsidRPr="00281FFB">
              <w:t>8.9</w:t>
            </w:r>
          </w:p>
        </w:tc>
        <w:tc>
          <w:tcPr>
            <w:tcW w:w="365" w:type="pct"/>
          </w:tcPr>
          <w:p w:rsidR="00281FFB" w:rsidRPr="00281FFB" w:rsidRDefault="00281FFB" w:rsidP="000D1938">
            <w:pPr>
              <w:cnfStyle w:val="000000000000" w:firstRow="0" w:lastRow="0" w:firstColumn="0" w:lastColumn="0" w:oddVBand="0" w:evenVBand="0" w:oddHBand="0" w:evenHBand="0" w:firstRowFirstColumn="0" w:firstRowLastColumn="0" w:lastRowFirstColumn="0" w:lastRowLastColumn="0"/>
            </w:pPr>
            <w:r w:rsidRPr="00281FFB">
              <w:t>5.</w:t>
            </w:r>
            <w:r w:rsidR="000D1938">
              <w:t>1</w:t>
            </w:r>
          </w:p>
        </w:tc>
        <w:tc>
          <w:tcPr>
            <w:tcW w:w="365" w:type="pct"/>
          </w:tcPr>
          <w:p w:rsidR="00281FFB" w:rsidRPr="00281FFB" w:rsidRDefault="00281FFB" w:rsidP="000D1938">
            <w:pPr>
              <w:cnfStyle w:val="000000000000" w:firstRow="0" w:lastRow="0" w:firstColumn="0" w:lastColumn="0" w:oddVBand="0" w:evenVBand="0" w:oddHBand="0" w:evenHBand="0" w:firstRowFirstColumn="0" w:firstRowLastColumn="0" w:lastRowFirstColumn="0" w:lastRowLastColumn="0"/>
            </w:pPr>
            <w:r w:rsidRPr="00281FFB">
              <w:t>5.</w:t>
            </w:r>
            <w:r w:rsidR="000D1938">
              <w:t>4</w:t>
            </w:r>
          </w:p>
        </w:tc>
        <w:tc>
          <w:tcPr>
            <w:tcW w:w="365" w:type="pct"/>
            <w:vAlign w:val="top"/>
          </w:tcPr>
          <w:p w:rsidR="00281FFB" w:rsidRPr="00281FFB" w:rsidRDefault="00281FFB" w:rsidP="000D1938">
            <w:pPr>
              <w:cnfStyle w:val="000000000000" w:firstRow="0" w:lastRow="0" w:firstColumn="0" w:lastColumn="0" w:oddVBand="0" w:evenVBand="0" w:oddHBand="0" w:evenHBand="0" w:firstRowFirstColumn="0" w:firstRowLastColumn="0" w:lastRowFirstColumn="0" w:lastRowLastColumn="0"/>
            </w:pPr>
            <w:r w:rsidRPr="00281FFB">
              <w:t>5.</w:t>
            </w:r>
            <w:r w:rsidR="000D1938">
              <w:t>4</w:t>
            </w:r>
          </w:p>
        </w:tc>
        <w:tc>
          <w:tcPr>
            <w:tcW w:w="365" w:type="pct"/>
            <w:vAlign w:val="top"/>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81FFB" w:rsidRPr="00281FFB" w:rsidRDefault="00281FFB" w:rsidP="00281FFB">
            <w:pPr>
              <w:cnfStyle w:val="000000000000" w:firstRow="0" w:lastRow="0" w:firstColumn="0" w:lastColumn="0" w:oddVBand="0" w:evenVBand="0" w:oddHBand="0" w:evenHBand="0" w:firstRowFirstColumn="0" w:firstRowLastColumn="0" w:lastRowFirstColumn="0" w:lastRowLastColumn="0"/>
            </w:pPr>
          </w:p>
        </w:tc>
      </w:tr>
      <w:tr w:rsidR="00281FFB" w:rsidRPr="004664BA" w:rsidTr="00DD7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pct"/>
            <w:vAlign w:val="top"/>
          </w:tcPr>
          <w:p w:rsidR="00281FFB" w:rsidRPr="00281FFB" w:rsidRDefault="00281FFB" w:rsidP="00281FFB">
            <w:r w:rsidRPr="00281FFB">
              <w:t>Incremental gain (loss)</w:t>
            </w:r>
          </w:p>
        </w:tc>
        <w:tc>
          <w:tcPr>
            <w:tcW w:w="365" w:type="pct"/>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r w:rsidRPr="00281FFB">
              <w:t>8.1</w:t>
            </w:r>
          </w:p>
        </w:tc>
        <w:tc>
          <w:tcPr>
            <w:tcW w:w="365" w:type="pct"/>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r w:rsidRPr="00281FFB">
              <w:t>0.8</w:t>
            </w:r>
          </w:p>
        </w:tc>
        <w:tc>
          <w:tcPr>
            <w:tcW w:w="365" w:type="pct"/>
          </w:tcPr>
          <w:p w:rsidR="00281FFB" w:rsidRPr="00281FFB" w:rsidRDefault="00281FFB" w:rsidP="000D1938">
            <w:pPr>
              <w:cnfStyle w:val="000000010000" w:firstRow="0" w:lastRow="0" w:firstColumn="0" w:lastColumn="0" w:oddVBand="0" w:evenVBand="0" w:oddHBand="0" w:evenHBand="1" w:firstRowFirstColumn="0" w:firstRowLastColumn="0" w:lastRowFirstColumn="0" w:lastRowLastColumn="0"/>
            </w:pPr>
            <w:r w:rsidRPr="00281FFB">
              <w:t>(3.</w:t>
            </w:r>
            <w:r w:rsidR="000D1938">
              <w:t>7</w:t>
            </w:r>
            <w:r w:rsidRPr="00281FFB">
              <w:t>)</w:t>
            </w:r>
          </w:p>
        </w:tc>
        <w:tc>
          <w:tcPr>
            <w:tcW w:w="365" w:type="pct"/>
          </w:tcPr>
          <w:p w:rsidR="00281FFB" w:rsidRPr="00281FFB" w:rsidRDefault="00281FFB" w:rsidP="000D1938">
            <w:pPr>
              <w:cnfStyle w:val="000000010000" w:firstRow="0" w:lastRow="0" w:firstColumn="0" w:lastColumn="0" w:oddVBand="0" w:evenVBand="0" w:oddHBand="0" w:evenHBand="1" w:firstRowFirstColumn="0" w:firstRowLastColumn="0" w:lastRowFirstColumn="0" w:lastRowLastColumn="0"/>
            </w:pPr>
            <w:r w:rsidRPr="00281FFB">
              <w:t>0.</w:t>
            </w:r>
            <w:r w:rsidR="000D1938">
              <w:t>3</w:t>
            </w:r>
          </w:p>
        </w:tc>
        <w:tc>
          <w:tcPr>
            <w:tcW w:w="365" w:type="pct"/>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r w:rsidRPr="00281FFB">
              <w:t>0.0</w:t>
            </w:r>
          </w:p>
        </w:tc>
        <w:tc>
          <w:tcPr>
            <w:tcW w:w="365" w:type="pct"/>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81FFB" w:rsidRPr="00281FFB" w:rsidRDefault="00281FFB" w:rsidP="00281FFB">
            <w:pPr>
              <w:cnfStyle w:val="000000010000" w:firstRow="0" w:lastRow="0" w:firstColumn="0" w:lastColumn="0" w:oddVBand="0" w:evenVBand="0" w:oddHBand="0" w:evenHBand="1" w:firstRowFirstColumn="0" w:firstRowLastColumn="0" w:lastRowFirstColumn="0" w:lastRowLastColumn="0"/>
            </w:pPr>
          </w:p>
        </w:tc>
      </w:tr>
      <w:tr w:rsidR="00253D3E" w:rsidRPr="004664BA" w:rsidTr="007E2F1F">
        <w:tc>
          <w:tcPr>
            <w:cnfStyle w:val="001000000000" w:firstRow="0" w:lastRow="0" w:firstColumn="1" w:lastColumn="0" w:oddVBand="0" w:evenVBand="0" w:oddHBand="0" w:evenHBand="0" w:firstRowFirstColumn="0" w:firstRowLastColumn="0" w:lastRowFirstColumn="0" w:lastRowLastColumn="0"/>
            <w:tcW w:w="983" w:type="pct"/>
            <w:vAlign w:val="top"/>
          </w:tcPr>
          <w:p w:rsidR="00253D3E" w:rsidRPr="00253D3E" w:rsidRDefault="00253D3E" w:rsidP="00253D3E">
            <w:r w:rsidRPr="00281FFB">
              <w:t>2016</w:t>
            </w:r>
            <w:r w:rsidRPr="00281FFB">
              <w:noBreakHyphen/>
              <w:t>17</w:t>
            </w:r>
          </w:p>
        </w:tc>
        <w:tc>
          <w:tcPr>
            <w:tcW w:w="365" w:type="pct"/>
            <w:vAlign w:val="top"/>
          </w:tcPr>
          <w:p w:rsidR="00253D3E" w:rsidRPr="00281FFB" w:rsidRDefault="00253D3E" w:rsidP="00253D3E">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53D3E" w:rsidRPr="00253D3E" w:rsidRDefault="00253D3E" w:rsidP="00253D3E">
            <w:pPr>
              <w:cnfStyle w:val="000000000000" w:firstRow="0" w:lastRow="0" w:firstColumn="0" w:lastColumn="0" w:oddVBand="0" w:evenVBand="0" w:oddHBand="0" w:evenHBand="0" w:firstRowFirstColumn="0" w:firstRowLastColumn="0" w:lastRowFirstColumn="0" w:lastRowLastColumn="0"/>
            </w:pPr>
            <w:r w:rsidRPr="00281FFB">
              <w:t>8.1</w:t>
            </w:r>
          </w:p>
        </w:tc>
        <w:tc>
          <w:tcPr>
            <w:tcW w:w="365" w:type="pct"/>
            <w:vAlign w:val="top"/>
          </w:tcPr>
          <w:p w:rsidR="00253D3E" w:rsidRPr="00253D3E" w:rsidRDefault="00253D3E" w:rsidP="00253D3E">
            <w:pPr>
              <w:cnfStyle w:val="000000000000" w:firstRow="0" w:lastRow="0" w:firstColumn="0" w:lastColumn="0" w:oddVBand="0" w:evenVBand="0" w:oddHBand="0" w:evenHBand="0" w:firstRowFirstColumn="0" w:firstRowLastColumn="0" w:lastRowFirstColumn="0" w:lastRowLastColumn="0"/>
            </w:pPr>
            <w:r w:rsidRPr="00281FFB">
              <w:t>8.1</w:t>
            </w:r>
          </w:p>
        </w:tc>
        <w:tc>
          <w:tcPr>
            <w:tcW w:w="365" w:type="pct"/>
            <w:vAlign w:val="top"/>
          </w:tcPr>
          <w:p w:rsidR="00253D3E" w:rsidRPr="00253D3E" w:rsidRDefault="00253D3E" w:rsidP="00253D3E">
            <w:pPr>
              <w:cnfStyle w:val="000000000000" w:firstRow="0" w:lastRow="0" w:firstColumn="0" w:lastColumn="0" w:oddVBand="0" w:evenVBand="0" w:oddHBand="0" w:evenHBand="0" w:firstRowFirstColumn="0" w:firstRowLastColumn="0" w:lastRowFirstColumn="0" w:lastRowLastColumn="0"/>
            </w:pPr>
            <w:r w:rsidRPr="00281FFB">
              <w:t>8.1</w:t>
            </w:r>
          </w:p>
        </w:tc>
        <w:tc>
          <w:tcPr>
            <w:tcW w:w="365" w:type="pct"/>
            <w:vAlign w:val="top"/>
          </w:tcPr>
          <w:p w:rsidR="00253D3E" w:rsidRPr="00253D3E" w:rsidRDefault="00253D3E" w:rsidP="00253D3E">
            <w:pPr>
              <w:cnfStyle w:val="000000000000" w:firstRow="0" w:lastRow="0" w:firstColumn="0" w:lastColumn="0" w:oddVBand="0" w:evenVBand="0" w:oddHBand="0" w:evenHBand="0" w:firstRowFirstColumn="0" w:firstRowLastColumn="0" w:lastRowFirstColumn="0" w:lastRowLastColumn="0"/>
            </w:pPr>
            <w:r w:rsidRPr="00281FFB">
              <w:t>8.1</w:t>
            </w:r>
          </w:p>
        </w:tc>
        <w:tc>
          <w:tcPr>
            <w:tcW w:w="365" w:type="pct"/>
            <w:vAlign w:val="top"/>
          </w:tcPr>
          <w:p w:rsidR="00253D3E" w:rsidRPr="00253D3E" w:rsidRDefault="00253D3E" w:rsidP="00253D3E">
            <w:pPr>
              <w:cnfStyle w:val="000000000000" w:firstRow="0" w:lastRow="0" w:firstColumn="0" w:lastColumn="0" w:oddVBand="0" w:evenVBand="0" w:oddHBand="0" w:evenHBand="0" w:firstRowFirstColumn="0" w:firstRowLastColumn="0" w:lastRowFirstColumn="0" w:lastRowLastColumn="0"/>
            </w:pPr>
            <w:r w:rsidRPr="00281FFB">
              <w:t>8.1</w:t>
            </w:r>
          </w:p>
        </w:tc>
        <w:tc>
          <w:tcPr>
            <w:tcW w:w="365" w:type="pct"/>
            <w:vAlign w:val="top"/>
          </w:tcPr>
          <w:p w:rsidR="00253D3E" w:rsidRPr="00281FFB" w:rsidRDefault="00253D3E" w:rsidP="00253D3E">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53D3E" w:rsidRPr="00281FFB" w:rsidRDefault="00253D3E" w:rsidP="00253D3E">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53D3E" w:rsidRPr="00281FFB" w:rsidRDefault="00253D3E" w:rsidP="00253D3E">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53D3E" w:rsidRPr="00281FFB" w:rsidRDefault="00253D3E" w:rsidP="00253D3E">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53D3E" w:rsidRPr="00281FFB" w:rsidRDefault="00253D3E" w:rsidP="00253D3E">
            <w:pPr>
              <w:cnfStyle w:val="000000000000" w:firstRow="0" w:lastRow="0" w:firstColumn="0" w:lastColumn="0" w:oddVBand="0" w:evenVBand="0" w:oddHBand="0" w:evenHBand="0" w:firstRowFirstColumn="0" w:firstRowLastColumn="0" w:lastRowFirstColumn="0" w:lastRowLastColumn="0"/>
            </w:pPr>
          </w:p>
        </w:tc>
      </w:tr>
      <w:tr w:rsidR="00253D3E" w:rsidRPr="004664BA" w:rsidTr="00DD7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pct"/>
            <w:vAlign w:val="top"/>
          </w:tcPr>
          <w:p w:rsidR="00253D3E" w:rsidRPr="00253D3E" w:rsidRDefault="00253D3E" w:rsidP="00253D3E">
            <w:r w:rsidRPr="00281FFB">
              <w:t>2017</w:t>
            </w:r>
            <w:r w:rsidRPr="00281FFB">
              <w:noBreakHyphen/>
              <w:t>18</w:t>
            </w:r>
          </w:p>
        </w:tc>
        <w:tc>
          <w:tcPr>
            <w:tcW w:w="365" w:type="pct"/>
            <w:vAlign w:val="top"/>
          </w:tcPr>
          <w:p w:rsidR="00253D3E" w:rsidRPr="00281FFB" w:rsidRDefault="00253D3E" w:rsidP="00253D3E">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r w:rsidRPr="00281FFB">
              <w:t>0.8</w:t>
            </w: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r w:rsidRPr="00281FFB">
              <w:t>0.8</w:t>
            </w: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r w:rsidRPr="00281FFB">
              <w:t>0.8</w:t>
            </w: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r w:rsidRPr="00281FFB">
              <w:t>0.8</w:t>
            </w: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r w:rsidRPr="00281FFB">
              <w:t>0.8</w:t>
            </w:r>
          </w:p>
        </w:tc>
        <w:tc>
          <w:tcPr>
            <w:tcW w:w="365" w:type="pct"/>
            <w:vAlign w:val="top"/>
          </w:tcPr>
          <w:p w:rsidR="00253D3E" w:rsidRPr="00281FFB" w:rsidRDefault="00253D3E" w:rsidP="00253D3E">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53D3E" w:rsidRPr="00281FFB" w:rsidRDefault="00253D3E" w:rsidP="00253D3E">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53D3E" w:rsidRPr="00281FFB" w:rsidRDefault="00253D3E" w:rsidP="00253D3E">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53D3E" w:rsidRPr="00281FFB" w:rsidRDefault="00253D3E" w:rsidP="00253D3E">
            <w:pPr>
              <w:cnfStyle w:val="000000010000" w:firstRow="0" w:lastRow="0" w:firstColumn="0" w:lastColumn="0" w:oddVBand="0" w:evenVBand="0" w:oddHBand="0" w:evenHBand="1" w:firstRowFirstColumn="0" w:firstRowLastColumn="0" w:lastRowFirstColumn="0" w:lastRowLastColumn="0"/>
            </w:pPr>
          </w:p>
        </w:tc>
      </w:tr>
      <w:tr w:rsidR="00253D3E" w:rsidRPr="004664BA" w:rsidTr="00DD7CCC">
        <w:tc>
          <w:tcPr>
            <w:cnfStyle w:val="001000000000" w:firstRow="0" w:lastRow="0" w:firstColumn="1" w:lastColumn="0" w:oddVBand="0" w:evenVBand="0" w:oddHBand="0" w:evenHBand="0" w:firstRowFirstColumn="0" w:firstRowLastColumn="0" w:lastRowFirstColumn="0" w:lastRowLastColumn="0"/>
            <w:tcW w:w="983" w:type="pct"/>
            <w:vAlign w:val="top"/>
          </w:tcPr>
          <w:p w:rsidR="00253D3E" w:rsidRPr="00253D3E" w:rsidRDefault="00253D3E" w:rsidP="00253D3E">
            <w:r w:rsidRPr="00281FFB">
              <w:t>2018</w:t>
            </w:r>
            <w:r w:rsidRPr="00281FFB">
              <w:noBreakHyphen/>
              <w:t>19</w:t>
            </w:r>
          </w:p>
        </w:tc>
        <w:tc>
          <w:tcPr>
            <w:tcW w:w="365" w:type="pct"/>
            <w:vAlign w:val="top"/>
          </w:tcPr>
          <w:p w:rsidR="00253D3E" w:rsidRPr="00281FFB" w:rsidRDefault="00253D3E" w:rsidP="00253D3E">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53D3E" w:rsidRPr="00281FFB" w:rsidRDefault="00253D3E" w:rsidP="00253D3E">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53D3E" w:rsidRPr="00253D3E" w:rsidRDefault="00253D3E" w:rsidP="00253D3E">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53D3E" w:rsidRPr="00253D3E" w:rsidRDefault="00253D3E" w:rsidP="00253D3E">
            <w:pPr>
              <w:cnfStyle w:val="000000000000" w:firstRow="0" w:lastRow="0" w:firstColumn="0" w:lastColumn="0" w:oddVBand="0" w:evenVBand="0" w:oddHBand="0" w:evenHBand="0" w:firstRowFirstColumn="0" w:firstRowLastColumn="0" w:lastRowFirstColumn="0" w:lastRowLastColumn="0"/>
            </w:pPr>
            <w:r w:rsidRPr="00281FFB">
              <w:t>(3.</w:t>
            </w:r>
            <w:r w:rsidRPr="00253D3E">
              <w:t>7)</w:t>
            </w:r>
          </w:p>
        </w:tc>
        <w:tc>
          <w:tcPr>
            <w:tcW w:w="365" w:type="pct"/>
            <w:vAlign w:val="top"/>
          </w:tcPr>
          <w:p w:rsidR="00253D3E" w:rsidRPr="00253D3E" w:rsidRDefault="00253D3E" w:rsidP="00253D3E">
            <w:pPr>
              <w:cnfStyle w:val="000000000000" w:firstRow="0" w:lastRow="0" w:firstColumn="0" w:lastColumn="0" w:oddVBand="0" w:evenVBand="0" w:oddHBand="0" w:evenHBand="0" w:firstRowFirstColumn="0" w:firstRowLastColumn="0" w:lastRowFirstColumn="0" w:lastRowLastColumn="0"/>
            </w:pPr>
            <w:r w:rsidRPr="00281FFB">
              <w:t>(3.</w:t>
            </w:r>
            <w:r w:rsidRPr="00253D3E">
              <w:t>7)</w:t>
            </w:r>
          </w:p>
        </w:tc>
        <w:tc>
          <w:tcPr>
            <w:tcW w:w="365" w:type="pct"/>
            <w:vAlign w:val="top"/>
          </w:tcPr>
          <w:p w:rsidR="00253D3E" w:rsidRPr="00253D3E" w:rsidRDefault="00253D3E" w:rsidP="00253D3E">
            <w:pPr>
              <w:cnfStyle w:val="000000000000" w:firstRow="0" w:lastRow="0" w:firstColumn="0" w:lastColumn="0" w:oddVBand="0" w:evenVBand="0" w:oddHBand="0" w:evenHBand="0" w:firstRowFirstColumn="0" w:firstRowLastColumn="0" w:lastRowFirstColumn="0" w:lastRowLastColumn="0"/>
            </w:pPr>
            <w:r w:rsidRPr="00281FFB">
              <w:t>(3.</w:t>
            </w:r>
            <w:r w:rsidRPr="00253D3E">
              <w:t>7)</w:t>
            </w:r>
          </w:p>
        </w:tc>
        <w:tc>
          <w:tcPr>
            <w:tcW w:w="365" w:type="pct"/>
            <w:vAlign w:val="top"/>
          </w:tcPr>
          <w:p w:rsidR="00253D3E" w:rsidRPr="00253D3E" w:rsidRDefault="00253D3E" w:rsidP="00253D3E">
            <w:pPr>
              <w:cnfStyle w:val="000000000000" w:firstRow="0" w:lastRow="0" w:firstColumn="0" w:lastColumn="0" w:oddVBand="0" w:evenVBand="0" w:oddHBand="0" w:evenHBand="0" w:firstRowFirstColumn="0" w:firstRowLastColumn="0" w:lastRowFirstColumn="0" w:lastRowLastColumn="0"/>
            </w:pPr>
            <w:r w:rsidRPr="00281FFB">
              <w:t>(3</w:t>
            </w:r>
            <w:r w:rsidRPr="00253D3E">
              <w:t>.7)</w:t>
            </w:r>
          </w:p>
        </w:tc>
        <w:tc>
          <w:tcPr>
            <w:tcW w:w="365" w:type="pct"/>
            <w:vAlign w:val="top"/>
          </w:tcPr>
          <w:p w:rsidR="00253D3E" w:rsidRPr="00253D3E" w:rsidRDefault="00253D3E" w:rsidP="00253D3E">
            <w:pPr>
              <w:cnfStyle w:val="000000000000" w:firstRow="0" w:lastRow="0" w:firstColumn="0" w:lastColumn="0" w:oddVBand="0" w:evenVBand="0" w:oddHBand="0" w:evenHBand="0" w:firstRowFirstColumn="0" w:firstRowLastColumn="0" w:lastRowFirstColumn="0" w:lastRowLastColumn="0"/>
            </w:pPr>
            <w:r w:rsidRPr="00281FFB">
              <w:t>(3.</w:t>
            </w:r>
            <w:r w:rsidRPr="00253D3E">
              <w:t>7)</w:t>
            </w:r>
          </w:p>
        </w:tc>
        <w:tc>
          <w:tcPr>
            <w:tcW w:w="365" w:type="pct"/>
            <w:vAlign w:val="top"/>
          </w:tcPr>
          <w:p w:rsidR="00253D3E" w:rsidRPr="00281FFB" w:rsidRDefault="00253D3E" w:rsidP="00253D3E">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53D3E" w:rsidRPr="00281FFB" w:rsidRDefault="00253D3E" w:rsidP="00253D3E">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53D3E" w:rsidRPr="00281FFB" w:rsidRDefault="00253D3E" w:rsidP="00253D3E">
            <w:pPr>
              <w:cnfStyle w:val="000000000000" w:firstRow="0" w:lastRow="0" w:firstColumn="0" w:lastColumn="0" w:oddVBand="0" w:evenVBand="0" w:oddHBand="0" w:evenHBand="0" w:firstRowFirstColumn="0" w:firstRowLastColumn="0" w:lastRowFirstColumn="0" w:lastRowLastColumn="0"/>
            </w:pPr>
          </w:p>
        </w:tc>
      </w:tr>
      <w:tr w:rsidR="00253D3E" w:rsidRPr="004664BA" w:rsidTr="00DD7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pct"/>
            <w:vAlign w:val="top"/>
          </w:tcPr>
          <w:p w:rsidR="00253D3E" w:rsidRPr="00253D3E" w:rsidRDefault="00253D3E" w:rsidP="00253D3E">
            <w:r w:rsidRPr="00281FFB">
              <w:t>2019</w:t>
            </w:r>
            <w:r w:rsidRPr="00281FFB">
              <w:noBreakHyphen/>
              <w:t>20</w:t>
            </w:r>
          </w:p>
        </w:tc>
        <w:tc>
          <w:tcPr>
            <w:tcW w:w="365" w:type="pct"/>
            <w:vAlign w:val="top"/>
          </w:tcPr>
          <w:p w:rsidR="00253D3E" w:rsidRPr="00281FFB" w:rsidRDefault="00253D3E" w:rsidP="00253D3E">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53D3E" w:rsidRPr="00281FFB" w:rsidRDefault="00253D3E" w:rsidP="00253D3E">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53D3E" w:rsidRPr="00281FFB" w:rsidRDefault="00253D3E" w:rsidP="00253D3E">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r w:rsidRPr="00281FFB">
              <w:t>0.</w:t>
            </w:r>
            <w:r w:rsidRPr="00253D3E">
              <w:t>3</w:t>
            </w: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r w:rsidRPr="00281FFB">
              <w:t>0.</w:t>
            </w:r>
            <w:r w:rsidRPr="00253D3E">
              <w:t>3</w:t>
            </w: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r w:rsidRPr="00281FFB">
              <w:t>0.</w:t>
            </w:r>
            <w:r w:rsidRPr="00253D3E">
              <w:t>3</w:t>
            </w: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r w:rsidRPr="00281FFB">
              <w:t>0.</w:t>
            </w:r>
            <w:r w:rsidRPr="00253D3E">
              <w:t>3</w:t>
            </w: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r w:rsidRPr="00281FFB">
              <w:t>0.</w:t>
            </w:r>
            <w:r w:rsidRPr="00253D3E">
              <w:t>3</w:t>
            </w:r>
          </w:p>
        </w:tc>
        <w:tc>
          <w:tcPr>
            <w:tcW w:w="365" w:type="pct"/>
            <w:vAlign w:val="top"/>
          </w:tcPr>
          <w:p w:rsidR="00253D3E" w:rsidRPr="00281FFB" w:rsidRDefault="00253D3E" w:rsidP="00253D3E">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53D3E" w:rsidRPr="00281FFB" w:rsidRDefault="00253D3E" w:rsidP="00253D3E">
            <w:pPr>
              <w:cnfStyle w:val="000000010000" w:firstRow="0" w:lastRow="0" w:firstColumn="0" w:lastColumn="0" w:oddVBand="0" w:evenVBand="0" w:oddHBand="0" w:evenHBand="1" w:firstRowFirstColumn="0" w:firstRowLastColumn="0" w:lastRowFirstColumn="0" w:lastRowLastColumn="0"/>
            </w:pPr>
          </w:p>
        </w:tc>
      </w:tr>
      <w:tr w:rsidR="00253D3E" w:rsidRPr="004664BA" w:rsidTr="00DD7CCC">
        <w:tc>
          <w:tcPr>
            <w:cnfStyle w:val="001000000000" w:firstRow="0" w:lastRow="0" w:firstColumn="1" w:lastColumn="0" w:oddVBand="0" w:evenVBand="0" w:oddHBand="0" w:evenHBand="0" w:firstRowFirstColumn="0" w:firstRowLastColumn="0" w:lastRowFirstColumn="0" w:lastRowLastColumn="0"/>
            <w:tcW w:w="983" w:type="pct"/>
            <w:vAlign w:val="top"/>
          </w:tcPr>
          <w:p w:rsidR="00253D3E" w:rsidRPr="00253D3E" w:rsidRDefault="00253D3E" w:rsidP="00253D3E">
            <w:r w:rsidRPr="00281FFB">
              <w:t>2020</w:t>
            </w:r>
            <w:r w:rsidRPr="00281FFB">
              <w:noBreakHyphen/>
              <w:t>21</w:t>
            </w:r>
          </w:p>
        </w:tc>
        <w:tc>
          <w:tcPr>
            <w:tcW w:w="365" w:type="pct"/>
            <w:vAlign w:val="top"/>
          </w:tcPr>
          <w:p w:rsidR="00253D3E" w:rsidRPr="00281FFB" w:rsidRDefault="00253D3E" w:rsidP="00253D3E">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53D3E" w:rsidRPr="00281FFB" w:rsidRDefault="00253D3E" w:rsidP="00253D3E">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53D3E" w:rsidRPr="00281FFB" w:rsidRDefault="00253D3E" w:rsidP="00253D3E">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53D3E" w:rsidRPr="00281FFB" w:rsidRDefault="00253D3E" w:rsidP="00253D3E">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53D3E" w:rsidRPr="00253D3E" w:rsidRDefault="00253D3E" w:rsidP="00253D3E">
            <w:pPr>
              <w:cnfStyle w:val="000000000000" w:firstRow="0" w:lastRow="0" w:firstColumn="0" w:lastColumn="0" w:oddVBand="0" w:evenVBand="0" w:oddHBand="0" w:evenHBand="0" w:firstRowFirstColumn="0" w:firstRowLastColumn="0" w:lastRowFirstColumn="0" w:lastRowLastColumn="0"/>
            </w:pPr>
          </w:p>
        </w:tc>
        <w:tc>
          <w:tcPr>
            <w:tcW w:w="365" w:type="pct"/>
            <w:vAlign w:val="top"/>
          </w:tcPr>
          <w:p w:rsidR="00253D3E" w:rsidRPr="00253D3E" w:rsidRDefault="00253D3E" w:rsidP="00253D3E">
            <w:pPr>
              <w:cnfStyle w:val="000000000000" w:firstRow="0" w:lastRow="0" w:firstColumn="0" w:lastColumn="0" w:oddVBand="0" w:evenVBand="0" w:oddHBand="0" w:evenHBand="0" w:firstRowFirstColumn="0" w:firstRowLastColumn="0" w:lastRowFirstColumn="0" w:lastRowLastColumn="0"/>
            </w:pPr>
            <w:r w:rsidRPr="00281FFB">
              <w:t>0.0</w:t>
            </w:r>
          </w:p>
        </w:tc>
        <w:tc>
          <w:tcPr>
            <w:tcW w:w="365" w:type="pct"/>
            <w:vAlign w:val="top"/>
          </w:tcPr>
          <w:p w:rsidR="00253D3E" w:rsidRPr="00253D3E" w:rsidRDefault="00253D3E" w:rsidP="00253D3E">
            <w:pPr>
              <w:cnfStyle w:val="000000000000" w:firstRow="0" w:lastRow="0" w:firstColumn="0" w:lastColumn="0" w:oddVBand="0" w:evenVBand="0" w:oddHBand="0" w:evenHBand="0" w:firstRowFirstColumn="0" w:firstRowLastColumn="0" w:lastRowFirstColumn="0" w:lastRowLastColumn="0"/>
            </w:pPr>
            <w:r w:rsidRPr="00281FFB">
              <w:t>0.0</w:t>
            </w:r>
          </w:p>
        </w:tc>
        <w:tc>
          <w:tcPr>
            <w:tcW w:w="365" w:type="pct"/>
            <w:vAlign w:val="top"/>
          </w:tcPr>
          <w:p w:rsidR="00253D3E" w:rsidRPr="00253D3E" w:rsidRDefault="00253D3E" w:rsidP="00253D3E">
            <w:pPr>
              <w:cnfStyle w:val="000000000000" w:firstRow="0" w:lastRow="0" w:firstColumn="0" w:lastColumn="0" w:oddVBand="0" w:evenVBand="0" w:oddHBand="0" w:evenHBand="0" w:firstRowFirstColumn="0" w:firstRowLastColumn="0" w:lastRowFirstColumn="0" w:lastRowLastColumn="0"/>
            </w:pPr>
            <w:r w:rsidRPr="00281FFB">
              <w:t>0.0</w:t>
            </w:r>
          </w:p>
        </w:tc>
        <w:tc>
          <w:tcPr>
            <w:tcW w:w="365" w:type="pct"/>
            <w:vAlign w:val="top"/>
          </w:tcPr>
          <w:p w:rsidR="00253D3E" w:rsidRPr="00253D3E" w:rsidRDefault="00253D3E" w:rsidP="00253D3E">
            <w:pPr>
              <w:cnfStyle w:val="000000000000" w:firstRow="0" w:lastRow="0" w:firstColumn="0" w:lastColumn="0" w:oddVBand="0" w:evenVBand="0" w:oddHBand="0" w:evenHBand="0" w:firstRowFirstColumn="0" w:firstRowLastColumn="0" w:lastRowFirstColumn="0" w:lastRowLastColumn="0"/>
            </w:pPr>
            <w:r w:rsidRPr="00281FFB">
              <w:t>0.0</w:t>
            </w:r>
          </w:p>
        </w:tc>
        <w:tc>
          <w:tcPr>
            <w:tcW w:w="365" w:type="pct"/>
            <w:vAlign w:val="top"/>
          </w:tcPr>
          <w:p w:rsidR="00253D3E" w:rsidRPr="00253D3E" w:rsidRDefault="00253D3E" w:rsidP="00253D3E">
            <w:pPr>
              <w:cnfStyle w:val="000000000000" w:firstRow="0" w:lastRow="0" w:firstColumn="0" w:lastColumn="0" w:oddVBand="0" w:evenVBand="0" w:oddHBand="0" w:evenHBand="0" w:firstRowFirstColumn="0" w:firstRowLastColumn="0" w:lastRowFirstColumn="0" w:lastRowLastColumn="0"/>
            </w:pPr>
            <w:r w:rsidRPr="00281FFB">
              <w:t>0.0</w:t>
            </w:r>
          </w:p>
        </w:tc>
        <w:tc>
          <w:tcPr>
            <w:tcW w:w="365" w:type="pct"/>
            <w:vAlign w:val="top"/>
          </w:tcPr>
          <w:p w:rsidR="00253D3E" w:rsidRPr="00281FFB" w:rsidRDefault="00253D3E" w:rsidP="00253D3E">
            <w:pPr>
              <w:cnfStyle w:val="000000000000" w:firstRow="0" w:lastRow="0" w:firstColumn="0" w:lastColumn="0" w:oddVBand="0" w:evenVBand="0" w:oddHBand="0" w:evenHBand="0" w:firstRowFirstColumn="0" w:firstRowLastColumn="0" w:lastRowFirstColumn="0" w:lastRowLastColumn="0"/>
            </w:pPr>
          </w:p>
        </w:tc>
      </w:tr>
      <w:tr w:rsidR="00253D3E" w:rsidRPr="004664BA" w:rsidTr="00DD7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pct"/>
            <w:vAlign w:val="top"/>
          </w:tcPr>
          <w:p w:rsidR="00253D3E" w:rsidRPr="00253D3E" w:rsidRDefault="00253D3E" w:rsidP="00253D3E">
            <w:r w:rsidRPr="00281FFB">
              <w:t>Efficiency carryover</w:t>
            </w:r>
            <w:r>
              <w:t xml:space="preserve"> amounts</w:t>
            </w:r>
          </w:p>
        </w:tc>
        <w:tc>
          <w:tcPr>
            <w:tcW w:w="365" w:type="pct"/>
            <w:vAlign w:val="top"/>
          </w:tcPr>
          <w:p w:rsidR="00253D3E" w:rsidRPr="00281FFB" w:rsidRDefault="00253D3E" w:rsidP="00253D3E">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53D3E" w:rsidRPr="00281FFB" w:rsidRDefault="00253D3E" w:rsidP="00253D3E">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53D3E" w:rsidRPr="00281FFB" w:rsidRDefault="00253D3E" w:rsidP="00253D3E">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53D3E" w:rsidRPr="00281FFB" w:rsidRDefault="00253D3E" w:rsidP="00253D3E">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53D3E" w:rsidRPr="00281FFB" w:rsidRDefault="00253D3E" w:rsidP="00253D3E">
            <w:pPr>
              <w:cnfStyle w:val="000000010000" w:firstRow="0" w:lastRow="0" w:firstColumn="0" w:lastColumn="0" w:oddVBand="0" w:evenVBand="0" w:oddHBand="0" w:evenHBand="1" w:firstRowFirstColumn="0" w:firstRowLastColumn="0" w:lastRowFirstColumn="0" w:lastRowLastColumn="0"/>
            </w:pP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r w:rsidRPr="00281FFB">
              <w:t>5.</w:t>
            </w:r>
            <w:r w:rsidRPr="00253D3E">
              <w:t>4</w:t>
            </w: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r w:rsidRPr="00281FFB">
              <w:t>(2.</w:t>
            </w:r>
            <w:r w:rsidRPr="00253D3E">
              <w:t>7)</w:t>
            </w: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r w:rsidRPr="00281FFB">
              <w:t>(3.</w:t>
            </w:r>
            <w:r w:rsidRPr="00253D3E">
              <w:t>5)</w:t>
            </w: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r w:rsidRPr="00281FFB">
              <w:t>0.</w:t>
            </w:r>
            <w:r w:rsidRPr="00253D3E">
              <w:t>3</w:t>
            </w: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r w:rsidRPr="00281FFB">
              <w:t>0.0</w:t>
            </w:r>
          </w:p>
        </w:tc>
        <w:tc>
          <w:tcPr>
            <w:tcW w:w="365" w:type="pct"/>
            <w:vAlign w:val="top"/>
          </w:tcPr>
          <w:p w:rsidR="00253D3E" w:rsidRPr="00253D3E" w:rsidRDefault="00253D3E" w:rsidP="00253D3E">
            <w:pPr>
              <w:cnfStyle w:val="000000010000" w:firstRow="0" w:lastRow="0" w:firstColumn="0" w:lastColumn="0" w:oddVBand="0" w:evenVBand="0" w:oddHBand="0" w:evenHBand="1" w:firstRowFirstColumn="0" w:firstRowLastColumn="0" w:lastRowFirstColumn="0" w:lastRowLastColumn="0"/>
            </w:pPr>
            <w:r>
              <w:t>–0.5</w:t>
            </w:r>
          </w:p>
        </w:tc>
      </w:tr>
    </w:tbl>
    <w:p w:rsidR="00281FFB" w:rsidRDefault="00281FFB" w:rsidP="00281FFB">
      <w:pPr>
        <w:pStyle w:val="AERtablesource"/>
      </w:pPr>
      <w:r w:rsidRPr="00281FFB">
        <w:t>Source:</w:t>
      </w:r>
      <w:r w:rsidRPr="00281FFB">
        <w:tab/>
        <w:t>AGN</w:t>
      </w:r>
      <w:r w:rsidR="006A7693">
        <w:t>,</w:t>
      </w:r>
      <w:r w:rsidRPr="00281FFB">
        <w:t xml:space="preserve"> </w:t>
      </w:r>
      <w:r w:rsidRPr="00815E93">
        <w:rPr>
          <w:i/>
        </w:rPr>
        <w:t>Revised Access Arrangement Information for AGN's SA Natural Gas Distribution Network - Attachment 1.5A South Australian Post</w:t>
      </w:r>
      <w:r w:rsidR="00E714F6">
        <w:t>-</w:t>
      </w:r>
      <w:r w:rsidRPr="00815E93">
        <w:rPr>
          <w:i/>
        </w:rPr>
        <w:t>tax Revenue Model, ECM spreadsheet</w:t>
      </w:r>
      <w:r w:rsidR="000D1938">
        <w:t xml:space="preserve">, </w:t>
      </w:r>
      <w:r w:rsidR="004B5B99">
        <w:t xml:space="preserve">January 2016, </w:t>
      </w:r>
      <w:r w:rsidR="000D1938">
        <w:t xml:space="preserve">and AGN, </w:t>
      </w:r>
      <w:r w:rsidR="000D1938" w:rsidRPr="00815E93">
        <w:rPr>
          <w:i/>
        </w:rPr>
        <w:t>Response to AER Information request AER AGN 34A Valve Corrosion Protection</w:t>
      </w:r>
      <w:r w:rsidR="000D1938">
        <w:t xml:space="preserve"> </w:t>
      </w:r>
      <w:r w:rsidR="004B5B99">
        <w:t>[</w:t>
      </w:r>
      <w:r w:rsidR="000D1938">
        <w:t>email</w:t>
      </w:r>
      <w:r w:rsidR="004B5B99">
        <w:t xml:space="preserve"> to AER],</w:t>
      </w:r>
      <w:r w:rsidR="000D1938">
        <w:t xml:space="preserve"> 17 February 2016.</w:t>
      </w:r>
    </w:p>
    <w:p w:rsidR="00281FFB" w:rsidRPr="00281FFB" w:rsidRDefault="00281FFB" w:rsidP="00281FFB">
      <w:pPr>
        <w:pStyle w:val="Heading3"/>
      </w:pPr>
      <w:bookmarkStart w:id="20" w:name="_Toc451527475"/>
      <w:r w:rsidRPr="00281FFB">
        <w:t>Incentive mechanism for the 2016–21 period</w:t>
      </w:r>
      <w:bookmarkEnd w:id="20"/>
    </w:p>
    <w:p w:rsidR="00281FFB" w:rsidRPr="00281FFB" w:rsidRDefault="00281FFB" w:rsidP="00281FFB">
      <w:r w:rsidRPr="00281FFB">
        <w:t>In its revised proposal, AGN accepted</w:t>
      </w:r>
      <w:r w:rsidR="009E7235">
        <w:t xml:space="preserve"> </w:t>
      </w:r>
      <w:r w:rsidRPr="00281FFB">
        <w:t xml:space="preserve">our draft decision to apply an incentive mechanism consistent with version two of our EBSS in the </w:t>
      </w:r>
      <w:r w:rsidR="00A11502" w:rsidRPr="00A11502">
        <w:t xml:space="preserve">2016–21 </w:t>
      </w:r>
      <w:r w:rsidRPr="00281FFB">
        <w:t>access arrangement</w:t>
      </w:r>
      <w:r w:rsidR="009E7235">
        <w:t xml:space="preserve"> </w:t>
      </w:r>
      <w:proofErr w:type="gramStart"/>
      <w:r w:rsidR="009E7235">
        <w:t>period</w:t>
      </w:r>
      <w:proofErr w:type="gramEnd"/>
      <w:r w:rsidRPr="00281FFB">
        <w:t>.</w:t>
      </w:r>
      <w:r w:rsidRPr="00281FFB">
        <w:rPr>
          <w:rStyle w:val="FootnoteReference"/>
        </w:rPr>
        <w:footnoteReference w:id="4"/>
      </w:r>
      <w:r w:rsidR="001E7C70">
        <w:t xml:space="preserve"> </w:t>
      </w:r>
      <w:r w:rsidR="0068330F">
        <w:rPr>
          <w:rStyle w:val="FootnoteReference"/>
        </w:rPr>
        <w:footnoteReference w:id="5"/>
      </w:r>
    </w:p>
    <w:p w:rsidR="00281FFB" w:rsidRPr="00281FFB" w:rsidRDefault="00281FFB" w:rsidP="00281FFB">
      <w:pPr>
        <w:pStyle w:val="Heading2"/>
      </w:pPr>
      <w:bookmarkStart w:id="21" w:name="_Toc451527476"/>
      <w:r w:rsidRPr="00281FFB">
        <w:t>AER's assessment approach</w:t>
      </w:r>
      <w:bookmarkEnd w:id="21"/>
      <w:r w:rsidRPr="00281FFB">
        <w:t xml:space="preserve"> </w:t>
      </w:r>
    </w:p>
    <w:p w:rsidR="00281FFB" w:rsidRPr="00281FFB" w:rsidRDefault="00281FFB" w:rsidP="00281FFB">
      <w:r w:rsidRPr="00281FFB">
        <w:t>Our assessment approach is the same as in the draft decision.</w:t>
      </w:r>
      <w:r w:rsidRPr="00281FFB">
        <w:rPr>
          <w:rStyle w:val="FootnoteReference"/>
        </w:rPr>
        <w:footnoteReference w:id="6"/>
      </w:r>
      <w:r w:rsidRPr="00281FFB">
        <w:t xml:space="preserve"> In the draft decision we also discuss the interrelationships between the efficiency carryover mechanism, our forecasting approach and other incentive schemes.</w:t>
      </w:r>
    </w:p>
    <w:p w:rsidR="00281FFB" w:rsidRPr="00281FFB" w:rsidRDefault="00281FFB" w:rsidP="00281FFB">
      <w:pPr>
        <w:pStyle w:val="Heading2"/>
      </w:pPr>
      <w:bookmarkStart w:id="22" w:name="_Toc451527477"/>
      <w:r w:rsidRPr="00281FFB">
        <w:t>Reasons for final decision</w:t>
      </w:r>
      <w:bookmarkEnd w:id="22"/>
      <w:r w:rsidRPr="00281FFB">
        <w:t xml:space="preserve"> </w:t>
      </w:r>
    </w:p>
    <w:p w:rsidR="00281FFB" w:rsidRPr="00281FFB" w:rsidRDefault="00281FFB" w:rsidP="00281FFB">
      <w:pPr>
        <w:pStyle w:val="Heading3"/>
      </w:pPr>
      <w:bookmarkStart w:id="23" w:name="_Toc451527478"/>
      <w:r w:rsidRPr="00281FFB">
        <w:t>Carryover amounts from the 2011–16 period</w:t>
      </w:r>
      <w:bookmarkEnd w:id="23"/>
    </w:p>
    <w:p w:rsidR="00281FFB" w:rsidRPr="00281FFB" w:rsidRDefault="00281FFB" w:rsidP="00281FFB">
      <w:r w:rsidRPr="00281FFB">
        <w:t>In our draft decision, we accepted AGN's calculations which resulted in a total carryover of $4.8 million ($</w:t>
      </w:r>
      <w:r w:rsidR="00A11502" w:rsidRPr="00A11502">
        <w:t>2015–16</w:t>
      </w:r>
      <w:r w:rsidRPr="00281FFB">
        <w:t xml:space="preserve">) to the revenue building blocks for the 2016–21 access arrangement </w:t>
      </w:r>
      <w:proofErr w:type="gramStart"/>
      <w:r w:rsidRPr="00281FFB">
        <w:t>period</w:t>
      </w:r>
      <w:proofErr w:type="gramEnd"/>
      <w:r w:rsidRPr="00281FFB">
        <w:t>.</w:t>
      </w:r>
    </w:p>
    <w:p w:rsidR="00281FFB" w:rsidRPr="00281FFB" w:rsidRDefault="00281FFB" w:rsidP="00281FFB">
      <w:r w:rsidRPr="00281FFB">
        <w:t xml:space="preserve">AGN maintained </w:t>
      </w:r>
      <w:r w:rsidR="009E7235">
        <w:t>its approach to the</w:t>
      </w:r>
      <w:r w:rsidR="009E7235" w:rsidRPr="00281FFB">
        <w:t xml:space="preserve"> </w:t>
      </w:r>
      <w:r w:rsidRPr="00281FFB">
        <w:t xml:space="preserve">treatment of incremental efficiency gains (losses) but updated the calculations </w:t>
      </w:r>
      <w:r w:rsidR="009E7235">
        <w:t xml:space="preserve">using </w:t>
      </w:r>
      <w:r w:rsidRPr="00281FFB">
        <w:t>actual audited 2014–15 opex (rather than estimated 2014–15 opex).</w:t>
      </w:r>
      <w:r w:rsidR="009570BE" w:rsidRPr="009570BE">
        <w:rPr>
          <w:rStyle w:val="FootnoteReference"/>
        </w:rPr>
        <w:t xml:space="preserve"> </w:t>
      </w:r>
      <w:r w:rsidRPr="00281FFB">
        <w:t>We accept AGN's revisions</w:t>
      </w:r>
      <w:r w:rsidR="009E7235">
        <w:t xml:space="preserve"> and the resulting total carryover amount of </w:t>
      </w:r>
      <w:r w:rsidR="000D1938">
        <w:t>–</w:t>
      </w:r>
      <w:r w:rsidR="009E7235">
        <w:t>$0.</w:t>
      </w:r>
      <w:r w:rsidR="000D1938">
        <w:t>5</w:t>
      </w:r>
      <w:r w:rsidR="00BA3706">
        <w:t xml:space="preserve"> </w:t>
      </w:r>
      <w:r w:rsidR="009E7235">
        <w:t>m</w:t>
      </w:r>
      <w:r w:rsidR="00BA3706">
        <w:t>illion</w:t>
      </w:r>
      <w:r w:rsidR="009E7235">
        <w:t xml:space="preserve"> </w:t>
      </w:r>
      <w:r w:rsidR="00BA3706" w:rsidRPr="00281FFB">
        <w:t>($</w:t>
      </w:r>
      <w:r w:rsidR="00BA3706" w:rsidRPr="00A11502">
        <w:t>2015–16</w:t>
      </w:r>
      <w:r w:rsidR="00BA3706" w:rsidRPr="00281FFB">
        <w:t xml:space="preserve">) </w:t>
      </w:r>
      <w:r w:rsidR="009E7235">
        <w:t xml:space="preserve">to be applied to </w:t>
      </w:r>
      <w:r w:rsidR="009E7235" w:rsidRPr="00281FFB">
        <w:t>the reven</w:t>
      </w:r>
      <w:r w:rsidR="009E7235">
        <w:t>ue building blocks for the 2016</w:t>
      </w:r>
      <w:r w:rsidR="0043450A">
        <w:t>–</w:t>
      </w:r>
      <w:r w:rsidR="009E7235" w:rsidRPr="00281FFB">
        <w:t xml:space="preserve">21 access arrangement </w:t>
      </w:r>
      <w:proofErr w:type="gramStart"/>
      <w:r w:rsidR="009E7235" w:rsidRPr="00281FFB">
        <w:t>period</w:t>
      </w:r>
      <w:proofErr w:type="gramEnd"/>
      <w:r w:rsidRPr="00281FFB">
        <w:t>.</w:t>
      </w:r>
      <w:r w:rsidR="00B2429B">
        <w:t xml:space="preserve"> </w:t>
      </w:r>
      <w:r w:rsidR="0068330F">
        <w:fldChar w:fldCharType="begin"/>
      </w:r>
      <w:r w:rsidR="0068330F">
        <w:instrText xml:space="preserve"> REF _Ref440636117 \h </w:instrText>
      </w:r>
      <w:r w:rsidR="0068330F">
        <w:fldChar w:fldCharType="separate"/>
      </w:r>
      <w:r w:rsidR="00815C76">
        <w:t xml:space="preserve">Table </w:t>
      </w:r>
      <w:r w:rsidR="00815C76">
        <w:rPr>
          <w:noProof/>
        </w:rPr>
        <w:t>9</w:t>
      </w:r>
      <w:r w:rsidR="00815C76">
        <w:noBreakHyphen/>
      </w:r>
      <w:r w:rsidR="00815C76">
        <w:rPr>
          <w:noProof/>
        </w:rPr>
        <w:t>1</w:t>
      </w:r>
      <w:r w:rsidR="0068330F">
        <w:fldChar w:fldCharType="end"/>
      </w:r>
      <w:r w:rsidR="0068330F">
        <w:t xml:space="preserve"> </w:t>
      </w:r>
      <w:r w:rsidRPr="00281FFB">
        <w:t>shows our final decision on carryover amounts</w:t>
      </w:r>
      <w:r w:rsidR="009570BE">
        <w:t xml:space="preserve"> from the 2011</w:t>
      </w:r>
      <w:r w:rsidR="000D1938">
        <w:t>–</w:t>
      </w:r>
      <w:r w:rsidR="009570BE">
        <w:t xml:space="preserve">16 </w:t>
      </w:r>
      <w:proofErr w:type="gramStart"/>
      <w:r w:rsidR="009570BE">
        <w:t>peri</w:t>
      </w:r>
      <w:r w:rsidR="00B15C57">
        <w:t>o</w:t>
      </w:r>
      <w:r w:rsidR="009570BE">
        <w:t>d</w:t>
      </w:r>
      <w:proofErr w:type="gramEnd"/>
      <w:r w:rsidRPr="00281FFB">
        <w:t xml:space="preserve">. </w:t>
      </w:r>
    </w:p>
    <w:p w:rsidR="00281FFB" w:rsidRPr="00281FFB" w:rsidRDefault="00281FFB" w:rsidP="00281FFB">
      <w:pPr>
        <w:pStyle w:val="Heading3"/>
      </w:pPr>
      <w:bookmarkStart w:id="24" w:name="_Toc430702965"/>
      <w:bookmarkStart w:id="25" w:name="_Toc436054689"/>
      <w:bookmarkStart w:id="26" w:name="_Toc451527479"/>
      <w:r w:rsidRPr="00281FFB">
        <w:t xml:space="preserve">Incentive mechanism for the 2016–21 </w:t>
      </w:r>
      <w:bookmarkEnd w:id="24"/>
      <w:r w:rsidRPr="00281FFB">
        <w:t>period</w:t>
      </w:r>
      <w:bookmarkEnd w:id="25"/>
      <w:bookmarkEnd w:id="26"/>
    </w:p>
    <w:p w:rsidR="009570BE" w:rsidRDefault="00466E87" w:rsidP="00996AB3">
      <w:r>
        <w:t>Our final decision is to accept the efficiency carryover mechanism for the 2016</w:t>
      </w:r>
      <w:r>
        <w:noBreakHyphen/>
        <w:t xml:space="preserve">21 period included in AGN's revised proposal for reasons </w:t>
      </w:r>
      <w:r w:rsidR="00F06312">
        <w:t xml:space="preserve">set out </w:t>
      </w:r>
      <w:r>
        <w:t>in our draft decision.</w:t>
      </w:r>
      <w:r>
        <w:rPr>
          <w:rStyle w:val="FootnoteReference"/>
        </w:rPr>
        <w:footnoteReference w:id="7"/>
      </w:r>
      <w:r>
        <w:t xml:space="preserve"> AGN's revised proposal accepted the efficiency carryover mechanism we proposed in our draft decision. </w:t>
      </w:r>
    </w:p>
    <w:p w:rsidR="00A2303E" w:rsidRPr="0074565D" w:rsidRDefault="00281FFB" w:rsidP="00996AB3">
      <w:r w:rsidRPr="00281FFB">
        <w:t xml:space="preserve">Table 7.1 in Attachment 7 sets out our final decision on AGN's opex for the </w:t>
      </w:r>
      <w:r w:rsidR="00CD7C81">
        <w:t>ECM</w:t>
      </w:r>
      <w:r w:rsidR="00CD7C81" w:rsidRPr="00281FFB">
        <w:t xml:space="preserve"> </w:t>
      </w:r>
      <w:r w:rsidRPr="00281FFB">
        <w:t xml:space="preserve">against which we will calculate efficiency gains </w:t>
      </w:r>
      <w:r w:rsidR="009570BE">
        <w:t xml:space="preserve">(or losses) </w:t>
      </w:r>
      <w:r w:rsidRPr="00281FFB">
        <w:t>in the 2016–21 access arrangement period.</w:t>
      </w:r>
      <w:r w:rsidRPr="00281FFB">
        <w:rPr>
          <w:rStyle w:val="FootnoteReference"/>
        </w:rPr>
        <w:footnoteReference w:id="8"/>
      </w:r>
      <w:r w:rsidRPr="00281FFB">
        <w:t xml:space="preserve"> </w:t>
      </w:r>
    </w:p>
    <w:sectPr w:rsidR="00A2303E" w:rsidRPr="0074565D"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46" w:rsidRPr="00290C63" w:rsidRDefault="00393646" w:rsidP="00290C63">
      <w:r>
        <w:separator/>
      </w:r>
    </w:p>
    <w:p w:rsidR="00393646" w:rsidRDefault="00393646"/>
  </w:endnote>
  <w:endnote w:type="continuationSeparator" w:id="0">
    <w:p w:rsidR="00393646" w:rsidRPr="00290C63" w:rsidRDefault="00393646" w:rsidP="00290C63">
      <w:r>
        <w:continuationSeparator/>
      </w:r>
    </w:p>
    <w:p w:rsidR="00393646" w:rsidRDefault="00393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39364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393646" w:rsidRDefault="00393646">
    <w:pPr>
      <w:pStyle w:val="Footer"/>
    </w:pPr>
  </w:p>
  <w:p w:rsidR="00393646" w:rsidRDefault="00393646">
    <w:pPr>
      <w:pStyle w:val="Footer"/>
    </w:pPr>
    <w:r>
      <w:fldChar w:fldCharType="begin"/>
    </w:r>
    <w:r>
      <w:instrText xml:space="preserve"> DOCPROPERTY DocumentID \* MERGEFORMAT </w:instrText>
    </w:r>
    <w:r>
      <w:fldChar w:fldCharType="separate"/>
    </w:r>
    <w:r w:rsidR="00815C76">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393646" w:rsidRPr="00CA52A2" w:rsidRDefault="00393646" w:rsidP="00CA52A2">
        <w:pPr>
          <w:pStyle w:val="Footer"/>
        </w:pPr>
        <w:r w:rsidRPr="00CA52A2">
          <w:fldChar w:fldCharType="begin"/>
        </w:r>
        <w:r>
          <w:instrText xml:space="preserve"> PAGE   \* MERGEFORMAT </w:instrText>
        </w:r>
        <w:r w:rsidRPr="00CA52A2">
          <w:fldChar w:fldCharType="separate"/>
        </w:r>
        <w:r w:rsidR="00DB28BF">
          <w:rPr>
            <w:noProof/>
          </w:rPr>
          <w:t>9-7</w:t>
        </w:r>
        <w:r w:rsidRPr="00CA52A2">
          <w:fldChar w:fldCharType="end"/>
        </w:r>
        <w:r w:rsidRPr="00CA52A2">
          <w:t xml:space="preserve">          Attachment </w:t>
        </w:r>
        <w:r w:rsidR="005D03B1">
          <w:t>9</w:t>
        </w:r>
        <w:r>
          <w:t xml:space="preserve"> </w:t>
        </w:r>
        <w:r w:rsidRPr="00CA52A2">
          <w:t xml:space="preserve">– </w:t>
        </w:r>
        <w:r w:rsidR="005D03B1">
          <w:t>Efficiency carryover mechanism</w:t>
        </w:r>
        <w:r w:rsidR="009D2B38" w:rsidRPr="00CA52A2">
          <w:t xml:space="preserve"> </w:t>
        </w:r>
        <w:r w:rsidRPr="00CA52A2">
          <w:t xml:space="preserve">| </w:t>
        </w:r>
        <w:r w:rsidR="00D41E80">
          <w:t>Final</w:t>
        </w:r>
        <w:r>
          <w:t xml:space="preserve"> decision: </w:t>
        </w:r>
        <w:r w:rsidR="0043395D">
          <w:t xml:space="preserve">Australian Gas Networks </w:t>
        </w:r>
        <w:r>
          <w:t>Access Arrangement 2016</w:t>
        </w:r>
        <w:r w:rsidRPr="00CA52A2">
          <w:t>–</w:t>
        </w:r>
        <w:r>
          <w:t>21</w:t>
        </w:r>
      </w:p>
    </w:sdtContent>
  </w:sdt>
  <w:p w:rsidR="00393646" w:rsidRDefault="00393646">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46" w:rsidRPr="00290C63" w:rsidRDefault="00393646" w:rsidP="00290C63">
      <w:r>
        <w:separator/>
      </w:r>
    </w:p>
    <w:p w:rsidR="00393646" w:rsidRDefault="00393646"/>
  </w:footnote>
  <w:footnote w:type="continuationSeparator" w:id="0">
    <w:p w:rsidR="00393646" w:rsidRPr="00290C63" w:rsidRDefault="00393646" w:rsidP="00290C63">
      <w:r>
        <w:continuationSeparator/>
      </w:r>
    </w:p>
    <w:p w:rsidR="00393646" w:rsidRDefault="00393646"/>
  </w:footnote>
  <w:footnote w:id="1">
    <w:p w:rsidR="00281FFB" w:rsidRDefault="00281FFB" w:rsidP="00281FFB">
      <w:pPr>
        <w:pStyle w:val="FootnoteText"/>
      </w:pPr>
      <w:r>
        <w:rPr>
          <w:rStyle w:val="FootnoteReference"/>
        </w:rPr>
        <w:footnoteRef/>
      </w:r>
      <w:r>
        <w:t xml:space="preserve"> </w:t>
      </w:r>
      <w:r>
        <w:tab/>
        <w:t xml:space="preserve">This mechanism was based on version one of the </w:t>
      </w:r>
      <w:r w:rsidR="009E7235">
        <w:t>E</w:t>
      </w:r>
      <w:r>
        <w:t xml:space="preserve">fficiency </w:t>
      </w:r>
      <w:r w:rsidR="009E7235">
        <w:t>B</w:t>
      </w:r>
      <w:r>
        <w:t xml:space="preserve">enefit </w:t>
      </w:r>
      <w:r w:rsidR="009E7235">
        <w:t>S</w:t>
      </w:r>
      <w:r>
        <w:t xml:space="preserve">haring </w:t>
      </w:r>
      <w:r w:rsidR="009E7235">
        <w:t>S</w:t>
      </w:r>
      <w:r>
        <w:t>cheme that applied to electricity distribution network service providers, which we published in June 2008</w:t>
      </w:r>
      <w:r w:rsidR="009E7235">
        <w:t>.</w:t>
      </w:r>
    </w:p>
  </w:footnote>
  <w:footnote w:id="2">
    <w:p w:rsidR="00C4273C" w:rsidRDefault="00C4273C">
      <w:pPr>
        <w:pStyle w:val="FootnoteText"/>
      </w:pPr>
      <w:r>
        <w:rPr>
          <w:rStyle w:val="FootnoteReference"/>
        </w:rPr>
        <w:footnoteRef/>
      </w:r>
      <w:r>
        <w:t xml:space="preserve"> </w:t>
      </w:r>
      <w:r>
        <w:tab/>
        <w:t xml:space="preserve">AGN amended </w:t>
      </w:r>
      <w:r w:rsidR="00253D3E">
        <w:t xml:space="preserve">its revised efficiency carryover mechanism calculations in February 2016 to take into account a project that was reclassified as opex (from capex) refer to </w:t>
      </w:r>
      <w:r>
        <w:t xml:space="preserve">AGN, </w:t>
      </w:r>
      <w:r w:rsidRPr="006A7693">
        <w:rPr>
          <w:i/>
        </w:rPr>
        <w:t>Response to AER Information request AER AGN 34A Valve Corrosion Protection</w:t>
      </w:r>
      <w:r>
        <w:t xml:space="preserve"> </w:t>
      </w:r>
      <w:r w:rsidR="003A2D83">
        <w:t>[</w:t>
      </w:r>
      <w:r>
        <w:t>email</w:t>
      </w:r>
      <w:r w:rsidR="003A2D83">
        <w:t xml:space="preserve"> to AER],</w:t>
      </w:r>
      <w:r>
        <w:t xml:space="preserve"> </w:t>
      </w:r>
      <w:proofErr w:type="gramStart"/>
      <w:r>
        <w:t>17</w:t>
      </w:r>
      <w:proofErr w:type="gramEnd"/>
      <w:r>
        <w:t xml:space="preserve"> February 2016. </w:t>
      </w:r>
    </w:p>
  </w:footnote>
  <w:footnote w:id="3">
    <w:p w:rsidR="00281FFB" w:rsidRDefault="00281FFB" w:rsidP="00281FFB">
      <w:pPr>
        <w:pStyle w:val="FootnoteText"/>
      </w:pPr>
      <w:r>
        <w:rPr>
          <w:rStyle w:val="FootnoteReference"/>
        </w:rPr>
        <w:footnoteRef/>
      </w:r>
      <w:r>
        <w:t xml:space="preserve"> </w:t>
      </w:r>
      <w:r>
        <w:tab/>
      </w:r>
      <w:proofErr w:type="gramStart"/>
      <w:r>
        <w:t>AGN</w:t>
      </w:r>
      <w:r w:rsidR="005B189C">
        <w:t>,</w:t>
      </w:r>
      <w:proofErr w:type="gramEnd"/>
      <w:r>
        <w:t xml:space="preserve"> </w:t>
      </w:r>
      <w:r w:rsidRPr="00815E93">
        <w:rPr>
          <w:i/>
        </w:rPr>
        <w:t>Revised Access Arrangement Information for AGN's SA Natural Gas Distribution Network - Attachment 12.1 Incentive Arrangements</w:t>
      </w:r>
      <w:r>
        <w:t xml:space="preserve">, </w:t>
      </w:r>
      <w:r w:rsidR="004B5B99">
        <w:t xml:space="preserve">January 2016, </w:t>
      </w:r>
      <w:r>
        <w:t>p</w:t>
      </w:r>
      <w:r w:rsidR="005B189C">
        <w:t>p.</w:t>
      </w:r>
      <w:r w:rsidR="000D1938">
        <w:t> </w:t>
      </w:r>
      <w:r w:rsidR="0068330F">
        <w:t>8</w:t>
      </w:r>
      <w:r w:rsidR="00EC5C2F" w:rsidRPr="00EC5C2F">
        <w:t>–</w:t>
      </w:r>
      <w:r w:rsidR="0068330F">
        <w:t>9</w:t>
      </w:r>
      <w:r>
        <w:t>.</w:t>
      </w:r>
    </w:p>
  </w:footnote>
  <w:footnote w:id="4">
    <w:p w:rsidR="00281FFB" w:rsidRDefault="00281FFB" w:rsidP="00281FFB">
      <w:pPr>
        <w:pStyle w:val="FootnoteText"/>
      </w:pPr>
      <w:r>
        <w:rPr>
          <w:rStyle w:val="FootnoteReference"/>
        </w:rPr>
        <w:footnoteRef/>
      </w:r>
      <w:r>
        <w:t xml:space="preserve"> </w:t>
      </w:r>
      <w:r>
        <w:tab/>
        <w:t>Details on how version two of the EBSS operates are set out in the AER's November 2013 publications 'Efficiency Benefit Sharing Scheme for Electricity Network Service Providers', and 'Explanatory Statement - Efficiency Benefit Sharing Scheme for Electricity Network Service Providers'.</w:t>
      </w:r>
      <w:r w:rsidRPr="00B96FE9">
        <w:t xml:space="preserve"> </w:t>
      </w:r>
    </w:p>
  </w:footnote>
  <w:footnote w:id="5">
    <w:p w:rsidR="0068330F" w:rsidRDefault="0068330F">
      <w:pPr>
        <w:pStyle w:val="FootnoteText"/>
      </w:pPr>
      <w:r>
        <w:rPr>
          <w:rStyle w:val="FootnoteReference"/>
        </w:rPr>
        <w:footnoteRef/>
      </w:r>
      <w:r>
        <w:t xml:space="preserve"> </w:t>
      </w:r>
      <w:r>
        <w:tab/>
      </w:r>
      <w:r w:rsidRPr="0068330F">
        <w:t>AGN</w:t>
      </w:r>
      <w:r w:rsidR="001C09B0">
        <w:t>,</w:t>
      </w:r>
      <w:r w:rsidRPr="0068330F">
        <w:t xml:space="preserve"> </w:t>
      </w:r>
      <w:r w:rsidRPr="003B2070">
        <w:rPr>
          <w:i/>
        </w:rPr>
        <w:t xml:space="preserve">Revised Access Arrangement Information for AGN's SA Natural Gas Distribution </w:t>
      </w:r>
      <w:proofErr w:type="gramStart"/>
      <w:r w:rsidRPr="003B2070">
        <w:rPr>
          <w:i/>
        </w:rPr>
        <w:t>Network  -</w:t>
      </w:r>
      <w:proofErr w:type="gramEnd"/>
      <w:r w:rsidRPr="003B2070">
        <w:rPr>
          <w:i/>
        </w:rPr>
        <w:t xml:space="preserve"> Attachment 12.1 Incentive Arrangements</w:t>
      </w:r>
      <w:r w:rsidRPr="0068330F">
        <w:t xml:space="preserve">, </w:t>
      </w:r>
      <w:r w:rsidR="001C09B0">
        <w:t xml:space="preserve">January 2016, </w:t>
      </w:r>
      <w:r w:rsidRPr="0068330F">
        <w:t>p</w:t>
      </w:r>
      <w:r w:rsidR="001C09B0">
        <w:t xml:space="preserve">p. </w:t>
      </w:r>
      <w:r w:rsidR="000D1938">
        <w:t> </w:t>
      </w:r>
      <w:proofErr w:type="gramStart"/>
      <w:r w:rsidR="00796748">
        <w:t>2</w:t>
      </w:r>
      <w:r w:rsidR="009F2288">
        <w:t>, 9</w:t>
      </w:r>
      <w:r w:rsidRPr="0068330F">
        <w:t>.</w:t>
      </w:r>
      <w:proofErr w:type="gramEnd"/>
    </w:p>
  </w:footnote>
  <w:footnote w:id="6">
    <w:p w:rsidR="00281FFB" w:rsidRDefault="00281FFB" w:rsidP="00281FFB">
      <w:pPr>
        <w:pStyle w:val="FootnoteText"/>
      </w:pPr>
      <w:r>
        <w:rPr>
          <w:rStyle w:val="FootnoteReference"/>
        </w:rPr>
        <w:footnoteRef/>
      </w:r>
      <w:r>
        <w:t xml:space="preserve"> </w:t>
      </w:r>
      <w:r>
        <w:tab/>
      </w:r>
      <w:proofErr w:type="gramStart"/>
      <w:r>
        <w:t xml:space="preserve">AER, </w:t>
      </w:r>
      <w:r w:rsidRPr="00815E93">
        <w:rPr>
          <w:i/>
        </w:rPr>
        <w:t>Draft decision Australian Gas Networks Access Arrangement 2016-21 - Attachment 9 - Efficiency carryover mechanism</w:t>
      </w:r>
      <w:r>
        <w:t xml:space="preserve">, </w:t>
      </w:r>
      <w:r w:rsidR="00427F94">
        <w:t xml:space="preserve">November 2015, </w:t>
      </w:r>
      <w:r>
        <w:t>p</w:t>
      </w:r>
      <w:r w:rsidR="00E70D48">
        <w:t xml:space="preserve">. </w:t>
      </w:r>
      <w:r>
        <w:t>9-10.</w:t>
      </w:r>
      <w:proofErr w:type="gramEnd"/>
    </w:p>
  </w:footnote>
  <w:footnote w:id="7">
    <w:p w:rsidR="00466E87" w:rsidRDefault="00466E87">
      <w:pPr>
        <w:pStyle w:val="FootnoteText"/>
      </w:pPr>
      <w:r>
        <w:rPr>
          <w:rStyle w:val="FootnoteReference"/>
        </w:rPr>
        <w:footnoteRef/>
      </w:r>
      <w:r>
        <w:t xml:space="preserve"> </w:t>
      </w:r>
      <w:r>
        <w:tab/>
      </w:r>
      <w:proofErr w:type="gramStart"/>
      <w:r w:rsidRPr="00466E87">
        <w:t xml:space="preserve">AER, </w:t>
      </w:r>
      <w:r w:rsidRPr="00815E93">
        <w:rPr>
          <w:i/>
        </w:rPr>
        <w:t>Draft decision Australian Gas Networks Access Arrangement 2016-21 - Attachment 9 - Efficiency carryover mechanism</w:t>
      </w:r>
      <w:r w:rsidR="00253D3E">
        <w:t xml:space="preserve">, </w:t>
      </w:r>
      <w:r w:rsidR="00476E97">
        <w:t xml:space="preserve">November 2015, </w:t>
      </w:r>
      <w:r w:rsidR="00253D3E">
        <w:t>p</w:t>
      </w:r>
      <w:r w:rsidR="00476E97">
        <w:t>p.</w:t>
      </w:r>
      <w:r w:rsidR="00253D3E">
        <w:t> </w:t>
      </w:r>
      <w:r w:rsidR="00476E97">
        <w:t>9-</w:t>
      </w:r>
      <w:r w:rsidR="00253D3E">
        <w:t xml:space="preserve">11 </w:t>
      </w:r>
      <w:r w:rsidR="00476E97">
        <w:t>to 9</w:t>
      </w:r>
      <w:r w:rsidR="00253D3E">
        <w:t>-16</w:t>
      </w:r>
      <w:r>
        <w:t>.</w:t>
      </w:r>
      <w:proofErr w:type="gramEnd"/>
    </w:p>
  </w:footnote>
  <w:footnote w:id="8">
    <w:p w:rsidR="00281FFB" w:rsidRDefault="00281FFB" w:rsidP="00281FFB">
      <w:pPr>
        <w:pStyle w:val="FootnoteText"/>
      </w:pPr>
      <w:r>
        <w:rPr>
          <w:rStyle w:val="FootnoteReference"/>
        </w:rPr>
        <w:footnoteRef/>
      </w:r>
      <w:r>
        <w:t xml:space="preserve"> </w:t>
      </w:r>
      <w:r>
        <w:tab/>
        <w:t>Total opex in Table 7.1 does not include debt raising costs. While this forecast includes costs that have been specifically forecast, we would expect these costs to be excluded from the calculation of the efficiency carryover mechanism as they are not forecast using a single</w:t>
      </w:r>
      <w:r w:rsidR="00DE5BBE">
        <w:t>-</w:t>
      </w:r>
      <w:r>
        <w:t>year revealed cost approach.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DB28BF">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393646">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DB28BF">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0DA82A58"/>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hzAdDNrXlpc1P3v5DbMhAoPVNaHLnDUs47JuEQGXyGc=" w:saltValue="/lEfq57M7fGaAj84e4aO1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924\AER15 4324  AER - Final decision Amadeus Gas Pipeline Access Arrangement - Attachment 9 - Efficiency carryover mechanism - April 2016.DOCX"/>
  </w:docVars>
  <w:rsids>
    <w:rsidRoot w:val="00961A4A"/>
    <w:rsid w:val="00004633"/>
    <w:rsid w:val="00010286"/>
    <w:rsid w:val="00021202"/>
    <w:rsid w:val="00021C2B"/>
    <w:rsid w:val="0002517F"/>
    <w:rsid w:val="00026495"/>
    <w:rsid w:val="00032FE7"/>
    <w:rsid w:val="0003578C"/>
    <w:rsid w:val="000401AF"/>
    <w:rsid w:val="00041DDA"/>
    <w:rsid w:val="00063247"/>
    <w:rsid w:val="00063A92"/>
    <w:rsid w:val="00070F9F"/>
    <w:rsid w:val="0007137B"/>
    <w:rsid w:val="00085663"/>
    <w:rsid w:val="00085EBF"/>
    <w:rsid w:val="00085F93"/>
    <w:rsid w:val="00091B15"/>
    <w:rsid w:val="000A1E7C"/>
    <w:rsid w:val="000A3020"/>
    <w:rsid w:val="000A6C7B"/>
    <w:rsid w:val="000B0360"/>
    <w:rsid w:val="000C2B40"/>
    <w:rsid w:val="000D01F4"/>
    <w:rsid w:val="000D06C1"/>
    <w:rsid w:val="000D122C"/>
    <w:rsid w:val="000D1938"/>
    <w:rsid w:val="000D1D01"/>
    <w:rsid w:val="000D3016"/>
    <w:rsid w:val="000D64F2"/>
    <w:rsid w:val="000D7F32"/>
    <w:rsid w:val="000E1819"/>
    <w:rsid w:val="000E4821"/>
    <w:rsid w:val="000E6C72"/>
    <w:rsid w:val="000F0B2B"/>
    <w:rsid w:val="000F3E72"/>
    <w:rsid w:val="000F48B1"/>
    <w:rsid w:val="000F723D"/>
    <w:rsid w:val="00103A67"/>
    <w:rsid w:val="00116EB2"/>
    <w:rsid w:val="00124609"/>
    <w:rsid w:val="00126A4C"/>
    <w:rsid w:val="00142AB6"/>
    <w:rsid w:val="0014573B"/>
    <w:rsid w:val="00147E70"/>
    <w:rsid w:val="00156DCC"/>
    <w:rsid w:val="001573E4"/>
    <w:rsid w:val="00160756"/>
    <w:rsid w:val="0017232E"/>
    <w:rsid w:val="00174102"/>
    <w:rsid w:val="0017480F"/>
    <w:rsid w:val="001754EE"/>
    <w:rsid w:val="00180157"/>
    <w:rsid w:val="00182467"/>
    <w:rsid w:val="00185CB9"/>
    <w:rsid w:val="00186F77"/>
    <w:rsid w:val="001926A4"/>
    <w:rsid w:val="00192AD5"/>
    <w:rsid w:val="001B3F62"/>
    <w:rsid w:val="001B45A0"/>
    <w:rsid w:val="001B45C0"/>
    <w:rsid w:val="001B6F2E"/>
    <w:rsid w:val="001B7D00"/>
    <w:rsid w:val="001C09B0"/>
    <w:rsid w:val="001C17E7"/>
    <w:rsid w:val="001C18AA"/>
    <w:rsid w:val="001D055E"/>
    <w:rsid w:val="001E009C"/>
    <w:rsid w:val="001E5FE2"/>
    <w:rsid w:val="001E7C70"/>
    <w:rsid w:val="001F05A4"/>
    <w:rsid w:val="001F492E"/>
    <w:rsid w:val="001F6DA3"/>
    <w:rsid w:val="002010BC"/>
    <w:rsid w:val="002016E7"/>
    <w:rsid w:val="00201F98"/>
    <w:rsid w:val="00202E03"/>
    <w:rsid w:val="0020478D"/>
    <w:rsid w:val="0020492C"/>
    <w:rsid w:val="00205A33"/>
    <w:rsid w:val="0022444D"/>
    <w:rsid w:val="00224DB9"/>
    <w:rsid w:val="00227DCE"/>
    <w:rsid w:val="0023276C"/>
    <w:rsid w:val="00233775"/>
    <w:rsid w:val="00251745"/>
    <w:rsid w:val="00253D3E"/>
    <w:rsid w:val="00263AC0"/>
    <w:rsid w:val="00264264"/>
    <w:rsid w:val="0026772D"/>
    <w:rsid w:val="00277554"/>
    <w:rsid w:val="00281FFB"/>
    <w:rsid w:val="00286874"/>
    <w:rsid w:val="00290C63"/>
    <w:rsid w:val="00296B65"/>
    <w:rsid w:val="0029724D"/>
    <w:rsid w:val="002A6688"/>
    <w:rsid w:val="002A7DEF"/>
    <w:rsid w:val="002B1003"/>
    <w:rsid w:val="002B573C"/>
    <w:rsid w:val="002C233C"/>
    <w:rsid w:val="002D72E8"/>
    <w:rsid w:val="002E7B22"/>
    <w:rsid w:val="002F7986"/>
    <w:rsid w:val="00301B40"/>
    <w:rsid w:val="00301F1F"/>
    <w:rsid w:val="003029A5"/>
    <w:rsid w:val="003029EE"/>
    <w:rsid w:val="0030370B"/>
    <w:rsid w:val="00305CC8"/>
    <w:rsid w:val="00307F6D"/>
    <w:rsid w:val="003130C9"/>
    <w:rsid w:val="003177A2"/>
    <w:rsid w:val="00320869"/>
    <w:rsid w:val="00326B1D"/>
    <w:rsid w:val="003271B5"/>
    <w:rsid w:val="00327A1E"/>
    <w:rsid w:val="00331264"/>
    <w:rsid w:val="003338A2"/>
    <w:rsid w:val="00334C8D"/>
    <w:rsid w:val="0033548E"/>
    <w:rsid w:val="00343A18"/>
    <w:rsid w:val="00344473"/>
    <w:rsid w:val="00344D08"/>
    <w:rsid w:val="003457F9"/>
    <w:rsid w:val="00347114"/>
    <w:rsid w:val="003518B3"/>
    <w:rsid w:val="003578CD"/>
    <w:rsid w:val="003666F2"/>
    <w:rsid w:val="003717D8"/>
    <w:rsid w:val="003846F1"/>
    <w:rsid w:val="003903D4"/>
    <w:rsid w:val="00391BF0"/>
    <w:rsid w:val="003931A7"/>
    <w:rsid w:val="00393646"/>
    <w:rsid w:val="003A2D83"/>
    <w:rsid w:val="003B2070"/>
    <w:rsid w:val="003B484F"/>
    <w:rsid w:val="003B7FBA"/>
    <w:rsid w:val="003F174D"/>
    <w:rsid w:val="003F572D"/>
    <w:rsid w:val="003F7442"/>
    <w:rsid w:val="00415F31"/>
    <w:rsid w:val="0042205D"/>
    <w:rsid w:val="00423A77"/>
    <w:rsid w:val="00427F94"/>
    <w:rsid w:val="0043395D"/>
    <w:rsid w:val="0043450A"/>
    <w:rsid w:val="00436ECD"/>
    <w:rsid w:val="00452473"/>
    <w:rsid w:val="0045777E"/>
    <w:rsid w:val="00461B0F"/>
    <w:rsid w:val="00461C29"/>
    <w:rsid w:val="00466E87"/>
    <w:rsid w:val="00471F5A"/>
    <w:rsid w:val="00474EC7"/>
    <w:rsid w:val="00476E97"/>
    <w:rsid w:val="00480B4B"/>
    <w:rsid w:val="00485DC4"/>
    <w:rsid w:val="004A0A5E"/>
    <w:rsid w:val="004A43D1"/>
    <w:rsid w:val="004B355D"/>
    <w:rsid w:val="004B4412"/>
    <w:rsid w:val="004B5B99"/>
    <w:rsid w:val="004C0C43"/>
    <w:rsid w:val="004C348C"/>
    <w:rsid w:val="004C6A30"/>
    <w:rsid w:val="004D1A96"/>
    <w:rsid w:val="004D55BA"/>
    <w:rsid w:val="004E22EC"/>
    <w:rsid w:val="004E2A4C"/>
    <w:rsid w:val="004F6A0E"/>
    <w:rsid w:val="00507769"/>
    <w:rsid w:val="00530128"/>
    <w:rsid w:val="00532467"/>
    <w:rsid w:val="00537FD6"/>
    <w:rsid w:val="00552B25"/>
    <w:rsid w:val="00564A4D"/>
    <w:rsid w:val="0056588A"/>
    <w:rsid w:val="00567BA5"/>
    <w:rsid w:val="00571B35"/>
    <w:rsid w:val="00571D57"/>
    <w:rsid w:val="00577A09"/>
    <w:rsid w:val="005829C2"/>
    <w:rsid w:val="00584D8F"/>
    <w:rsid w:val="00585A4E"/>
    <w:rsid w:val="00586819"/>
    <w:rsid w:val="0059704C"/>
    <w:rsid w:val="005A404D"/>
    <w:rsid w:val="005B189C"/>
    <w:rsid w:val="005B1E3C"/>
    <w:rsid w:val="005B3FB7"/>
    <w:rsid w:val="005B4D33"/>
    <w:rsid w:val="005B704A"/>
    <w:rsid w:val="005C0A7F"/>
    <w:rsid w:val="005C26CC"/>
    <w:rsid w:val="005C4C9C"/>
    <w:rsid w:val="005C6218"/>
    <w:rsid w:val="005D03B1"/>
    <w:rsid w:val="005D7369"/>
    <w:rsid w:val="005D7BA2"/>
    <w:rsid w:val="005E36C2"/>
    <w:rsid w:val="005F0183"/>
    <w:rsid w:val="005F60E6"/>
    <w:rsid w:val="005F727F"/>
    <w:rsid w:val="006007DE"/>
    <w:rsid w:val="00601638"/>
    <w:rsid w:val="00610EF9"/>
    <w:rsid w:val="00612F4F"/>
    <w:rsid w:val="006150FB"/>
    <w:rsid w:val="00615C6B"/>
    <w:rsid w:val="00620DC3"/>
    <w:rsid w:val="00621DCE"/>
    <w:rsid w:val="00632D6D"/>
    <w:rsid w:val="00640812"/>
    <w:rsid w:val="00640995"/>
    <w:rsid w:val="00642C3E"/>
    <w:rsid w:val="00651C3A"/>
    <w:rsid w:val="00651CB2"/>
    <w:rsid w:val="006560CA"/>
    <w:rsid w:val="0066104A"/>
    <w:rsid w:val="00663DAD"/>
    <w:rsid w:val="00665649"/>
    <w:rsid w:val="00666E20"/>
    <w:rsid w:val="006672AA"/>
    <w:rsid w:val="00675E20"/>
    <w:rsid w:val="00676679"/>
    <w:rsid w:val="006812E7"/>
    <w:rsid w:val="0068330F"/>
    <w:rsid w:val="00683C89"/>
    <w:rsid w:val="00684C16"/>
    <w:rsid w:val="00691D9A"/>
    <w:rsid w:val="006A7693"/>
    <w:rsid w:val="006A7CB9"/>
    <w:rsid w:val="006A7D76"/>
    <w:rsid w:val="006B2395"/>
    <w:rsid w:val="006B45A4"/>
    <w:rsid w:val="006B4CF9"/>
    <w:rsid w:val="006B785B"/>
    <w:rsid w:val="006B7AC8"/>
    <w:rsid w:val="006C1736"/>
    <w:rsid w:val="006C4798"/>
    <w:rsid w:val="006C774D"/>
    <w:rsid w:val="006D22F2"/>
    <w:rsid w:val="006D550F"/>
    <w:rsid w:val="006D5CBA"/>
    <w:rsid w:val="006E3F76"/>
    <w:rsid w:val="006F1F83"/>
    <w:rsid w:val="006F3AD1"/>
    <w:rsid w:val="006F3FC8"/>
    <w:rsid w:val="006F6183"/>
    <w:rsid w:val="0070011E"/>
    <w:rsid w:val="00701CAB"/>
    <w:rsid w:val="00707563"/>
    <w:rsid w:val="0072348C"/>
    <w:rsid w:val="00724A37"/>
    <w:rsid w:val="007303C3"/>
    <w:rsid w:val="00741C46"/>
    <w:rsid w:val="00741E23"/>
    <w:rsid w:val="007429BE"/>
    <w:rsid w:val="00743223"/>
    <w:rsid w:val="00746E01"/>
    <w:rsid w:val="00747EEA"/>
    <w:rsid w:val="00752C8D"/>
    <w:rsid w:val="00757364"/>
    <w:rsid w:val="00757BDF"/>
    <w:rsid w:val="007609D0"/>
    <w:rsid w:val="00763618"/>
    <w:rsid w:val="00763E5D"/>
    <w:rsid w:val="00767740"/>
    <w:rsid w:val="00777EE6"/>
    <w:rsid w:val="00782EEA"/>
    <w:rsid w:val="00796748"/>
    <w:rsid w:val="007A7002"/>
    <w:rsid w:val="007A7136"/>
    <w:rsid w:val="007A7F63"/>
    <w:rsid w:val="007B011C"/>
    <w:rsid w:val="007B186E"/>
    <w:rsid w:val="007B2C72"/>
    <w:rsid w:val="007B6C52"/>
    <w:rsid w:val="007C1C53"/>
    <w:rsid w:val="007C74BB"/>
    <w:rsid w:val="007D456E"/>
    <w:rsid w:val="007E2F1F"/>
    <w:rsid w:val="007E42F4"/>
    <w:rsid w:val="007E4904"/>
    <w:rsid w:val="007E4CB5"/>
    <w:rsid w:val="007F066B"/>
    <w:rsid w:val="007F213A"/>
    <w:rsid w:val="007F75C4"/>
    <w:rsid w:val="008033C4"/>
    <w:rsid w:val="008057DE"/>
    <w:rsid w:val="00806C88"/>
    <w:rsid w:val="00810070"/>
    <w:rsid w:val="0081034E"/>
    <w:rsid w:val="00812B03"/>
    <w:rsid w:val="00815C76"/>
    <w:rsid w:val="00815CAC"/>
    <w:rsid w:val="00815E93"/>
    <w:rsid w:val="008168E7"/>
    <w:rsid w:val="00821004"/>
    <w:rsid w:val="008221F2"/>
    <w:rsid w:val="00825985"/>
    <w:rsid w:val="008301A7"/>
    <w:rsid w:val="008301B2"/>
    <w:rsid w:val="00833BE3"/>
    <w:rsid w:val="008344F6"/>
    <w:rsid w:val="0083510F"/>
    <w:rsid w:val="008408C5"/>
    <w:rsid w:val="008414FC"/>
    <w:rsid w:val="00847887"/>
    <w:rsid w:val="00851209"/>
    <w:rsid w:val="0085722A"/>
    <w:rsid w:val="00862B19"/>
    <w:rsid w:val="00864B35"/>
    <w:rsid w:val="00866D99"/>
    <w:rsid w:val="00867CF6"/>
    <w:rsid w:val="008749E0"/>
    <w:rsid w:val="00874CD0"/>
    <w:rsid w:val="00882481"/>
    <w:rsid w:val="008837AC"/>
    <w:rsid w:val="008A587D"/>
    <w:rsid w:val="008A6572"/>
    <w:rsid w:val="008B35CD"/>
    <w:rsid w:val="008B5FCC"/>
    <w:rsid w:val="008B7544"/>
    <w:rsid w:val="008C3374"/>
    <w:rsid w:val="008C39F0"/>
    <w:rsid w:val="008C5486"/>
    <w:rsid w:val="008C63DF"/>
    <w:rsid w:val="008C708B"/>
    <w:rsid w:val="008D1661"/>
    <w:rsid w:val="008D6800"/>
    <w:rsid w:val="008E7031"/>
    <w:rsid w:val="008E77DE"/>
    <w:rsid w:val="008F07A3"/>
    <w:rsid w:val="008F16B3"/>
    <w:rsid w:val="008F34DD"/>
    <w:rsid w:val="009001B6"/>
    <w:rsid w:val="00900E1B"/>
    <w:rsid w:val="00901C3C"/>
    <w:rsid w:val="009038ED"/>
    <w:rsid w:val="00913542"/>
    <w:rsid w:val="009233EE"/>
    <w:rsid w:val="00923CFC"/>
    <w:rsid w:val="00923FA9"/>
    <w:rsid w:val="009272AD"/>
    <w:rsid w:val="009277DC"/>
    <w:rsid w:val="0094098E"/>
    <w:rsid w:val="009460AA"/>
    <w:rsid w:val="0094641C"/>
    <w:rsid w:val="00951978"/>
    <w:rsid w:val="009570BE"/>
    <w:rsid w:val="00961115"/>
    <w:rsid w:val="00961A4A"/>
    <w:rsid w:val="009661DE"/>
    <w:rsid w:val="00983C25"/>
    <w:rsid w:val="009856B7"/>
    <w:rsid w:val="00985C86"/>
    <w:rsid w:val="00996AB3"/>
    <w:rsid w:val="00996BAF"/>
    <w:rsid w:val="009972D8"/>
    <w:rsid w:val="009A4FAA"/>
    <w:rsid w:val="009A5113"/>
    <w:rsid w:val="009A539D"/>
    <w:rsid w:val="009A5FC3"/>
    <w:rsid w:val="009B5DC8"/>
    <w:rsid w:val="009B6F84"/>
    <w:rsid w:val="009B7343"/>
    <w:rsid w:val="009B74B0"/>
    <w:rsid w:val="009C691D"/>
    <w:rsid w:val="009D2B38"/>
    <w:rsid w:val="009D3906"/>
    <w:rsid w:val="009D6B46"/>
    <w:rsid w:val="009E5F60"/>
    <w:rsid w:val="009E7235"/>
    <w:rsid w:val="009F2288"/>
    <w:rsid w:val="009F4940"/>
    <w:rsid w:val="009F5BA1"/>
    <w:rsid w:val="00A02A88"/>
    <w:rsid w:val="00A0562E"/>
    <w:rsid w:val="00A06085"/>
    <w:rsid w:val="00A0726D"/>
    <w:rsid w:val="00A11502"/>
    <w:rsid w:val="00A16596"/>
    <w:rsid w:val="00A16CAB"/>
    <w:rsid w:val="00A2303E"/>
    <w:rsid w:val="00A32FBB"/>
    <w:rsid w:val="00A37EC8"/>
    <w:rsid w:val="00A428EE"/>
    <w:rsid w:val="00A4478A"/>
    <w:rsid w:val="00A44852"/>
    <w:rsid w:val="00A4650A"/>
    <w:rsid w:val="00A50502"/>
    <w:rsid w:val="00A57D04"/>
    <w:rsid w:val="00A60A26"/>
    <w:rsid w:val="00A61598"/>
    <w:rsid w:val="00A654FB"/>
    <w:rsid w:val="00A84A99"/>
    <w:rsid w:val="00A84F46"/>
    <w:rsid w:val="00A871F4"/>
    <w:rsid w:val="00A90AA4"/>
    <w:rsid w:val="00A918E1"/>
    <w:rsid w:val="00A923BF"/>
    <w:rsid w:val="00AB34BB"/>
    <w:rsid w:val="00AB47E1"/>
    <w:rsid w:val="00AC1B2C"/>
    <w:rsid w:val="00AC3264"/>
    <w:rsid w:val="00AD3884"/>
    <w:rsid w:val="00AD59A1"/>
    <w:rsid w:val="00AD7B56"/>
    <w:rsid w:val="00AE1BF1"/>
    <w:rsid w:val="00AF0DD2"/>
    <w:rsid w:val="00B00DCB"/>
    <w:rsid w:val="00B0209D"/>
    <w:rsid w:val="00B02961"/>
    <w:rsid w:val="00B04908"/>
    <w:rsid w:val="00B04B4C"/>
    <w:rsid w:val="00B07CEA"/>
    <w:rsid w:val="00B13048"/>
    <w:rsid w:val="00B15C57"/>
    <w:rsid w:val="00B1716D"/>
    <w:rsid w:val="00B17A1D"/>
    <w:rsid w:val="00B207A0"/>
    <w:rsid w:val="00B2429B"/>
    <w:rsid w:val="00B40CAA"/>
    <w:rsid w:val="00B514DD"/>
    <w:rsid w:val="00B51F3F"/>
    <w:rsid w:val="00B52AF0"/>
    <w:rsid w:val="00B540E3"/>
    <w:rsid w:val="00B561BD"/>
    <w:rsid w:val="00B56E03"/>
    <w:rsid w:val="00B61EDF"/>
    <w:rsid w:val="00B74AC5"/>
    <w:rsid w:val="00B757A6"/>
    <w:rsid w:val="00B8080B"/>
    <w:rsid w:val="00B80A44"/>
    <w:rsid w:val="00B82223"/>
    <w:rsid w:val="00B87BA5"/>
    <w:rsid w:val="00B87C39"/>
    <w:rsid w:val="00B93165"/>
    <w:rsid w:val="00B9562D"/>
    <w:rsid w:val="00BA0731"/>
    <w:rsid w:val="00BA3706"/>
    <w:rsid w:val="00BA4665"/>
    <w:rsid w:val="00BA47EE"/>
    <w:rsid w:val="00BB2FB2"/>
    <w:rsid w:val="00BB3304"/>
    <w:rsid w:val="00BB3FD7"/>
    <w:rsid w:val="00BB6848"/>
    <w:rsid w:val="00BB7528"/>
    <w:rsid w:val="00BC18DE"/>
    <w:rsid w:val="00BC2FAF"/>
    <w:rsid w:val="00BC42EF"/>
    <w:rsid w:val="00BD0920"/>
    <w:rsid w:val="00BD0C45"/>
    <w:rsid w:val="00BD310B"/>
    <w:rsid w:val="00BD3446"/>
    <w:rsid w:val="00BE1F1B"/>
    <w:rsid w:val="00BE47B5"/>
    <w:rsid w:val="00BF0C8F"/>
    <w:rsid w:val="00BF0CD7"/>
    <w:rsid w:val="00C04223"/>
    <w:rsid w:val="00C25FA6"/>
    <w:rsid w:val="00C275C4"/>
    <w:rsid w:val="00C30637"/>
    <w:rsid w:val="00C36F19"/>
    <w:rsid w:val="00C4273C"/>
    <w:rsid w:val="00C42ACA"/>
    <w:rsid w:val="00C5122C"/>
    <w:rsid w:val="00C538A9"/>
    <w:rsid w:val="00C53B5A"/>
    <w:rsid w:val="00C54F5A"/>
    <w:rsid w:val="00C569B4"/>
    <w:rsid w:val="00C56A01"/>
    <w:rsid w:val="00C56A3E"/>
    <w:rsid w:val="00C67A92"/>
    <w:rsid w:val="00C7497E"/>
    <w:rsid w:val="00C74D43"/>
    <w:rsid w:val="00C81568"/>
    <w:rsid w:val="00C84560"/>
    <w:rsid w:val="00C84F52"/>
    <w:rsid w:val="00C86679"/>
    <w:rsid w:val="00C97CDF"/>
    <w:rsid w:val="00CA0FD9"/>
    <w:rsid w:val="00CA2ABF"/>
    <w:rsid w:val="00CA2C1D"/>
    <w:rsid w:val="00CA489E"/>
    <w:rsid w:val="00CA52A2"/>
    <w:rsid w:val="00CA597C"/>
    <w:rsid w:val="00CB0279"/>
    <w:rsid w:val="00CB666B"/>
    <w:rsid w:val="00CC7F1D"/>
    <w:rsid w:val="00CD19EE"/>
    <w:rsid w:val="00CD7C81"/>
    <w:rsid w:val="00CE484B"/>
    <w:rsid w:val="00CE4900"/>
    <w:rsid w:val="00CF0DEE"/>
    <w:rsid w:val="00CF2C05"/>
    <w:rsid w:val="00CF6EDE"/>
    <w:rsid w:val="00D006AE"/>
    <w:rsid w:val="00D01CF0"/>
    <w:rsid w:val="00D01EFD"/>
    <w:rsid w:val="00D0442A"/>
    <w:rsid w:val="00D06055"/>
    <w:rsid w:val="00D066B7"/>
    <w:rsid w:val="00D14EFF"/>
    <w:rsid w:val="00D17683"/>
    <w:rsid w:val="00D36FCC"/>
    <w:rsid w:val="00D41E80"/>
    <w:rsid w:val="00D45694"/>
    <w:rsid w:val="00D54E0C"/>
    <w:rsid w:val="00D608F6"/>
    <w:rsid w:val="00D60EFF"/>
    <w:rsid w:val="00D61388"/>
    <w:rsid w:val="00D61A54"/>
    <w:rsid w:val="00D64275"/>
    <w:rsid w:val="00D64DEA"/>
    <w:rsid w:val="00D7168E"/>
    <w:rsid w:val="00D71E57"/>
    <w:rsid w:val="00D75AA2"/>
    <w:rsid w:val="00D7645E"/>
    <w:rsid w:val="00D80893"/>
    <w:rsid w:val="00D84854"/>
    <w:rsid w:val="00D848B4"/>
    <w:rsid w:val="00D92CF1"/>
    <w:rsid w:val="00D92D38"/>
    <w:rsid w:val="00D950F5"/>
    <w:rsid w:val="00DA0BCC"/>
    <w:rsid w:val="00DA4752"/>
    <w:rsid w:val="00DA61F3"/>
    <w:rsid w:val="00DA6B93"/>
    <w:rsid w:val="00DA6F94"/>
    <w:rsid w:val="00DB0F93"/>
    <w:rsid w:val="00DB1A67"/>
    <w:rsid w:val="00DB28BF"/>
    <w:rsid w:val="00DB5074"/>
    <w:rsid w:val="00DB5B21"/>
    <w:rsid w:val="00DC7981"/>
    <w:rsid w:val="00DD1C15"/>
    <w:rsid w:val="00DE1093"/>
    <w:rsid w:val="00DE4EFA"/>
    <w:rsid w:val="00DE5520"/>
    <w:rsid w:val="00DE563D"/>
    <w:rsid w:val="00DE5BBE"/>
    <w:rsid w:val="00DE5E2E"/>
    <w:rsid w:val="00DE772C"/>
    <w:rsid w:val="00DF1D9A"/>
    <w:rsid w:val="00DF312A"/>
    <w:rsid w:val="00E04818"/>
    <w:rsid w:val="00E06442"/>
    <w:rsid w:val="00E06BCF"/>
    <w:rsid w:val="00E1001C"/>
    <w:rsid w:val="00E23993"/>
    <w:rsid w:val="00E257D6"/>
    <w:rsid w:val="00E25B8C"/>
    <w:rsid w:val="00E3544F"/>
    <w:rsid w:val="00E43E6B"/>
    <w:rsid w:val="00E51D65"/>
    <w:rsid w:val="00E6200B"/>
    <w:rsid w:val="00E65C85"/>
    <w:rsid w:val="00E66199"/>
    <w:rsid w:val="00E70D48"/>
    <w:rsid w:val="00E711C7"/>
    <w:rsid w:val="00E714F6"/>
    <w:rsid w:val="00E7494F"/>
    <w:rsid w:val="00E755EC"/>
    <w:rsid w:val="00E7624D"/>
    <w:rsid w:val="00E8018B"/>
    <w:rsid w:val="00E97242"/>
    <w:rsid w:val="00EA38F3"/>
    <w:rsid w:val="00EA3D42"/>
    <w:rsid w:val="00EA6B1B"/>
    <w:rsid w:val="00EB5BC8"/>
    <w:rsid w:val="00EB606C"/>
    <w:rsid w:val="00EC04F1"/>
    <w:rsid w:val="00EC1B2B"/>
    <w:rsid w:val="00EC32E5"/>
    <w:rsid w:val="00EC5C2F"/>
    <w:rsid w:val="00ED0EC2"/>
    <w:rsid w:val="00ED3474"/>
    <w:rsid w:val="00ED7323"/>
    <w:rsid w:val="00EE28F3"/>
    <w:rsid w:val="00EE50D1"/>
    <w:rsid w:val="00EE77FA"/>
    <w:rsid w:val="00EE7A83"/>
    <w:rsid w:val="00EF1B7A"/>
    <w:rsid w:val="00EF5110"/>
    <w:rsid w:val="00F0334E"/>
    <w:rsid w:val="00F06312"/>
    <w:rsid w:val="00F07967"/>
    <w:rsid w:val="00F10411"/>
    <w:rsid w:val="00F15882"/>
    <w:rsid w:val="00F171E0"/>
    <w:rsid w:val="00F20BD3"/>
    <w:rsid w:val="00F2526A"/>
    <w:rsid w:val="00F26B5C"/>
    <w:rsid w:val="00F35081"/>
    <w:rsid w:val="00F373A5"/>
    <w:rsid w:val="00F42E08"/>
    <w:rsid w:val="00F47559"/>
    <w:rsid w:val="00F57907"/>
    <w:rsid w:val="00F61176"/>
    <w:rsid w:val="00F62A30"/>
    <w:rsid w:val="00F64C7B"/>
    <w:rsid w:val="00F65B25"/>
    <w:rsid w:val="00F676DD"/>
    <w:rsid w:val="00F71667"/>
    <w:rsid w:val="00F73895"/>
    <w:rsid w:val="00F75A26"/>
    <w:rsid w:val="00F76706"/>
    <w:rsid w:val="00F768C8"/>
    <w:rsid w:val="00F81B8D"/>
    <w:rsid w:val="00F83FAD"/>
    <w:rsid w:val="00F8653A"/>
    <w:rsid w:val="00F91F55"/>
    <w:rsid w:val="00F92349"/>
    <w:rsid w:val="00F93B21"/>
    <w:rsid w:val="00F952A0"/>
    <w:rsid w:val="00FA3C7F"/>
    <w:rsid w:val="00FB1BF3"/>
    <w:rsid w:val="00FB4402"/>
    <w:rsid w:val="00FB60FE"/>
    <w:rsid w:val="00FB74E2"/>
    <w:rsid w:val="00FC71DC"/>
    <w:rsid w:val="00FD2ED2"/>
    <w:rsid w:val="00FD5614"/>
    <w:rsid w:val="00FD5E78"/>
    <w:rsid w:val="00FD71B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annotation text" w:uiPriority="0"/>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annotation text" w:uiPriority="0"/>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568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C17081-4759-489F-8874-7B5346AA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57F96945</Template>
  <TotalTime>0</TotalTime>
  <Pages>10</Pages>
  <Words>1591</Words>
  <Characters>9072</Characters>
  <Application>Microsoft Office Word</Application>
  <DocSecurity>0</DocSecurity>
  <Lines>75</Lines>
  <Paragraphs>21</Paragraphs>
  <ScaleCrop>false</ScaleCrop>
  <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2016-05-20T07:09:00Z</dcterms:created>
  <dcterms:modified xsi:type="dcterms:W3CDTF">2016-05-20T07:09:00Z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8575786</vt:lpwstr>
  </property>
</Properties>
</file>