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13" w:rsidRDefault="008C1CA1" w:rsidP="00290C63">
      <w:pPr>
        <w:rPr>
          <w:rFonts w:eastAsiaTheme="majorEastAsia" w:cstheme="majorBidi"/>
          <w:noProof/>
          <w:sz w:val="36"/>
          <w:szCs w:val="36"/>
          <w:lang w:eastAsia="en-AU"/>
        </w:rPr>
      </w:pPr>
      <w:r w:rsidRPr="00290C63">
        <w:rPr>
          <w:noProof/>
          <w:lang w:eastAsia="en-AU"/>
        </w:rPr>
        <w:drawing>
          <wp:anchor distT="0" distB="0" distL="114300" distR="114300" simplePos="0" relativeHeight="251659264" behindDoc="1" locked="0" layoutInCell="1" allowOverlap="1" wp14:anchorId="054CE53E" wp14:editId="72033404">
            <wp:simplePos x="0" y="0"/>
            <wp:positionH relativeFrom="column">
              <wp:posOffset>-1109066</wp:posOffset>
            </wp:positionH>
            <wp:positionV relativeFrom="paragraph">
              <wp:posOffset>-1092820</wp:posOffset>
            </wp:positionV>
            <wp:extent cx="7590374" cy="10872440"/>
            <wp:effectExtent l="0" t="0" r="0" b="5715"/>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873946"/>
                    </a:xfrm>
                    <a:prstGeom prst="rect">
                      <a:avLst/>
                    </a:prstGeom>
                    <a:noFill/>
                  </pic:spPr>
                </pic:pic>
              </a:graphicData>
            </a:graphic>
            <wp14:sizeRelH relativeFrom="page">
              <wp14:pctWidth>0</wp14:pctWidth>
            </wp14:sizeRelH>
            <wp14:sizeRelV relativeFrom="page">
              <wp14:pctHeight>0</wp14:pctHeight>
            </wp14:sizeRelV>
          </wp:anchor>
        </w:drawing>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3E5C42" w:rsidP="008F07A3">
          <w:pPr>
            <w:pStyle w:val="ReportSubtitle"/>
          </w:pPr>
          <w:r>
            <w:t>Australian Gas Networks</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0B79FF" w:rsidP="008F07A3">
          <w:pPr>
            <w:pStyle w:val="ReportSubtitle"/>
          </w:pPr>
          <w:r>
            <w:t>Overview</w:t>
          </w:r>
        </w:p>
        <w:p w:rsidR="000A6C7B" w:rsidRPr="00327A1E" w:rsidRDefault="00AF6F2B" w:rsidP="00327A1E">
          <w:pPr>
            <w:pStyle w:val="ReportDate"/>
          </w:pPr>
          <w:r>
            <w:t>May</w:t>
          </w:r>
          <w:r w:rsidR="005C0A7F">
            <w:t xml:space="preserve"> </w:t>
          </w:r>
          <w:r w:rsidR="00A2303E">
            <w:t>2016</w:t>
          </w:r>
        </w:p>
      </w:sdtContent>
    </w:sdt>
    <w:p w:rsidR="00327A1E" w:rsidRPr="00290C63" w:rsidRDefault="00327A1E" w:rsidP="00290C63">
      <w:r>
        <w:br w:type="page"/>
      </w:r>
    </w:p>
    <w:p w:rsidR="000A6C7B" w:rsidRDefault="001926B3"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rsidRPr="00B11942">
        <w:rPr>
          <w:sz w:val="20"/>
          <w:szCs w:val="20"/>
        </w:rPr>
        <w:t>the</w:t>
      </w:r>
      <w:r>
        <w:t xml:space="preserv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Pr="0062063E" w:rsidRDefault="000A6C7B" w:rsidP="00B9562D">
      <w:pPr>
        <w:pStyle w:val="Copyright"/>
      </w:pPr>
      <w:r w:rsidRPr="0062063E">
        <w:t xml:space="preserve">Email: </w:t>
      </w:r>
      <w:hyperlink r:id="rId10" w:history="1">
        <w:r w:rsidRPr="0062063E">
          <w:rPr>
            <w:rStyle w:val="Hyperlink"/>
            <w:sz w:val="20"/>
          </w:rPr>
          <w:t>AERInquiry@aer.gov.au</w:t>
        </w:r>
      </w:hyperlink>
      <w:r w:rsidR="00951978" w:rsidRPr="0062063E">
        <w:rPr>
          <w:rStyle w:val="Hyperlink"/>
          <w:sz w:val="20"/>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873353"/>
      <w:r>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6C54CD" w:rsidP="006C54CD">
      <w:r>
        <w:t>This attachment forms part of the AER's final decision on the access arrangement for Australian Gas Networks South Australian distribution network for 2016</w:t>
      </w:r>
      <w:r w:rsidRPr="00D904FA">
        <w:t>–</w:t>
      </w:r>
      <w:r>
        <w:t>21. It should be read with all other parts of the final decision.</w:t>
      </w:r>
    </w:p>
    <w:p w:rsidR="00415F31" w:rsidRDefault="00415F31" w:rsidP="006C54CD">
      <w:r>
        <w:t xml:space="preserve">The </w:t>
      </w:r>
      <w:r w:rsidR="00A2303E">
        <w:t>final</w:t>
      </w:r>
      <w:r w:rsidR="005C0A7F">
        <w:t xml:space="preserve"> </w:t>
      </w:r>
      <w:r>
        <w:t>decision includes the following documents:</w:t>
      </w:r>
    </w:p>
    <w:p w:rsidR="00415F31" w:rsidRDefault="00415F31" w:rsidP="006C54CD">
      <w:r>
        <w:t>Overview</w:t>
      </w:r>
    </w:p>
    <w:p w:rsidR="0070011E" w:rsidRDefault="0070011E" w:rsidP="006C54CD">
      <w:r>
        <w:t xml:space="preserve">Attachment 1 - </w:t>
      </w:r>
      <w:r w:rsidR="00EE77FA">
        <w:t>Services covered by the access arrangement</w:t>
      </w:r>
    </w:p>
    <w:p w:rsidR="0070011E" w:rsidRDefault="0070011E" w:rsidP="006C54CD">
      <w:r>
        <w:t xml:space="preserve">Attachment 2 - </w:t>
      </w:r>
      <w:r w:rsidR="00EE77FA">
        <w:t>Capital base</w:t>
      </w:r>
    </w:p>
    <w:p w:rsidR="0070011E" w:rsidRDefault="0070011E" w:rsidP="006C54CD">
      <w:r>
        <w:t xml:space="preserve">Attachment 3 - </w:t>
      </w:r>
      <w:r w:rsidR="00EE77FA">
        <w:t>R</w:t>
      </w:r>
      <w:r>
        <w:t>ate of return</w:t>
      </w:r>
    </w:p>
    <w:p w:rsidR="0070011E" w:rsidRDefault="0070011E" w:rsidP="006C54CD">
      <w:r>
        <w:t>Attachment 4 - Value of imputation credits</w:t>
      </w:r>
    </w:p>
    <w:p w:rsidR="0070011E" w:rsidRDefault="0070011E" w:rsidP="006C54CD">
      <w:r>
        <w:t>Attachment 5 - Regulatory depreciation</w:t>
      </w:r>
    </w:p>
    <w:p w:rsidR="0070011E" w:rsidRDefault="0070011E" w:rsidP="006C54CD">
      <w:r>
        <w:t xml:space="preserve">Attachment 6 - Capital expenditure </w:t>
      </w:r>
    </w:p>
    <w:p w:rsidR="0070011E" w:rsidRDefault="0070011E" w:rsidP="006C54CD">
      <w:r>
        <w:t>Attachment 7 - Operating expenditure</w:t>
      </w:r>
    </w:p>
    <w:p w:rsidR="0070011E" w:rsidRDefault="0070011E" w:rsidP="006C54CD">
      <w:r>
        <w:t>Attachment 8 - Corporate income tax</w:t>
      </w:r>
    </w:p>
    <w:p w:rsidR="0070011E" w:rsidRDefault="0070011E" w:rsidP="006C54CD">
      <w:r>
        <w:t xml:space="preserve">Attachment 9 - Efficiency </w:t>
      </w:r>
      <w:r w:rsidR="00EE77FA">
        <w:t>carryover mechanism</w:t>
      </w:r>
    </w:p>
    <w:p w:rsidR="0070011E" w:rsidRDefault="0070011E" w:rsidP="006C54CD">
      <w:r>
        <w:t xml:space="preserve">Attachment 10 - </w:t>
      </w:r>
      <w:r w:rsidR="00EE77FA">
        <w:t>Reference tariff setting</w:t>
      </w:r>
    </w:p>
    <w:p w:rsidR="0070011E" w:rsidRDefault="0070011E" w:rsidP="006C54CD">
      <w:r>
        <w:t xml:space="preserve">Attachment 11 - </w:t>
      </w:r>
      <w:r w:rsidR="00EE77FA">
        <w:t>Reference tariff variation mechanism</w:t>
      </w:r>
    </w:p>
    <w:p w:rsidR="0070011E" w:rsidRDefault="0070011E" w:rsidP="006C54CD">
      <w:r>
        <w:t xml:space="preserve">Attachment 12 - </w:t>
      </w:r>
      <w:r w:rsidR="00EE77FA">
        <w:t>Non-tariff components</w:t>
      </w:r>
    </w:p>
    <w:p w:rsidR="0070011E" w:rsidRDefault="0070011E" w:rsidP="006C54CD">
      <w:r>
        <w:t xml:space="preserve">Attachment 13 - </w:t>
      </w:r>
      <w:r w:rsidR="00EE77FA">
        <w:t>Demand</w:t>
      </w:r>
    </w:p>
    <w:p w:rsidR="003E5C42" w:rsidRDefault="003E5C42" w:rsidP="006C54CD">
      <w:r>
        <w:t>Attachment 14 - Other incentive schemes</w:t>
      </w:r>
    </w:p>
    <w:p w:rsidR="00DE563D" w:rsidRPr="00A72B34" w:rsidRDefault="00DE563D" w:rsidP="00DE772C">
      <w:pPr>
        <w:pStyle w:val="UnnumberedHeading"/>
        <w:numPr>
          <w:ilvl w:val="0"/>
          <w:numId w:val="23"/>
        </w:numPr>
      </w:pPr>
      <w:bookmarkStart w:id="5" w:name="_Toc403144133"/>
      <w:bookmarkStart w:id="6" w:name="_Toc451873354"/>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367608" w:rsidRDefault="003E79EE">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 </w:instrText>
          </w:r>
          <w:r>
            <w:rPr>
              <w:color w:val="auto"/>
              <w:sz w:val="22"/>
            </w:rPr>
            <w:fldChar w:fldCharType="separate"/>
          </w:r>
          <w:hyperlink w:anchor="_Toc451873353" w:history="1">
            <w:r w:rsidR="00367608" w:rsidRPr="001C3580">
              <w:rPr>
                <w:rStyle w:val="Hyperlink"/>
              </w:rPr>
              <w:t>Note</w:t>
            </w:r>
            <w:r w:rsidR="00367608">
              <w:rPr>
                <w:webHidden/>
              </w:rPr>
              <w:tab/>
            </w:r>
            <w:r w:rsidR="00367608">
              <w:rPr>
                <w:webHidden/>
              </w:rPr>
              <w:fldChar w:fldCharType="begin"/>
            </w:r>
            <w:r w:rsidR="00367608">
              <w:rPr>
                <w:webHidden/>
              </w:rPr>
              <w:instrText xml:space="preserve"> PAGEREF _Toc451873353 \h </w:instrText>
            </w:r>
            <w:r w:rsidR="00367608">
              <w:rPr>
                <w:webHidden/>
              </w:rPr>
            </w:r>
            <w:r w:rsidR="00367608">
              <w:rPr>
                <w:webHidden/>
              </w:rPr>
              <w:fldChar w:fldCharType="separate"/>
            </w:r>
            <w:r w:rsidR="006E1111">
              <w:rPr>
                <w:webHidden/>
              </w:rPr>
              <w:t>2</w:t>
            </w:r>
            <w:r w:rsidR="00367608">
              <w:rPr>
                <w:webHidden/>
              </w:rPr>
              <w:fldChar w:fldCharType="end"/>
            </w:r>
          </w:hyperlink>
        </w:p>
        <w:p w:rsidR="00367608" w:rsidRDefault="006E1111">
          <w:pPr>
            <w:pStyle w:val="TOC1"/>
            <w:rPr>
              <w:rFonts w:asciiTheme="minorHAnsi" w:eastAsiaTheme="minorEastAsia" w:hAnsiTheme="minorHAnsi"/>
              <w:b w:val="0"/>
              <w:color w:val="auto"/>
              <w:sz w:val="22"/>
              <w:lang w:val="en-AU" w:eastAsia="en-AU"/>
            </w:rPr>
          </w:pPr>
          <w:hyperlink w:anchor="_Toc451873354" w:history="1">
            <w:r w:rsidR="00367608" w:rsidRPr="001C3580">
              <w:rPr>
                <w:rStyle w:val="Hyperlink"/>
              </w:rPr>
              <w:t>Contents</w:t>
            </w:r>
            <w:r w:rsidR="00367608">
              <w:rPr>
                <w:webHidden/>
              </w:rPr>
              <w:tab/>
            </w:r>
            <w:r w:rsidR="00367608">
              <w:rPr>
                <w:webHidden/>
              </w:rPr>
              <w:fldChar w:fldCharType="begin"/>
            </w:r>
            <w:r w:rsidR="00367608">
              <w:rPr>
                <w:webHidden/>
              </w:rPr>
              <w:instrText xml:space="preserve"> PAGEREF _Toc451873354 \h </w:instrText>
            </w:r>
            <w:r w:rsidR="00367608">
              <w:rPr>
                <w:webHidden/>
              </w:rPr>
            </w:r>
            <w:r w:rsidR="00367608">
              <w:rPr>
                <w:webHidden/>
              </w:rPr>
              <w:fldChar w:fldCharType="separate"/>
            </w:r>
            <w:r>
              <w:rPr>
                <w:webHidden/>
              </w:rPr>
              <w:t>3</w:t>
            </w:r>
            <w:r w:rsidR="00367608">
              <w:rPr>
                <w:webHidden/>
              </w:rPr>
              <w:fldChar w:fldCharType="end"/>
            </w:r>
          </w:hyperlink>
        </w:p>
        <w:p w:rsidR="00367608" w:rsidRDefault="006E1111">
          <w:pPr>
            <w:pStyle w:val="TOC1"/>
            <w:rPr>
              <w:rFonts w:asciiTheme="minorHAnsi" w:eastAsiaTheme="minorEastAsia" w:hAnsiTheme="minorHAnsi"/>
              <w:b w:val="0"/>
              <w:color w:val="auto"/>
              <w:sz w:val="22"/>
              <w:lang w:val="en-AU" w:eastAsia="en-AU"/>
            </w:rPr>
          </w:pPr>
          <w:hyperlink w:anchor="_Toc451873355" w:history="1">
            <w:r w:rsidR="00367608" w:rsidRPr="001C3580">
              <w:rPr>
                <w:rStyle w:val="Hyperlink"/>
              </w:rPr>
              <w:t>Shortened forms</w:t>
            </w:r>
            <w:r w:rsidR="00367608">
              <w:rPr>
                <w:webHidden/>
              </w:rPr>
              <w:tab/>
            </w:r>
            <w:r w:rsidR="00367608">
              <w:rPr>
                <w:webHidden/>
              </w:rPr>
              <w:fldChar w:fldCharType="begin"/>
            </w:r>
            <w:r w:rsidR="00367608">
              <w:rPr>
                <w:webHidden/>
              </w:rPr>
              <w:instrText xml:space="preserve"> PAGEREF _Toc451873355 \h </w:instrText>
            </w:r>
            <w:r w:rsidR="00367608">
              <w:rPr>
                <w:webHidden/>
              </w:rPr>
            </w:r>
            <w:r w:rsidR="00367608">
              <w:rPr>
                <w:webHidden/>
              </w:rPr>
              <w:fldChar w:fldCharType="separate"/>
            </w:r>
            <w:r>
              <w:rPr>
                <w:webHidden/>
              </w:rPr>
              <w:t>5</w:t>
            </w:r>
            <w:r w:rsidR="00367608">
              <w:rPr>
                <w:webHidden/>
              </w:rPr>
              <w:fldChar w:fldCharType="end"/>
            </w:r>
          </w:hyperlink>
        </w:p>
        <w:p w:rsidR="00367608" w:rsidRDefault="006E1111">
          <w:pPr>
            <w:pStyle w:val="TOC1"/>
            <w:rPr>
              <w:rFonts w:asciiTheme="minorHAnsi" w:eastAsiaTheme="minorEastAsia" w:hAnsiTheme="minorHAnsi"/>
              <w:b w:val="0"/>
              <w:color w:val="auto"/>
              <w:sz w:val="22"/>
              <w:lang w:val="en-AU" w:eastAsia="en-AU"/>
            </w:rPr>
          </w:pPr>
          <w:hyperlink w:anchor="_Toc451873356" w:history="1">
            <w:r w:rsidR="00367608" w:rsidRPr="001C3580">
              <w:rPr>
                <w:rStyle w:val="Hyperlink"/>
              </w:rPr>
              <w:t>1</w:t>
            </w:r>
            <w:r w:rsidR="00367608">
              <w:rPr>
                <w:rFonts w:asciiTheme="minorHAnsi" w:eastAsiaTheme="minorEastAsia" w:hAnsiTheme="minorHAnsi"/>
                <w:b w:val="0"/>
                <w:color w:val="auto"/>
                <w:sz w:val="22"/>
                <w:lang w:val="en-AU" w:eastAsia="en-AU"/>
              </w:rPr>
              <w:tab/>
            </w:r>
            <w:r w:rsidR="00367608" w:rsidRPr="001C3580">
              <w:rPr>
                <w:rStyle w:val="Hyperlink"/>
              </w:rPr>
              <w:t>Introduction</w:t>
            </w:r>
            <w:r w:rsidR="00367608">
              <w:rPr>
                <w:webHidden/>
              </w:rPr>
              <w:tab/>
            </w:r>
            <w:r w:rsidR="00367608">
              <w:rPr>
                <w:webHidden/>
              </w:rPr>
              <w:fldChar w:fldCharType="begin"/>
            </w:r>
            <w:r w:rsidR="00367608">
              <w:rPr>
                <w:webHidden/>
              </w:rPr>
              <w:instrText xml:space="preserve"> PAGEREF _Toc451873356 \h </w:instrText>
            </w:r>
            <w:r w:rsidR="00367608">
              <w:rPr>
                <w:webHidden/>
              </w:rPr>
            </w:r>
            <w:r w:rsidR="00367608">
              <w:rPr>
                <w:webHidden/>
              </w:rPr>
              <w:fldChar w:fldCharType="separate"/>
            </w:r>
            <w:r>
              <w:rPr>
                <w:webHidden/>
              </w:rPr>
              <w:t>7</w:t>
            </w:r>
            <w:r w:rsidR="00367608">
              <w:rPr>
                <w:webHidden/>
              </w:rPr>
              <w:fldChar w:fldCharType="end"/>
            </w:r>
          </w:hyperlink>
        </w:p>
        <w:p w:rsidR="00367608" w:rsidRDefault="006E1111">
          <w:pPr>
            <w:pStyle w:val="TOC2"/>
            <w:rPr>
              <w:rFonts w:asciiTheme="minorHAnsi" w:eastAsiaTheme="minorEastAsia" w:hAnsiTheme="minorHAnsi"/>
              <w:b w:val="0"/>
              <w:color w:val="auto"/>
              <w:sz w:val="22"/>
              <w:lang w:eastAsia="en-AU"/>
            </w:rPr>
          </w:pPr>
          <w:hyperlink w:anchor="_Toc451873357" w:history="1">
            <w:r w:rsidR="00367608" w:rsidRPr="001C3580">
              <w:rPr>
                <w:rStyle w:val="Hyperlink"/>
              </w:rPr>
              <w:t>1.1</w:t>
            </w:r>
            <w:r w:rsidR="00367608">
              <w:rPr>
                <w:rFonts w:asciiTheme="minorHAnsi" w:eastAsiaTheme="minorEastAsia" w:hAnsiTheme="minorHAnsi"/>
                <w:b w:val="0"/>
                <w:color w:val="auto"/>
                <w:sz w:val="22"/>
                <w:lang w:eastAsia="en-AU"/>
              </w:rPr>
              <w:tab/>
            </w:r>
            <w:r w:rsidR="00367608" w:rsidRPr="001C3580">
              <w:rPr>
                <w:rStyle w:val="Hyperlink"/>
              </w:rPr>
              <w:t>Structure of overview</w:t>
            </w:r>
            <w:r w:rsidR="00367608">
              <w:rPr>
                <w:webHidden/>
              </w:rPr>
              <w:tab/>
            </w:r>
            <w:r w:rsidR="00367608">
              <w:rPr>
                <w:webHidden/>
              </w:rPr>
              <w:fldChar w:fldCharType="begin"/>
            </w:r>
            <w:r w:rsidR="00367608">
              <w:rPr>
                <w:webHidden/>
              </w:rPr>
              <w:instrText xml:space="preserve"> PAGEREF _Toc451873357 \h </w:instrText>
            </w:r>
            <w:r w:rsidR="00367608">
              <w:rPr>
                <w:webHidden/>
              </w:rPr>
            </w:r>
            <w:r w:rsidR="00367608">
              <w:rPr>
                <w:webHidden/>
              </w:rPr>
              <w:fldChar w:fldCharType="separate"/>
            </w:r>
            <w:r>
              <w:rPr>
                <w:webHidden/>
              </w:rPr>
              <w:t>7</w:t>
            </w:r>
            <w:r w:rsidR="00367608">
              <w:rPr>
                <w:webHidden/>
              </w:rPr>
              <w:fldChar w:fldCharType="end"/>
            </w:r>
          </w:hyperlink>
        </w:p>
        <w:p w:rsidR="00367608" w:rsidRDefault="006E1111">
          <w:pPr>
            <w:pStyle w:val="TOC1"/>
            <w:rPr>
              <w:rFonts w:asciiTheme="minorHAnsi" w:eastAsiaTheme="minorEastAsia" w:hAnsiTheme="minorHAnsi"/>
              <w:b w:val="0"/>
              <w:color w:val="auto"/>
              <w:sz w:val="22"/>
              <w:lang w:val="en-AU" w:eastAsia="en-AU"/>
            </w:rPr>
          </w:pPr>
          <w:hyperlink w:anchor="_Toc451873358" w:history="1">
            <w:r w:rsidR="00367608" w:rsidRPr="001C3580">
              <w:rPr>
                <w:rStyle w:val="Hyperlink"/>
              </w:rPr>
              <w:t>2</w:t>
            </w:r>
            <w:r w:rsidR="00367608">
              <w:rPr>
                <w:rFonts w:asciiTheme="minorHAnsi" w:eastAsiaTheme="minorEastAsia" w:hAnsiTheme="minorHAnsi"/>
                <w:b w:val="0"/>
                <w:color w:val="auto"/>
                <w:sz w:val="22"/>
                <w:lang w:val="en-AU" w:eastAsia="en-AU"/>
              </w:rPr>
              <w:tab/>
            </w:r>
            <w:r w:rsidR="00367608" w:rsidRPr="001C3580">
              <w:rPr>
                <w:rStyle w:val="Hyperlink"/>
              </w:rPr>
              <w:t>Final decision</w:t>
            </w:r>
            <w:r w:rsidR="00367608">
              <w:rPr>
                <w:webHidden/>
              </w:rPr>
              <w:tab/>
            </w:r>
            <w:r w:rsidR="00367608">
              <w:rPr>
                <w:webHidden/>
              </w:rPr>
              <w:fldChar w:fldCharType="begin"/>
            </w:r>
            <w:r w:rsidR="00367608">
              <w:rPr>
                <w:webHidden/>
              </w:rPr>
              <w:instrText xml:space="preserve"> PAGEREF _Toc451873358 \h </w:instrText>
            </w:r>
            <w:r w:rsidR="00367608">
              <w:rPr>
                <w:webHidden/>
              </w:rPr>
            </w:r>
            <w:r w:rsidR="00367608">
              <w:rPr>
                <w:webHidden/>
              </w:rPr>
              <w:fldChar w:fldCharType="separate"/>
            </w:r>
            <w:r>
              <w:rPr>
                <w:webHidden/>
              </w:rPr>
              <w:t>9</w:t>
            </w:r>
            <w:r w:rsidR="00367608">
              <w:rPr>
                <w:webHidden/>
              </w:rPr>
              <w:fldChar w:fldCharType="end"/>
            </w:r>
          </w:hyperlink>
        </w:p>
        <w:p w:rsidR="00367608" w:rsidRDefault="006E1111">
          <w:pPr>
            <w:pStyle w:val="TOC2"/>
            <w:rPr>
              <w:rFonts w:asciiTheme="minorHAnsi" w:eastAsiaTheme="minorEastAsia" w:hAnsiTheme="minorHAnsi"/>
              <w:b w:val="0"/>
              <w:color w:val="auto"/>
              <w:sz w:val="22"/>
              <w:lang w:eastAsia="en-AU"/>
            </w:rPr>
          </w:pPr>
          <w:hyperlink w:anchor="_Toc451873359" w:history="1">
            <w:r w:rsidR="00367608" w:rsidRPr="001C3580">
              <w:rPr>
                <w:rStyle w:val="Hyperlink"/>
              </w:rPr>
              <w:t>2.1</w:t>
            </w:r>
            <w:r w:rsidR="00367608">
              <w:rPr>
                <w:rFonts w:asciiTheme="minorHAnsi" w:eastAsiaTheme="minorEastAsia" w:hAnsiTheme="minorHAnsi"/>
                <w:b w:val="0"/>
                <w:color w:val="auto"/>
                <w:sz w:val="22"/>
                <w:lang w:eastAsia="en-AU"/>
              </w:rPr>
              <w:tab/>
            </w:r>
            <w:r w:rsidR="00367608" w:rsidRPr="001C3580">
              <w:rPr>
                <w:rStyle w:val="Hyperlink"/>
              </w:rPr>
              <w:t>What is driving allowed revenue?</w:t>
            </w:r>
            <w:r w:rsidR="00367608">
              <w:rPr>
                <w:webHidden/>
              </w:rPr>
              <w:tab/>
            </w:r>
            <w:r w:rsidR="00367608">
              <w:rPr>
                <w:webHidden/>
              </w:rPr>
              <w:fldChar w:fldCharType="begin"/>
            </w:r>
            <w:r w:rsidR="00367608">
              <w:rPr>
                <w:webHidden/>
              </w:rPr>
              <w:instrText xml:space="preserve"> PAGEREF _Toc451873359 \h </w:instrText>
            </w:r>
            <w:r w:rsidR="00367608">
              <w:rPr>
                <w:webHidden/>
              </w:rPr>
            </w:r>
            <w:r w:rsidR="00367608">
              <w:rPr>
                <w:webHidden/>
              </w:rPr>
              <w:fldChar w:fldCharType="separate"/>
            </w:r>
            <w:r>
              <w:rPr>
                <w:webHidden/>
              </w:rPr>
              <w:t>10</w:t>
            </w:r>
            <w:r w:rsidR="00367608">
              <w:rPr>
                <w:webHidden/>
              </w:rPr>
              <w:fldChar w:fldCharType="end"/>
            </w:r>
          </w:hyperlink>
        </w:p>
        <w:p w:rsidR="00367608" w:rsidRDefault="006E1111">
          <w:pPr>
            <w:pStyle w:val="TOC2"/>
            <w:rPr>
              <w:rFonts w:asciiTheme="minorHAnsi" w:eastAsiaTheme="minorEastAsia" w:hAnsiTheme="minorHAnsi"/>
              <w:b w:val="0"/>
              <w:color w:val="auto"/>
              <w:sz w:val="22"/>
              <w:lang w:eastAsia="en-AU"/>
            </w:rPr>
          </w:pPr>
          <w:hyperlink w:anchor="_Toc451873360" w:history="1">
            <w:r w:rsidR="00367608" w:rsidRPr="001C3580">
              <w:rPr>
                <w:rStyle w:val="Hyperlink"/>
              </w:rPr>
              <w:t>2.2</w:t>
            </w:r>
            <w:r w:rsidR="00367608">
              <w:rPr>
                <w:rFonts w:asciiTheme="minorHAnsi" w:eastAsiaTheme="minorEastAsia" w:hAnsiTheme="minorHAnsi"/>
                <w:b w:val="0"/>
                <w:color w:val="auto"/>
                <w:sz w:val="22"/>
                <w:lang w:eastAsia="en-AU"/>
              </w:rPr>
              <w:tab/>
            </w:r>
            <w:r w:rsidR="00367608" w:rsidRPr="001C3580">
              <w:rPr>
                <w:rStyle w:val="Hyperlink"/>
              </w:rPr>
              <w:t>Key differences between our draft and final decisions</w:t>
            </w:r>
            <w:r w:rsidR="00367608">
              <w:rPr>
                <w:webHidden/>
              </w:rPr>
              <w:tab/>
            </w:r>
            <w:r w:rsidR="00367608">
              <w:rPr>
                <w:webHidden/>
              </w:rPr>
              <w:fldChar w:fldCharType="begin"/>
            </w:r>
            <w:r w:rsidR="00367608">
              <w:rPr>
                <w:webHidden/>
              </w:rPr>
              <w:instrText xml:space="preserve"> PAGEREF _Toc451873360 \h </w:instrText>
            </w:r>
            <w:r w:rsidR="00367608">
              <w:rPr>
                <w:webHidden/>
              </w:rPr>
            </w:r>
            <w:r w:rsidR="00367608">
              <w:rPr>
                <w:webHidden/>
              </w:rPr>
              <w:fldChar w:fldCharType="separate"/>
            </w:r>
            <w:r>
              <w:rPr>
                <w:webHidden/>
              </w:rPr>
              <w:t>13</w:t>
            </w:r>
            <w:r w:rsidR="00367608">
              <w:rPr>
                <w:webHidden/>
              </w:rPr>
              <w:fldChar w:fldCharType="end"/>
            </w:r>
          </w:hyperlink>
        </w:p>
        <w:p w:rsidR="00367608" w:rsidRDefault="006E1111">
          <w:pPr>
            <w:pStyle w:val="TOC2"/>
            <w:rPr>
              <w:rFonts w:asciiTheme="minorHAnsi" w:eastAsiaTheme="minorEastAsia" w:hAnsiTheme="minorHAnsi"/>
              <w:b w:val="0"/>
              <w:color w:val="auto"/>
              <w:sz w:val="22"/>
              <w:lang w:eastAsia="en-AU"/>
            </w:rPr>
          </w:pPr>
          <w:hyperlink w:anchor="_Toc451873361" w:history="1">
            <w:r w:rsidR="00367608" w:rsidRPr="001C3580">
              <w:rPr>
                <w:rStyle w:val="Hyperlink"/>
              </w:rPr>
              <w:t>2.3</w:t>
            </w:r>
            <w:r w:rsidR="00367608">
              <w:rPr>
                <w:rFonts w:asciiTheme="minorHAnsi" w:eastAsiaTheme="minorEastAsia" w:hAnsiTheme="minorHAnsi"/>
                <w:b w:val="0"/>
                <w:color w:val="auto"/>
                <w:sz w:val="22"/>
                <w:lang w:eastAsia="en-AU"/>
              </w:rPr>
              <w:tab/>
            </w:r>
            <w:r w:rsidR="00367608" w:rsidRPr="001C3580">
              <w:rPr>
                <w:rStyle w:val="Hyperlink"/>
              </w:rPr>
              <w:t>Expected impact of decision on gas bills</w:t>
            </w:r>
            <w:r w:rsidR="00367608">
              <w:rPr>
                <w:webHidden/>
              </w:rPr>
              <w:tab/>
            </w:r>
            <w:r w:rsidR="00367608">
              <w:rPr>
                <w:webHidden/>
              </w:rPr>
              <w:fldChar w:fldCharType="begin"/>
            </w:r>
            <w:r w:rsidR="00367608">
              <w:rPr>
                <w:webHidden/>
              </w:rPr>
              <w:instrText xml:space="preserve"> PAGEREF _Toc451873361 \h </w:instrText>
            </w:r>
            <w:r w:rsidR="00367608">
              <w:rPr>
                <w:webHidden/>
              </w:rPr>
            </w:r>
            <w:r w:rsidR="00367608">
              <w:rPr>
                <w:webHidden/>
              </w:rPr>
              <w:fldChar w:fldCharType="separate"/>
            </w:r>
            <w:r>
              <w:rPr>
                <w:webHidden/>
              </w:rPr>
              <w:t>14</w:t>
            </w:r>
            <w:r w:rsidR="00367608">
              <w:rPr>
                <w:webHidden/>
              </w:rPr>
              <w:fldChar w:fldCharType="end"/>
            </w:r>
          </w:hyperlink>
        </w:p>
        <w:p w:rsidR="00367608" w:rsidRDefault="006E1111">
          <w:pPr>
            <w:pStyle w:val="TOC1"/>
            <w:rPr>
              <w:rFonts w:asciiTheme="minorHAnsi" w:eastAsiaTheme="minorEastAsia" w:hAnsiTheme="minorHAnsi"/>
              <w:b w:val="0"/>
              <w:color w:val="auto"/>
              <w:sz w:val="22"/>
              <w:lang w:val="en-AU" w:eastAsia="en-AU"/>
            </w:rPr>
          </w:pPr>
          <w:hyperlink w:anchor="_Toc451873362" w:history="1">
            <w:r w:rsidR="00367608" w:rsidRPr="001C3580">
              <w:rPr>
                <w:rStyle w:val="Hyperlink"/>
              </w:rPr>
              <w:t>3</w:t>
            </w:r>
            <w:r w:rsidR="00367608">
              <w:rPr>
                <w:rFonts w:asciiTheme="minorHAnsi" w:eastAsiaTheme="minorEastAsia" w:hAnsiTheme="minorHAnsi"/>
                <w:b w:val="0"/>
                <w:color w:val="auto"/>
                <w:sz w:val="22"/>
                <w:lang w:val="en-AU" w:eastAsia="en-AU"/>
              </w:rPr>
              <w:tab/>
            </w:r>
            <w:r w:rsidR="00367608" w:rsidRPr="001C3580">
              <w:rPr>
                <w:rStyle w:val="Hyperlink"/>
              </w:rPr>
              <w:t>Total revenue</w:t>
            </w:r>
            <w:r w:rsidR="00367608">
              <w:rPr>
                <w:webHidden/>
              </w:rPr>
              <w:tab/>
            </w:r>
            <w:r w:rsidR="00367608">
              <w:rPr>
                <w:webHidden/>
              </w:rPr>
              <w:fldChar w:fldCharType="begin"/>
            </w:r>
            <w:r w:rsidR="00367608">
              <w:rPr>
                <w:webHidden/>
              </w:rPr>
              <w:instrText xml:space="preserve"> PAGEREF _Toc451873362 \h </w:instrText>
            </w:r>
            <w:r w:rsidR="00367608">
              <w:rPr>
                <w:webHidden/>
              </w:rPr>
            </w:r>
            <w:r w:rsidR="00367608">
              <w:rPr>
                <w:webHidden/>
              </w:rPr>
              <w:fldChar w:fldCharType="separate"/>
            </w:r>
            <w:r>
              <w:rPr>
                <w:webHidden/>
              </w:rPr>
              <w:t>16</w:t>
            </w:r>
            <w:r w:rsidR="00367608">
              <w:rPr>
                <w:webHidden/>
              </w:rPr>
              <w:fldChar w:fldCharType="end"/>
            </w:r>
          </w:hyperlink>
        </w:p>
        <w:p w:rsidR="00367608" w:rsidRDefault="006E1111">
          <w:pPr>
            <w:pStyle w:val="TOC3"/>
            <w:rPr>
              <w:rFonts w:asciiTheme="minorHAnsi" w:eastAsiaTheme="minorEastAsia" w:hAnsiTheme="minorHAnsi"/>
              <w:lang w:eastAsia="en-AU"/>
            </w:rPr>
          </w:pPr>
          <w:hyperlink w:anchor="_Toc451873363" w:history="1">
            <w:r w:rsidR="00367608" w:rsidRPr="001C3580">
              <w:rPr>
                <w:rStyle w:val="Hyperlink"/>
              </w:rPr>
              <w:t>3.1.1</w:t>
            </w:r>
            <w:r w:rsidR="00367608">
              <w:rPr>
                <w:rFonts w:asciiTheme="minorHAnsi" w:eastAsiaTheme="minorEastAsia" w:hAnsiTheme="minorHAnsi"/>
                <w:lang w:eastAsia="en-AU"/>
              </w:rPr>
              <w:tab/>
            </w:r>
            <w:r w:rsidR="00367608" w:rsidRPr="001C3580">
              <w:rPr>
                <w:rStyle w:val="Hyperlink"/>
              </w:rPr>
              <w:t>The building block approach</w:t>
            </w:r>
            <w:r w:rsidR="00367608">
              <w:rPr>
                <w:webHidden/>
              </w:rPr>
              <w:tab/>
            </w:r>
            <w:r w:rsidR="00367608">
              <w:rPr>
                <w:webHidden/>
              </w:rPr>
              <w:fldChar w:fldCharType="begin"/>
            </w:r>
            <w:r w:rsidR="00367608">
              <w:rPr>
                <w:webHidden/>
              </w:rPr>
              <w:instrText xml:space="preserve"> PAGEREF _Toc451873363 \h </w:instrText>
            </w:r>
            <w:r w:rsidR="00367608">
              <w:rPr>
                <w:webHidden/>
              </w:rPr>
            </w:r>
            <w:r w:rsidR="00367608">
              <w:rPr>
                <w:webHidden/>
              </w:rPr>
              <w:fldChar w:fldCharType="separate"/>
            </w:r>
            <w:r>
              <w:rPr>
                <w:webHidden/>
              </w:rPr>
              <w:t>16</w:t>
            </w:r>
            <w:r w:rsidR="00367608">
              <w:rPr>
                <w:webHidden/>
              </w:rPr>
              <w:fldChar w:fldCharType="end"/>
            </w:r>
          </w:hyperlink>
        </w:p>
        <w:p w:rsidR="00367608" w:rsidRDefault="006E1111">
          <w:pPr>
            <w:pStyle w:val="TOC3"/>
            <w:rPr>
              <w:rFonts w:asciiTheme="minorHAnsi" w:eastAsiaTheme="minorEastAsia" w:hAnsiTheme="minorHAnsi"/>
              <w:lang w:eastAsia="en-AU"/>
            </w:rPr>
          </w:pPr>
          <w:hyperlink w:anchor="_Toc451873364" w:history="1">
            <w:r w:rsidR="00367608" w:rsidRPr="001C3580">
              <w:rPr>
                <w:rStyle w:val="Hyperlink"/>
              </w:rPr>
              <w:t>3.1.2</w:t>
            </w:r>
            <w:r w:rsidR="00367608">
              <w:rPr>
                <w:rFonts w:asciiTheme="minorHAnsi" w:eastAsiaTheme="minorEastAsia" w:hAnsiTheme="minorHAnsi"/>
                <w:lang w:eastAsia="en-AU"/>
              </w:rPr>
              <w:tab/>
            </w:r>
            <w:r w:rsidR="00367608" w:rsidRPr="001C3580">
              <w:rPr>
                <w:rStyle w:val="Hyperlink"/>
              </w:rPr>
              <w:t>Final decision on AGN's revenue</w:t>
            </w:r>
            <w:r w:rsidR="00367608">
              <w:rPr>
                <w:webHidden/>
              </w:rPr>
              <w:tab/>
            </w:r>
            <w:r w:rsidR="00367608">
              <w:rPr>
                <w:webHidden/>
              </w:rPr>
              <w:fldChar w:fldCharType="begin"/>
            </w:r>
            <w:r w:rsidR="00367608">
              <w:rPr>
                <w:webHidden/>
              </w:rPr>
              <w:instrText xml:space="preserve"> PAGEREF _Toc451873364 \h </w:instrText>
            </w:r>
            <w:r w:rsidR="00367608">
              <w:rPr>
                <w:webHidden/>
              </w:rPr>
            </w:r>
            <w:r w:rsidR="00367608">
              <w:rPr>
                <w:webHidden/>
              </w:rPr>
              <w:fldChar w:fldCharType="separate"/>
            </w:r>
            <w:r>
              <w:rPr>
                <w:webHidden/>
              </w:rPr>
              <w:t>17</w:t>
            </w:r>
            <w:r w:rsidR="00367608">
              <w:rPr>
                <w:webHidden/>
              </w:rPr>
              <w:fldChar w:fldCharType="end"/>
            </w:r>
          </w:hyperlink>
        </w:p>
        <w:p w:rsidR="00367608" w:rsidRDefault="006E1111">
          <w:pPr>
            <w:pStyle w:val="TOC3"/>
            <w:rPr>
              <w:rFonts w:asciiTheme="minorHAnsi" w:eastAsiaTheme="minorEastAsia" w:hAnsiTheme="minorHAnsi"/>
              <w:lang w:eastAsia="en-AU"/>
            </w:rPr>
          </w:pPr>
          <w:hyperlink w:anchor="_Toc451873365" w:history="1">
            <w:r w:rsidR="00367608" w:rsidRPr="001C3580">
              <w:rPr>
                <w:rStyle w:val="Hyperlink"/>
              </w:rPr>
              <w:t>3.1.3</w:t>
            </w:r>
            <w:r w:rsidR="00367608">
              <w:rPr>
                <w:rFonts w:asciiTheme="minorHAnsi" w:eastAsiaTheme="minorEastAsia" w:hAnsiTheme="minorHAnsi"/>
                <w:lang w:eastAsia="en-AU"/>
              </w:rPr>
              <w:tab/>
            </w:r>
            <w:r w:rsidR="00367608" w:rsidRPr="001C3580">
              <w:rPr>
                <w:rStyle w:val="Hyperlink"/>
              </w:rPr>
              <w:t>Revenue equalisation (smoothing) and tariffs</w:t>
            </w:r>
            <w:r w:rsidR="00367608">
              <w:rPr>
                <w:webHidden/>
              </w:rPr>
              <w:tab/>
            </w:r>
            <w:r w:rsidR="00367608">
              <w:rPr>
                <w:webHidden/>
              </w:rPr>
              <w:fldChar w:fldCharType="begin"/>
            </w:r>
            <w:r w:rsidR="00367608">
              <w:rPr>
                <w:webHidden/>
              </w:rPr>
              <w:instrText xml:space="preserve"> PAGEREF _Toc451873365 \h </w:instrText>
            </w:r>
            <w:r w:rsidR="00367608">
              <w:rPr>
                <w:webHidden/>
              </w:rPr>
            </w:r>
            <w:r w:rsidR="00367608">
              <w:rPr>
                <w:webHidden/>
              </w:rPr>
              <w:fldChar w:fldCharType="separate"/>
            </w:r>
            <w:r>
              <w:rPr>
                <w:webHidden/>
              </w:rPr>
              <w:t>18</w:t>
            </w:r>
            <w:r w:rsidR="00367608">
              <w:rPr>
                <w:webHidden/>
              </w:rPr>
              <w:fldChar w:fldCharType="end"/>
            </w:r>
          </w:hyperlink>
        </w:p>
        <w:p w:rsidR="00367608" w:rsidRDefault="006E1111">
          <w:pPr>
            <w:pStyle w:val="TOC3"/>
            <w:rPr>
              <w:rFonts w:asciiTheme="minorHAnsi" w:eastAsiaTheme="minorEastAsia" w:hAnsiTheme="minorHAnsi"/>
              <w:lang w:eastAsia="en-AU"/>
            </w:rPr>
          </w:pPr>
          <w:hyperlink w:anchor="_Toc451873366" w:history="1">
            <w:r w:rsidR="00367608" w:rsidRPr="001C3580">
              <w:rPr>
                <w:rStyle w:val="Hyperlink"/>
              </w:rPr>
              <w:t>3.1.4</w:t>
            </w:r>
            <w:r w:rsidR="00367608">
              <w:rPr>
                <w:rFonts w:asciiTheme="minorHAnsi" w:eastAsiaTheme="minorEastAsia" w:hAnsiTheme="minorHAnsi"/>
                <w:lang w:eastAsia="en-AU"/>
              </w:rPr>
              <w:tab/>
            </w:r>
            <w:r w:rsidR="00367608" w:rsidRPr="001C3580">
              <w:rPr>
                <w:rStyle w:val="Hyperlink"/>
              </w:rPr>
              <w:t>Indicative impact of distribution charges on annual gas bills</w:t>
            </w:r>
            <w:r w:rsidR="00367608">
              <w:rPr>
                <w:webHidden/>
              </w:rPr>
              <w:tab/>
            </w:r>
            <w:r w:rsidR="00367608">
              <w:rPr>
                <w:webHidden/>
              </w:rPr>
              <w:fldChar w:fldCharType="begin"/>
            </w:r>
            <w:r w:rsidR="00367608">
              <w:rPr>
                <w:webHidden/>
              </w:rPr>
              <w:instrText xml:space="preserve"> PAGEREF _Toc451873366 \h </w:instrText>
            </w:r>
            <w:r w:rsidR="00367608">
              <w:rPr>
                <w:webHidden/>
              </w:rPr>
            </w:r>
            <w:r w:rsidR="00367608">
              <w:rPr>
                <w:webHidden/>
              </w:rPr>
              <w:fldChar w:fldCharType="separate"/>
            </w:r>
            <w:r>
              <w:rPr>
                <w:webHidden/>
              </w:rPr>
              <w:t>22</w:t>
            </w:r>
            <w:r w:rsidR="00367608">
              <w:rPr>
                <w:webHidden/>
              </w:rPr>
              <w:fldChar w:fldCharType="end"/>
            </w:r>
          </w:hyperlink>
        </w:p>
        <w:p w:rsidR="00367608" w:rsidRDefault="006E1111">
          <w:pPr>
            <w:pStyle w:val="TOC1"/>
            <w:rPr>
              <w:rFonts w:asciiTheme="minorHAnsi" w:eastAsiaTheme="minorEastAsia" w:hAnsiTheme="minorHAnsi"/>
              <w:b w:val="0"/>
              <w:color w:val="auto"/>
              <w:sz w:val="22"/>
              <w:lang w:val="en-AU" w:eastAsia="en-AU"/>
            </w:rPr>
          </w:pPr>
          <w:hyperlink w:anchor="_Toc451873367" w:history="1">
            <w:r w:rsidR="00367608" w:rsidRPr="001C3580">
              <w:rPr>
                <w:rStyle w:val="Hyperlink"/>
              </w:rPr>
              <w:t>4</w:t>
            </w:r>
            <w:r w:rsidR="00367608">
              <w:rPr>
                <w:rFonts w:asciiTheme="minorHAnsi" w:eastAsiaTheme="minorEastAsia" w:hAnsiTheme="minorHAnsi"/>
                <w:b w:val="0"/>
                <w:color w:val="auto"/>
                <w:sz w:val="22"/>
                <w:lang w:val="en-AU" w:eastAsia="en-AU"/>
              </w:rPr>
              <w:tab/>
            </w:r>
            <w:r w:rsidR="00367608" w:rsidRPr="001C3580">
              <w:rPr>
                <w:rStyle w:val="Hyperlink"/>
              </w:rPr>
              <w:t>Key elements of decision on AGN's revenue</w:t>
            </w:r>
            <w:r w:rsidR="00367608">
              <w:rPr>
                <w:webHidden/>
              </w:rPr>
              <w:tab/>
            </w:r>
            <w:r w:rsidR="00367608">
              <w:rPr>
                <w:webHidden/>
              </w:rPr>
              <w:fldChar w:fldCharType="begin"/>
            </w:r>
            <w:r w:rsidR="00367608">
              <w:rPr>
                <w:webHidden/>
              </w:rPr>
              <w:instrText xml:space="preserve"> PAGEREF _Toc451873367 \h </w:instrText>
            </w:r>
            <w:r w:rsidR="00367608">
              <w:rPr>
                <w:webHidden/>
              </w:rPr>
            </w:r>
            <w:r w:rsidR="00367608">
              <w:rPr>
                <w:webHidden/>
              </w:rPr>
              <w:fldChar w:fldCharType="separate"/>
            </w:r>
            <w:r>
              <w:rPr>
                <w:webHidden/>
              </w:rPr>
              <w:t>24</w:t>
            </w:r>
            <w:r w:rsidR="00367608">
              <w:rPr>
                <w:webHidden/>
              </w:rPr>
              <w:fldChar w:fldCharType="end"/>
            </w:r>
          </w:hyperlink>
        </w:p>
        <w:p w:rsidR="00367608" w:rsidRDefault="006E1111">
          <w:pPr>
            <w:pStyle w:val="TOC2"/>
            <w:rPr>
              <w:rFonts w:asciiTheme="minorHAnsi" w:eastAsiaTheme="minorEastAsia" w:hAnsiTheme="minorHAnsi"/>
              <w:b w:val="0"/>
              <w:color w:val="auto"/>
              <w:sz w:val="22"/>
              <w:lang w:eastAsia="en-AU"/>
            </w:rPr>
          </w:pPr>
          <w:hyperlink w:anchor="_Toc451873368" w:history="1">
            <w:r w:rsidR="00367608" w:rsidRPr="001C3580">
              <w:rPr>
                <w:rStyle w:val="Hyperlink"/>
              </w:rPr>
              <w:t>4.1</w:t>
            </w:r>
            <w:r w:rsidR="00367608">
              <w:rPr>
                <w:rFonts w:asciiTheme="minorHAnsi" w:eastAsiaTheme="minorEastAsia" w:hAnsiTheme="minorHAnsi"/>
                <w:b w:val="0"/>
                <w:color w:val="auto"/>
                <w:sz w:val="22"/>
                <w:lang w:eastAsia="en-AU"/>
              </w:rPr>
              <w:tab/>
            </w:r>
            <w:r w:rsidR="00367608" w:rsidRPr="001C3580">
              <w:rPr>
                <w:rStyle w:val="Hyperlink"/>
              </w:rPr>
              <w:t>Capital base</w:t>
            </w:r>
            <w:r w:rsidR="00367608">
              <w:rPr>
                <w:webHidden/>
              </w:rPr>
              <w:tab/>
            </w:r>
            <w:r w:rsidR="00367608">
              <w:rPr>
                <w:webHidden/>
              </w:rPr>
              <w:fldChar w:fldCharType="begin"/>
            </w:r>
            <w:r w:rsidR="00367608">
              <w:rPr>
                <w:webHidden/>
              </w:rPr>
              <w:instrText xml:space="preserve"> PAGEREF _Toc451873368 \h </w:instrText>
            </w:r>
            <w:r w:rsidR="00367608">
              <w:rPr>
                <w:webHidden/>
              </w:rPr>
            </w:r>
            <w:r w:rsidR="00367608">
              <w:rPr>
                <w:webHidden/>
              </w:rPr>
              <w:fldChar w:fldCharType="separate"/>
            </w:r>
            <w:r>
              <w:rPr>
                <w:webHidden/>
              </w:rPr>
              <w:t>24</w:t>
            </w:r>
            <w:r w:rsidR="00367608">
              <w:rPr>
                <w:webHidden/>
              </w:rPr>
              <w:fldChar w:fldCharType="end"/>
            </w:r>
          </w:hyperlink>
        </w:p>
        <w:p w:rsidR="00367608" w:rsidRDefault="006E1111">
          <w:pPr>
            <w:pStyle w:val="TOC2"/>
            <w:rPr>
              <w:rFonts w:asciiTheme="minorHAnsi" w:eastAsiaTheme="minorEastAsia" w:hAnsiTheme="minorHAnsi"/>
              <w:b w:val="0"/>
              <w:color w:val="auto"/>
              <w:sz w:val="22"/>
              <w:lang w:eastAsia="en-AU"/>
            </w:rPr>
          </w:pPr>
          <w:hyperlink w:anchor="_Toc451873369" w:history="1">
            <w:r w:rsidR="00367608" w:rsidRPr="001C3580">
              <w:rPr>
                <w:rStyle w:val="Hyperlink"/>
              </w:rPr>
              <w:t>4.2</w:t>
            </w:r>
            <w:r w:rsidR="00367608">
              <w:rPr>
                <w:rFonts w:asciiTheme="minorHAnsi" w:eastAsiaTheme="minorEastAsia" w:hAnsiTheme="minorHAnsi"/>
                <w:b w:val="0"/>
                <w:color w:val="auto"/>
                <w:sz w:val="22"/>
                <w:lang w:eastAsia="en-AU"/>
              </w:rPr>
              <w:tab/>
            </w:r>
            <w:r w:rsidR="00367608" w:rsidRPr="001C3580">
              <w:rPr>
                <w:rStyle w:val="Hyperlink"/>
              </w:rPr>
              <w:t>Rate of return (return on capital)</w:t>
            </w:r>
            <w:r w:rsidR="00367608">
              <w:rPr>
                <w:webHidden/>
              </w:rPr>
              <w:tab/>
            </w:r>
            <w:r w:rsidR="00367608">
              <w:rPr>
                <w:webHidden/>
              </w:rPr>
              <w:fldChar w:fldCharType="begin"/>
            </w:r>
            <w:r w:rsidR="00367608">
              <w:rPr>
                <w:webHidden/>
              </w:rPr>
              <w:instrText xml:space="preserve"> PAGEREF _Toc451873369 \h </w:instrText>
            </w:r>
            <w:r w:rsidR="00367608">
              <w:rPr>
                <w:webHidden/>
              </w:rPr>
            </w:r>
            <w:r w:rsidR="00367608">
              <w:rPr>
                <w:webHidden/>
              </w:rPr>
              <w:fldChar w:fldCharType="separate"/>
            </w:r>
            <w:r>
              <w:rPr>
                <w:webHidden/>
              </w:rPr>
              <w:t>26</w:t>
            </w:r>
            <w:r w:rsidR="00367608">
              <w:rPr>
                <w:webHidden/>
              </w:rPr>
              <w:fldChar w:fldCharType="end"/>
            </w:r>
          </w:hyperlink>
        </w:p>
        <w:p w:rsidR="00367608" w:rsidRDefault="006E1111">
          <w:pPr>
            <w:pStyle w:val="TOC2"/>
            <w:rPr>
              <w:rFonts w:asciiTheme="minorHAnsi" w:eastAsiaTheme="minorEastAsia" w:hAnsiTheme="minorHAnsi"/>
              <w:b w:val="0"/>
              <w:color w:val="auto"/>
              <w:sz w:val="22"/>
              <w:lang w:eastAsia="en-AU"/>
            </w:rPr>
          </w:pPr>
          <w:hyperlink w:anchor="_Toc451873370" w:history="1">
            <w:r w:rsidR="00367608" w:rsidRPr="001C3580">
              <w:rPr>
                <w:rStyle w:val="Hyperlink"/>
              </w:rPr>
              <w:t>4.3</w:t>
            </w:r>
            <w:r w:rsidR="00367608">
              <w:rPr>
                <w:rFonts w:asciiTheme="minorHAnsi" w:eastAsiaTheme="minorEastAsia" w:hAnsiTheme="minorHAnsi"/>
                <w:b w:val="0"/>
                <w:color w:val="auto"/>
                <w:sz w:val="22"/>
                <w:lang w:eastAsia="en-AU"/>
              </w:rPr>
              <w:tab/>
            </w:r>
            <w:r w:rsidR="00367608" w:rsidRPr="001C3580">
              <w:rPr>
                <w:rStyle w:val="Hyperlink"/>
              </w:rPr>
              <w:t>Value of imputation credits (gamma)</w:t>
            </w:r>
            <w:r w:rsidR="00367608">
              <w:rPr>
                <w:webHidden/>
              </w:rPr>
              <w:tab/>
            </w:r>
            <w:r w:rsidR="00367608">
              <w:rPr>
                <w:webHidden/>
              </w:rPr>
              <w:fldChar w:fldCharType="begin"/>
            </w:r>
            <w:r w:rsidR="00367608">
              <w:rPr>
                <w:webHidden/>
              </w:rPr>
              <w:instrText xml:space="preserve"> PAGEREF _Toc451873370 \h </w:instrText>
            </w:r>
            <w:r w:rsidR="00367608">
              <w:rPr>
                <w:webHidden/>
              </w:rPr>
            </w:r>
            <w:r w:rsidR="00367608">
              <w:rPr>
                <w:webHidden/>
              </w:rPr>
              <w:fldChar w:fldCharType="separate"/>
            </w:r>
            <w:r>
              <w:rPr>
                <w:webHidden/>
              </w:rPr>
              <w:t>30</w:t>
            </w:r>
            <w:r w:rsidR="00367608">
              <w:rPr>
                <w:webHidden/>
              </w:rPr>
              <w:fldChar w:fldCharType="end"/>
            </w:r>
          </w:hyperlink>
        </w:p>
        <w:p w:rsidR="00367608" w:rsidRDefault="006E1111">
          <w:pPr>
            <w:pStyle w:val="TOC2"/>
            <w:rPr>
              <w:rFonts w:asciiTheme="minorHAnsi" w:eastAsiaTheme="minorEastAsia" w:hAnsiTheme="minorHAnsi"/>
              <w:b w:val="0"/>
              <w:color w:val="auto"/>
              <w:sz w:val="22"/>
              <w:lang w:eastAsia="en-AU"/>
            </w:rPr>
          </w:pPr>
          <w:hyperlink w:anchor="_Toc451873371" w:history="1">
            <w:r w:rsidR="00367608" w:rsidRPr="001C3580">
              <w:rPr>
                <w:rStyle w:val="Hyperlink"/>
              </w:rPr>
              <w:t>4.4</w:t>
            </w:r>
            <w:r w:rsidR="00367608">
              <w:rPr>
                <w:rFonts w:asciiTheme="minorHAnsi" w:eastAsiaTheme="minorEastAsia" w:hAnsiTheme="minorHAnsi"/>
                <w:b w:val="0"/>
                <w:color w:val="auto"/>
                <w:sz w:val="22"/>
                <w:lang w:eastAsia="en-AU"/>
              </w:rPr>
              <w:tab/>
            </w:r>
            <w:r w:rsidR="00367608" w:rsidRPr="001C3580">
              <w:rPr>
                <w:rStyle w:val="Hyperlink"/>
              </w:rPr>
              <w:t>Regulatory depreciation (return of capital)</w:t>
            </w:r>
            <w:r w:rsidR="00367608">
              <w:rPr>
                <w:webHidden/>
              </w:rPr>
              <w:tab/>
            </w:r>
            <w:r w:rsidR="00367608">
              <w:rPr>
                <w:webHidden/>
              </w:rPr>
              <w:fldChar w:fldCharType="begin"/>
            </w:r>
            <w:r w:rsidR="00367608">
              <w:rPr>
                <w:webHidden/>
              </w:rPr>
              <w:instrText xml:space="preserve"> PAGEREF _Toc451873371 \h </w:instrText>
            </w:r>
            <w:r w:rsidR="00367608">
              <w:rPr>
                <w:webHidden/>
              </w:rPr>
            </w:r>
            <w:r w:rsidR="00367608">
              <w:rPr>
                <w:webHidden/>
              </w:rPr>
              <w:fldChar w:fldCharType="separate"/>
            </w:r>
            <w:r>
              <w:rPr>
                <w:webHidden/>
              </w:rPr>
              <w:t>32</w:t>
            </w:r>
            <w:r w:rsidR="00367608">
              <w:rPr>
                <w:webHidden/>
              </w:rPr>
              <w:fldChar w:fldCharType="end"/>
            </w:r>
          </w:hyperlink>
        </w:p>
        <w:p w:rsidR="00367608" w:rsidRDefault="006E1111">
          <w:pPr>
            <w:pStyle w:val="TOC2"/>
            <w:rPr>
              <w:rFonts w:asciiTheme="minorHAnsi" w:eastAsiaTheme="minorEastAsia" w:hAnsiTheme="minorHAnsi"/>
              <w:b w:val="0"/>
              <w:color w:val="auto"/>
              <w:sz w:val="22"/>
              <w:lang w:eastAsia="en-AU"/>
            </w:rPr>
          </w:pPr>
          <w:hyperlink w:anchor="_Toc451873372" w:history="1">
            <w:r w:rsidR="00367608" w:rsidRPr="001C3580">
              <w:rPr>
                <w:rStyle w:val="Hyperlink"/>
              </w:rPr>
              <w:t>4.5</w:t>
            </w:r>
            <w:r w:rsidR="00367608">
              <w:rPr>
                <w:rFonts w:asciiTheme="minorHAnsi" w:eastAsiaTheme="minorEastAsia" w:hAnsiTheme="minorHAnsi"/>
                <w:b w:val="0"/>
                <w:color w:val="auto"/>
                <w:sz w:val="22"/>
                <w:lang w:eastAsia="en-AU"/>
              </w:rPr>
              <w:tab/>
            </w:r>
            <w:r w:rsidR="00367608" w:rsidRPr="001C3580">
              <w:rPr>
                <w:rStyle w:val="Hyperlink"/>
              </w:rPr>
              <w:t>Capital expenditure</w:t>
            </w:r>
            <w:r w:rsidR="00367608">
              <w:rPr>
                <w:webHidden/>
              </w:rPr>
              <w:tab/>
            </w:r>
            <w:r w:rsidR="00367608">
              <w:rPr>
                <w:webHidden/>
              </w:rPr>
              <w:fldChar w:fldCharType="begin"/>
            </w:r>
            <w:r w:rsidR="00367608">
              <w:rPr>
                <w:webHidden/>
              </w:rPr>
              <w:instrText xml:space="preserve"> PAGEREF _Toc451873372 \h </w:instrText>
            </w:r>
            <w:r w:rsidR="00367608">
              <w:rPr>
                <w:webHidden/>
              </w:rPr>
            </w:r>
            <w:r w:rsidR="00367608">
              <w:rPr>
                <w:webHidden/>
              </w:rPr>
              <w:fldChar w:fldCharType="separate"/>
            </w:r>
            <w:r>
              <w:rPr>
                <w:webHidden/>
              </w:rPr>
              <w:t>34</w:t>
            </w:r>
            <w:r w:rsidR="00367608">
              <w:rPr>
                <w:webHidden/>
              </w:rPr>
              <w:fldChar w:fldCharType="end"/>
            </w:r>
          </w:hyperlink>
        </w:p>
        <w:p w:rsidR="00367608" w:rsidRDefault="006E1111">
          <w:pPr>
            <w:pStyle w:val="TOC2"/>
            <w:rPr>
              <w:rFonts w:asciiTheme="minorHAnsi" w:eastAsiaTheme="minorEastAsia" w:hAnsiTheme="minorHAnsi"/>
              <w:b w:val="0"/>
              <w:color w:val="auto"/>
              <w:sz w:val="22"/>
              <w:lang w:eastAsia="en-AU"/>
            </w:rPr>
          </w:pPr>
          <w:hyperlink w:anchor="_Toc451873373" w:history="1">
            <w:r w:rsidR="00367608" w:rsidRPr="001C3580">
              <w:rPr>
                <w:rStyle w:val="Hyperlink"/>
              </w:rPr>
              <w:t>4.6</w:t>
            </w:r>
            <w:r w:rsidR="00367608">
              <w:rPr>
                <w:rFonts w:asciiTheme="minorHAnsi" w:eastAsiaTheme="minorEastAsia" w:hAnsiTheme="minorHAnsi"/>
                <w:b w:val="0"/>
                <w:color w:val="auto"/>
                <w:sz w:val="22"/>
                <w:lang w:eastAsia="en-AU"/>
              </w:rPr>
              <w:tab/>
            </w:r>
            <w:r w:rsidR="00367608" w:rsidRPr="001C3580">
              <w:rPr>
                <w:rStyle w:val="Hyperlink"/>
              </w:rPr>
              <w:t>Operating expenditure</w:t>
            </w:r>
            <w:r w:rsidR="00367608">
              <w:rPr>
                <w:webHidden/>
              </w:rPr>
              <w:tab/>
            </w:r>
            <w:r w:rsidR="00367608">
              <w:rPr>
                <w:webHidden/>
              </w:rPr>
              <w:fldChar w:fldCharType="begin"/>
            </w:r>
            <w:r w:rsidR="00367608">
              <w:rPr>
                <w:webHidden/>
              </w:rPr>
              <w:instrText xml:space="preserve"> PAGEREF _Toc451873373 \h </w:instrText>
            </w:r>
            <w:r w:rsidR="00367608">
              <w:rPr>
                <w:webHidden/>
              </w:rPr>
            </w:r>
            <w:r w:rsidR="00367608">
              <w:rPr>
                <w:webHidden/>
              </w:rPr>
              <w:fldChar w:fldCharType="separate"/>
            </w:r>
            <w:r>
              <w:rPr>
                <w:webHidden/>
              </w:rPr>
              <w:t>38</w:t>
            </w:r>
            <w:r w:rsidR="00367608">
              <w:rPr>
                <w:webHidden/>
              </w:rPr>
              <w:fldChar w:fldCharType="end"/>
            </w:r>
          </w:hyperlink>
        </w:p>
        <w:p w:rsidR="00367608" w:rsidRDefault="006E1111">
          <w:pPr>
            <w:pStyle w:val="TOC2"/>
            <w:rPr>
              <w:rFonts w:asciiTheme="minorHAnsi" w:eastAsiaTheme="minorEastAsia" w:hAnsiTheme="minorHAnsi"/>
              <w:b w:val="0"/>
              <w:color w:val="auto"/>
              <w:sz w:val="22"/>
              <w:lang w:eastAsia="en-AU"/>
            </w:rPr>
          </w:pPr>
          <w:hyperlink w:anchor="_Toc451873374" w:history="1">
            <w:r w:rsidR="00367608" w:rsidRPr="001C3580">
              <w:rPr>
                <w:rStyle w:val="Hyperlink"/>
              </w:rPr>
              <w:t>4.7</w:t>
            </w:r>
            <w:r w:rsidR="00367608">
              <w:rPr>
                <w:rFonts w:asciiTheme="minorHAnsi" w:eastAsiaTheme="minorEastAsia" w:hAnsiTheme="minorHAnsi"/>
                <w:b w:val="0"/>
                <w:color w:val="auto"/>
                <w:sz w:val="22"/>
                <w:lang w:eastAsia="en-AU"/>
              </w:rPr>
              <w:tab/>
            </w:r>
            <w:r w:rsidR="00367608" w:rsidRPr="001C3580">
              <w:rPr>
                <w:rStyle w:val="Hyperlink"/>
              </w:rPr>
              <w:t>Efficiency carryover mechanism amounts</w:t>
            </w:r>
            <w:r w:rsidR="00367608">
              <w:rPr>
                <w:webHidden/>
              </w:rPr>
              <w:tab/>
            </w:r>
            <w:r w:rsidR="00367608">
              <w:rPr>
                <w:webHidden/>
              </w:rPr>
              <w:fldChar w:fldCharType="begin"/>
            </w:r>
            <w:r w:rsidR="00367608">
              <w:rPr>
                <w:webHidden/>
              </w:rPr>
              <w:instrText xml:space="preserve"> PAGEREF _Toc451873374 \h </w:instrText>
            </w:r>
            <w:r w:rsidR="00367608">
              <w:rPr>
                <w:webHidden/>
              </w:rPr>
            </w:r>
            <w:r w:rsidR="00367608">
              <w:rPr>
                <w:webHidden/>
              </w:rPr>
              <w:fldChar w:fldCharType="separate"/>
            </w:r>
            <w:r>
              <w:rPr>
                <w:webHidden/>
              </w:rPr>
              <w:t>40</w:t>
            </w:r>
            <w:r w:rsidR="00367608">
              <w:rPr>
                <w:webHidden/>
              </w:rPr>
              <w:fldChar w:fldCharType="end"/>
            </w:r>
          </w:hyperlink>
        </w:p>
        <w:p w:rsidR="00367608" w:rsidRDefault="006E1111">
          <w:pPr>
            <w:pStyle w:val="TOC2"/>
            <w:rPr>
              <w:rFonts w:asciiTheme="minorHAnsi" w:eastAsiaTheme="minorEastAsia" w:hAnsiTheme="minorHAnsi"/>
              <w:b w:val="0"/>
              <w:color w:val="auto"/>
              <w:sz w:val="22"/>
              <w:lang w:eastAsia="en-AU"/>
            </w:rPr>
          </w:pPr>
          <w:hyperlink w:anchor="_Toc451873375" w:history="1">
            <w:r w:rsidR="00367608" w:rsidRPr="001C3580">
              <w:rPr>
                <w:rStyle w:val="Hyperlink"/>
              </w:rPr>
              <w:t>4.8</w:t>
            </w:r>
            <w:r w:rsidR="00367608">
              <w:rPr>
                <w:rFonts w:asciiTheme="minorHAnsi" w:eastAsiaTheme="minorEastAsia" w:hAnsiTheme="minorHAnsi"/>
                <w:b w:val="0"/>
                <w:color w:val="auto"/>
                <w:sz w:val="22"/>
                <w:lang w:eastAsia="en-AU"/>
              </w:rPr>
              <w:tab/>
            </w:r>
            <w:r w:rsidR="00367608" w:rsidRPr="001C3580">
              <w:rPr>
                <w:rStyle w:val="Hyperlink"/>
              </w:rPr>
              <w:t>Corporate income tax</w:t>
            </w:r>
            <w:r w:rsidR="00367608">
              <w:rPr>
                <w:webHidden/>
              </w:rPr>
              <w:tab/>
            </w:r>
            <w:r w:rsidR="00367608">
              <w:rPr>
                <w:webHidden/>
              </w:rPr>
              <w:fldChar w:fldCharType="begin"/>
            </w:r>
            <w:r w:rsidR="00367608">
              <w:rPr>
                <w:webHidden/>
              </w:rPr>
              <w:instrText xml:space="preserve"> PAGEREF _Toc451873375 \h </w:instrText>
            </w:r>
            <w:r w:rsidR="00367608">
              <w:rPr>
                <w:webHidden/>
              </w:rPr>
            </w:r>
            <w:r w:rsidR="00367608">
              <w:rPr>
                <w:webHidden/>
              </w:rPr>
              <w:fldChar w:fldCharType="separate"/>
            </w:r>
            <w:r>
              <w:rPr>
                <w:webHidden/>
              </w:rPr>
              <w:t>41</w:t>
            </w:r>
            <w:r w:rsidR="00367608">
              <w:rPr>
                <w:webHidden/>
              </w:rPr>
              <w:fldChar w:fldCharType="end"/>
            </w:r>
          </w:hyperlink>
        </w:p>
        <w:p w:rsidR="00367608" w:rsidRDefault="006E1111">
          <w:pPr>
            <w:pStyle w:val="TOC1"/>
            <w:rPr>
              <w:rFonts w:asciiTheme="minorHAnsi" w:eastAsiaTheme="minorEastAsia" w:hAnsiTheme="minorHAnsi"/>
              <w:b w:val="0"/>
              <w:color w:val="auto"/>
              <w:sz w:val="22"/>
              <w:lang w:val="en-AU" w:eastAsia="en-AU"/>
            </w:rPr>
          </w:pPr>
          <w:hyperlink w:anchor="_Toc451873376" w:history="1">
            <w:r w:rsidR="00367608" w:rsidRPr="001C3580">
              <w:rPr>
                <w:rStyle w:val="Hyperlink"/>
              </w:rPr>
              <w:t>5</w:t>
            </w:r>
            <w:r w:rsidR="00367608">
              <w:rPr>
                <w:rFonts w:asciiTheme="minorHAnsi" w:eastAsiaTheme="minorEastAsia" w:hAnsiTheme="minorHAnsi"/>
                <w:b w:val="0"/>
                <w:color w:val="auto"/>
                <w:sz w:val="22"/>
                <w:lang w:val="en-AU" w:eastAsia="en-AU"/>
              </w:rPr>
              <w:tab/>
            </w:r>
            <w:r w:rsidR="00367608" w:rsidRPr="001C3580">
              <w:rPr>
                <w:rStyle w:val="Hyperlink"/>
              </w:rPr>
              <w:t>Demand, reference tariffs and incentive schemes</w:t>
            </w:r>
            <w:r w:rsidR="00367608">
              <w:rPr>
                <w:webHidden/>
              </w:rPr>
              <w:tab/>
            </w:r>
            <w:r w:rsidR="00367608">
              <w:rPr>
                <w:webHidden/>
              </w:rPr>
              <w:fldChar w:fldCharType="begin"/>
            </w:r>
            <w:r w:rsidR="00367608">
              <w:rPr>
                <w:webHidden/>
              </w:rPr>
              <w:instrText xml:space="preserve"> PAGEREF _Toc451873376 \h </w:instrText>
            </w:r>
            <w:r w:rsidR="00367608">
              <w:rPr>
                <w:webHidden/>
              </w:rPr>
            </w:r>
            <w:r w:rsidR="00367608">
              <w:rPr>
                <w:webHidden/>
              </w:rPr>
              <w:fldChar w:fldCharType="separate"/>
            </w:r>
            <w:r>
              <w:rPr>
                <w:webHidden/>
              </w:rPr>
              <w:t>43</w:t>
            </w:r>
            <w:r w:rsidR="00367608">
              <w:rPr>
                <w:webHidden/>
              </w:rPr>
              <w:fldChar w:fldCharType="end"/>
            </w:r>
          </w:hyperlink>
        </w:p>
        <w:p w:rsidR="00367608" w:rsidRDefault="006E1111">
          <w:pPr>
            <w:pStyle w:val="TOC2"/>
            <w:rPr>
              <w:rFonts w:asciiTheme="minorHAnsi" w:eastAsiaTheme="minorEastAsia" w:hAnsiTheme="minorHAnsi"/>
              <w:b w:val="0"/>
              <w:color w:val="auto"/>
              <w:sz w:val="22"/>
              <w:lang w:eastAsia="en-AU"/>
            </w:rPr>
          </w:pPr>
          <w:hyperlink w:anchor="_Toc451873377" w:history="1">
            <w:r w:rsidR="00367608" w:rsidRPr="001C3580">
              <w:rPr>
                <w:rStyle w:val="Hyperlink"/>
              </w:rPr>
              <w:t>5.1</w:t>
            </w:r>
            <w:r w:rsidR="00367608">
              <w:rPr>
                <w:rFonts w:asciiTheme="minorHAnsi" w:eastAsiaTheme="minorEastAsia" w:hAnsiTheme="minorHAnsi"/>
                <w:b w:val="0"/>
                <w:color w:val="auto"/>
                <w:sz w:val="22"/>
                <w:lang w:eastAsia="en-AU"/>
              </w:rPr>
              <w:tab/>
            </w:r>
            <w:r w:rsidR="00367608" w:rsidRPr="001C3580">
              <w:rPr>
                <w:rStyle w:val="Hyperlink"/>
              </w:rPr>
              <w:t>Demand</w:t>
            </w:r>
            <w:r w:rsidR="00367608">
              <w:rPr>
                <w:webHidden/>
              </w:rPr>
              <w:tab/>
            </w:r>
            <w:r w:rsidR="00367608">
              <w:rPr>
                <w:webHidden/>
              </w:rPr>
              <w:fldChar w:fldCharType="begin"/>
            </w:r>
            <w:r w:rsidR="00367608">
              <w:rPr>
                <w:webHidden/>
              </w:rPr>
              <w:instrText xml:space="preserve"> PAGEREF _Toc451873377 \h </w:instrText>
            </w:r>
            <w:r w:rsidR="00367608">
              <w:rPr>
                <w:webHidden/>
              </w:rPr>
            </w:r>
            <w:r w:rsidR="00367608">
              <w:rPr>
                <w:webHidden/>
              </w:rPr>
              <w:fldChar w:fldCharType="separate"/>
            </w:r>
            <w:r>
              <w:rPr>
                <w:webHidden/>
              </w:rPr>
              <w:t>43</w:t>
            </w:r>
            <w:r w:rsidR="00367608">
              <w:rPr>
                <w:webHidden/>
              </w:rPr>
              <w:fldChar w:fldCharType="end"/>
            </w:r>
          </w:hyperlink>
        </w:p>
        <w:p w:rsidR="00367608" w:rsidRDefault="006E1111">
          <w:pPr>
            <w:pStyle w:val="TOC2"/>
            <w:rPr>
              <w:rFonts w:asciiTheme="minorHAnsi" w:eastAsiaTheme="minorEastAsia" w:hAnsiTheme="minorHAnsi"/>
              <w:b w:val="0"/>
              <w:color w:val="auto"/>
              <w:sz w:val="22"/>
              <w:lang w:eastAsia="en-AU"/>
            </w:rPr>
          </w:pPr>
          <w:hyperlink w:anchor="_Toc451873378" w:history="1">
            <w:r w:rsidR="00367608" w:rsidRPr="001C3580">
              <w:rPr>
                <w:rStyle w:val="Hyperlink"/>
              </w:rPr>
              <w:t>5.2</w:t>
            </w:r>
            <w:r w:rsidR="00367608">
              <w:rPr>
                <w:rFonts w:asciiTheme="minorHAnsi" w:eastAsiaTheme="minorEastAsia" w:hAnsiTheme="minorHAnsi"/>
                <w:b w:val="0"/>
                <w:color w:val="auto"/>
                <w:sz w:val="22"/>
                <w:lang w:eastAsia="en-AU"/>
              </w:rPr>
              <w:tab/>
            </w:r>
            <w:r w:rsidR="00367608" w:rsidRPr="001C3580">
              <w:rPr>
                <w:rStyle w:val="Hyperlink"/>
              </w:rPr>
              <w:t>Services covered by the access arrangement</w:t>
            </w:r>
            <w:r w:rsidR="00367608">
              <w:rPr>
                <w:webHidden/>
              </w:rPr>
              <w:tab/>
            </w:r>
            <w:r w:rsidR="00367608">
              <w:rPr>
                <w:webHidden/>
              </w:rPr>
              <w:fldChar w:fldCharType="begin"/>
            </w:r>
            <w:r w:rsidR="00367608">
              <w:rPr>
                <w:webHidden/>
              </w:rPr>
              <w:instrText xml:space="preserve"> PAGEREF _Toc451873378 \h </w:instrText>
            </w:r>
            <w:r w:rsidR="00367608">
              <w:rPr>
                <w:webHidden/>
              </w:rPr>
            </w:r>
            <w:r w:rsidR="00367608">
              <w:rPr>
                <w:webHidden/>
              </w:rPr>
              <w:fldChar w:fldCharType="separate"/>
            </w:r>
            <w:r>
              <w:rPr>
                <w:webHidden/>
              </w:rPr>
              <w:t>43</w:t>
            </w:r>
            <w:r w:rsidR="00367608">
              <w:rPr>
                <w:webHidden/>
              </w:rPr>
              <w:fldChar w:fldCharType="end"/>
            </w:r>
          </w:hyperlink>
        </w:p>
        <w:p w:rsidR="00367608" w:rsidRDefault="006E1111">
          <w:pPr>
            <w:pStyle w:val="TOC2"/>
            <w:rPr>
              <w:rFonts w:asciiTheme="minorHAnsi" w:eastAsiaTheme="minorEastAsia" w:hAnsiTheme="minorHAnsi"/>
              <w:b w:val="0"/>
              <w:color w:val="auto"/>
              <w:sz w:val="22"/>
              <w:lang w:eastAsia="en-AU"/>
            </w:rPr>
          </w:pPr>
          <w:hyperlink w:anchor="_Toc451873379" w:history="1">
            <w:r w:rsidR="00367608" w:rsidRPr="001C3580">
              <w:rPr>
                <w:rStyle w:val="Hyperlink"/>
              </w:rPr>
              <w:t>5.3</w:t>
            </w:r>
            <w:r w:rsidR="00367608">
              <w:rPr>
                <w:rFonts w:asciiTheme="minorHAnsi" w:eastAsiaTheme="minorEastAsia" w:hAnsiTheme="minorHAnsi"/>
                <w:b w:val="0"/>
                <w:color w:val="auto"/>
                <w:sz w:val="22"/>
                <w:lang w:eastAsia="en-AU"/>
              </w:rPr>
              <w:tab/>
            </w:r>
            <w:r w:rsidR="00367608" w:rsidRPr="001C3580">
              <w:rPr>
                <w:rStyle w:val="Hyperlink"/>
              </w:rPr>
              <w:t>Reference tariffs and reference tariff variation mechanism</w:t>
            </w:r>
            <w:r w:rsidR="00367608">
              <w:rPr>
                <w:webHidden/>
              </w:rPr>
              <w:tab/>
            </w:r>
            <w:r w:rsidR="00367608">
              <w:rPr>
                <w:webHidden/>
              </w:rPr>
              <w:fldChar w:fldCharType="begin"/>
            </w:r>
            <w:r w:rsidR="00367608">
              <w:rPr>
                <w:webHidden/>
              </w:rPr>
              <w:instrText xml:space="preserve"> PAGEREF _Toc451873379 \h </w:instrText>
            </w:r>
            <w:r w:rsidR="00367608">
              <w:rPr>
                <w:webHidden/>
              </w:rPr>
            </w:r>
            <w:r w:rsidR="00367608">
              <w:rPr>
                <w:webHidden/>
              </w:rPr>
              <w:fldChar w:fldCharType="separate"/>
            </w:r>
            <w:r>
              <w:rPr>
                <w:webHidden/>
              </w:rPr>
              <w:t>44</w:t>
            </w:r>
            <w:r w:rsidR="00367608">
              <w:rPr>
                <w:webHidden/>
              </w:rPr>
              <w:fldChar w:fldCharType="end"/>
            </w:r>
          </w:hyperlink>
        </w:p>
        <w:p w:rsidR="00367608" w:rsidRDefault="006E1111">
          <w:pPr>
            <w:pStyle w:val="TOC2"/>
            <w:rPr>
              <w:rFonts w:asciiTheme="minorHAnsi" w:eastAsiaTheme="minorEastAsia" w:hAnsiTheme="minorHAnsi"/>
              <w:b w:val="0"/>
              <w:color w:val="auto"/>
              <w:sz w:val="22"/>
              <w:lang w:eastAsia="en-AU"/>
            </w:rPr>
          </w:pPr>
          <w:hyperlink w:anchor="_Toc451873380" w:history="1">
            <w:r w:rsidR="00367608" w:rsidRPr="001C3580">
              <w:rPr>
                <w:rStyle w:val="Hyperlink"/>
              </w:rPr>
              <w:t>5.4</w:t>
            </w:r>
            <w:r w:rsidR="00367608">
              <w:rPr>
                <w:rFonts w:asciiTheme="minorHAnsi" w:eastAsiaTheme="minorEastAsia" w:hAnsiTheme="minorHAnsi"/>
                <w:b w:val="0"/>
                <w:color w:val="auto"/>
                <w:sz w:val="22"/>
                <w:lang w:eastAsia="en-AU"/>
              </w:rPr>
              <w:tab/>
            </w:r>
            <w:r w:rsidR="00367608" w:rsidRPr="001C3580">
              <w:rPr>
                <w:rStyle w:val="Hyperlink"/>
              </w:rPr>
              <w:t>Incentive schemes</w:t>
            </w:r>
            <w:r w:rsidR="00367608">
              <w:rPr>
                <w:webHidden/>
              </w:rPr>
              <w:tab/>
            </w:r>
            <w:r w:rsidR="00367608">
              <w:rPr>
                <w:webHidden/>
              </w:rPr>
              <w:fldChar w:fldCharType="begin"/>
            </w:r>
            <w:r w:rsidR="00367608">
              <w:rPr>
                <w:webHidden/>
              </w:rPr>
              <w:instrText xml:space="preserve"> PAGEREF _Toc451873380 \h </w:instrText>
            </w:r>
            <w:r w:rsidR="00367608">
              <w:rPr>
                <w:webHidden/>
              </w:rPr>
            </w:r>
            <w:r w:rsidR="00367608">
              <w:rPr>
                <w:webHidden/>
              </w:rPr>
              <w:fldChar w:fldCharType="separate"/>
            </w:r>
            <w:r>
              <w:rPr>
                <w:webHidden/>
              </w:rPr>
              <w:t>45</w:t>
            </w:r>
            <w:r w:rsidR="00367608">
              <w:rPr>
                <w:webHidden/>
              </w:rPr>
              <w:fldChar w:fldCharType="end"/>
            </w:r>
          </w:hyperlink>
        </w:p>
        <w:p w:rsidR="00367608" w:rsidRDefault="006E1111">
          <w:pPr>
            <w:pStyle w:val="TOC1"/>
            <w:rPr>
              <w:rFonts w:asciiTheme="minorHAnsi" w:eastAsiaTheme="minorEastAsia" w:hAnsiTheme="minorHAnsi"/>
              <w:b w:val="0"/>
              <w:color w:val="auto"/>
              <w:sz w:val="22"/>
              <w:lang w:val="en-AU" w:eastAsia="en-AU"/>
            </w:rPr>
          </w:pPr>
          <w:hyperlink w:anchor="_Toc451873381" w:history="1">
            <w:r w:rsidR="00367608" w:rsidRPr="001C3580">
              <w:rPr>
                <w:rStyle w:val="Hyperlink"/>
              </w:rPr>
              <w:t>6</w:t>
            </w:r>
            <w:r w:rsidR="00367608">
              <w:rPr>
                <w:rFonts w:asciiTheme="minorHAnsi" w:eastAsiaTheme="minorEastAsia" w:hAnsiTheme="minorHAnsi"/>
                <w:b w:val="0"/>
                <w:color w:val="auto"/>
                <w:sz w:val="22"/>
                <w:lang w:val="en-AU" w:eastAsia="en-AU"/>
              </w:rPr>
              <w:tab/>
            </w:r>
            <w:r w:rsidR="00367608" w:rsidRPr="001C3580">
              <w:rPr>
                <w:rStyle w:val="Hyperlink"/>
              </w:rPr>
              <w:t>Non-tariff components</w:t>
            </w:r>
            <w:r w:rsidR="00367608">
              <w:rPr>
                <w:webHidden/>
              </w:rPr>
              <w:tab/>
            </w:r>
            <w:r w:rsidR="00367608">
              <w:rPr>
                <w:webHidden/>
              </w:rPr>
              <w:fldChar w:fldCharType="begin"/>
            </w:r>
            <w:r w:rsidR="00367608">
              <w:rPr>
                <w:webHidden/>
              </w:rPr>
              <w:instrText xml:space="preserve"> PAGEREF _Toc451873381 \h </w:instrText>
            </w:r>
            <w:r w:rsidR="00367608">
              <w:rPr>
                <w:webHidden/>
              </w:rPr>
            </w:r>
            <w:r w:rsidR="00367608">
              <w:rPr>
                <w:webHidden/>
              </w:rPr>
              <w:fldChar w:fldCharType="separate"/>
            </w:r>
            <w:r>
              <w:rPr>
                <w:webHidden/>
              </w:rPr>
              <w:t>48</w:t>
            </w:r>
            <w:r w:rsidR="00367608">
              <w:rPr>
                <w:webHidden/>
              </w:rPr>
              <w:fldChar w:fldCharType="end"/>
            </w:r>
          </w:hyperlink>
        </w:p>
        <w:p w:rsidR="00367608" w:rsidRDefault="006E1111">
          <w:pPr>
            <w:pStyle w:val="TOC1"/>
            <w:rPr>
              <w:rFonts w:asciiTheme="minorHAnsi" w:eastAsiaTheme="minorEastAsia" w:hAnsiTheme="minorHAnsi"/>
              <w:b w:val="0"/>
              <w:color w:val="auto"/>
              <w:sz w:val="22"/>
              <w:lang w:val="en-AU" w:eastAsia="en-AU"/>
            </w:rPr>
          </w:pPr>
          <w:hyperlink w:anchor="_Toc451873382" w:history="1">
            <w:r w:rsidR="00367608" w:rsidRPr="001C3580">
              <w:rPr>
                <w:rStyle w:val="Hyperlink"/>
              </w:rPr>
              <w:t>7</w:t>
            </w:r>
            <w:r w:rsidR="00367608">
              <w:rPr>
                <w:rFonts w:asciiTheme="minorHAnsi" w:eastAsiaTheme="minorEastAsia" w:hAnsiTheme="minorHAnsi"/>
                <w:b w:val="0"/>
                <w:color w:val="auto"/>
                <w:sz w:val="22"/>
                <w:lang w:val="en-AU" w:eastAsia="en-AU"/>
              </w:rPr>
              <w:tab/>
            </w:r>
            <w:r w:rsidR="00367608" w:rsidRPr="001C3580">
              <w:rPr>
                <w:rStyle w:val="Hyperlink"/>
              </w:rPr>
              <w:t>Understanding the NGO</w:t>
            </w:r>
            <w:r w:rsidR="00367608">
              <w:rPr>
                <w:webHidden/>
              </w:rPr>
              <w:tab/>
            </w:r>
            <w:r w:rsidR="00367608">
              <w:rPr>
                <w:webHidden/>
              </w:rPr>
              <w:fldChar w:fldCharType="begin"/>
            </w:r>
            <w:r w:rsidR="00367608">
              <w:rPr>
                <w:webHidden/>
              </w:rPr>
              <w:instrText xml:space="preserve"> PAGEREF _Toc451873382 \h </w:instrText>
            </w:r>
            <w:r w:rsidR="00367608">
              <w:rPr>
                <w:webHidden/>
              </w:rPr>
            </w:r>
            <w:r w:rsidR="00367608">
              <w:rPr>
                <w:webHidden/>
              </w:rPr>
              <w:fldChar w:fldCharType="separate"/>
            </w:r>
            <w:r>
              <w:rPr>
                <w:webHidden/>
              </w:rPr>
              <w:t>49</w:t>
            </w:r>
            <w:r w:rsidR="00367608">
              <w:rPr>
                <w:webHidden/>
              </w:rPr>
              <w:fldChar w:fldCharType="end"/>
            </w:r>
          </w:hyperlink>
        </w:p>
        <w:p w:rsidR="00367608" w:rsidRDefault="006E1111">
          <w:pPr>
            <w:pStyle w:val="TOC2"/>
            <w:rPr>
              <w:rFonts w:asciiTheme="minorHAnsi" w:eastAsiaTheme="minorEastAsia" w:hAnsiTheme="minorHAnsi"/>
              <w:b w:val="0"/>
              <w:color w:val="auto"/>
              <w:sz w:val="22"/>
              <w:lang w:eastAsia="en-AU"/>
            </w:rPr>
          </w:pPr>
          <w:hyperlink w:anchor="_Toc451873383" w:history="1">
            <w:r w:rsidR="00367608" w:rsidRPr="001C3580">
              <w:rPr>
                <w:rStyle w:val="Hyperlink"/>
              </w:rPr>
              <w:t>7.1</w:t>
            </w:r>
            <w:r w:rsidR="00367608">
              <w:rPr>
                <w:rFonts w:asciiTheme="minorHAnsi" w:eastAsiaTheme="minorEastAsia" w:hAnsiTheme="minorHAnsi"/>
                <w:b w:val="0"/>
                <w:color w:val="auto"/>
                <w:sz w:val="22"/>
                <w:lang w:eastAsia="en-AU"/>
              </w:rPr>
              <w:tab/>
            </w:r>
            <w:r w:rsidR="00367608" w:rsidRPr="001C3580">
              <w:rPr>
                <w:rStyle w:val="Hyperlink"/>
              </w:rPr>
              <w:t>Achieving the NGO to the greatest degree</w:t>
            </w:r>
            <w:r w:rsidR="00367608">
              <w:rPr>
                <w:webHidden/>
              </w:rPr>
              <w:tab/>
            </w:r>
            <w:r w:rsidR="00367608">
              <w:rPr>
                <w:webHidden/>
              </w:rPr>
              <w:fldChar w:fldCharType="begin"/>
            </w:r>
            <w:r w:rsidR="00367608">
              <w:rPr>
                <w:webHidden/>
              </w:rPr>
              <w:instrText xml:space="preserve"> PAGEREF _Toc451873383 \h </w:instrText>
            </w:r>
            <w:r w:rsidR="00367608">
              <w:rPr>
                <w:webHidden/>
              </w:rPr>
            </w:r>
            <w:r w:rsidR="00367608">
              <w:rPr>
                <w:webHidden/>
              </w:rPr>
              <w:fldChar w:fldCharType="separate"/>
            </w:r>
            <w:r>
              <w:rPr>
                <w:webHidden/>
              </w:rPr>
              <w:t>52</w:t>
            </w:r>
            <w:r w:rsidR="00367608">
              <w:rPr>
                <w:webHidden/>
              </w:rPr>
              <w:fldChar w:fldCharType="end"/>
            </w:r>
          </w:hyperlink>
        </w:p>
        <w:p w:rsidR="00367608" w:rsidRDefault="006E1111">
          <w:pPr>
            <w:pStyle w:val="TOC3"/>
            <w:rPr>
              <w:rFonts w:asciiTheme="minorHAnsi" w:eastAsiaTheme="minorEastAsia" w:hAnsiTheme="minorHAnsi"/>
              <w:lang w:eastAsia="en-AU"/>
            </w:rPr>
          </w:pPr>
          <w:hyperlink w:anchor="_Toc451873384" w:history="1">
            <w:r w:rsidR="00367608" w:rsidRPr="001C3580">
              <w:rPr>
                <w:rStyle w:val="Hyperlink"/>
              </w:rPr>
              <w:t>7.1.1</w:t>
            </w:r>
            <w:r w:rsidR="00367608">
              <w:rPr>
                <w:rFonts w:asciiTheme="minorHAnsi" w:eastAsiaTheme="minorEastAsia" w:hAnsiTheme="minorHAnsi"/>
                <w:lang w:eastAsia="en-AU"/>
              </w:rPr>
              <w:tab/>
            </w:r>
            <w:r w:rsidR="00367608" w:rsidRPr="001C3580">
              <w:rPr>
                <w:rStyle w:val="Hyperlink"/>
              </w:rPr>
              <w:t>Interrelationships between individual components</w:t>
            </w:r>
            <w:r w:rsidR="00367608">
              <w:rPr>
                <w:webHidden/>
              </w:rPr>
              <w:tab/>
            </w:r>
            <w:r w:rsidR="00367608">
              <w:rPr>
                <w:webHidden/>
              </w:rPr>
              <w:fldChar w:fldCharType="begin"/>
            </w:r>
            <w:r w:rsidR="00367608">
              <w:rPr>
                <w:webHidden/>
              </w:rPr>
              <w:instrText xml:space="preserve"> PAGEREF _Toc451873384 \h </w:instrText>
            </w:r>
            <w:r w:rsidR="00367608">
              <w:rPr>
                <w:webHidden/>
              </w:rPr>
            </w:r>
            <w:r w:rsidR="00367608">
              <w:rPr>
                <w:webHidden/>
              </w:rPr>
              <w:fldChar w:fldCharType="separate"/>
            </w:r>
            <w:r>
              <w:rPr>
                <w:webHidden/>
              </w:rPr>
              <w:t>53</w:t>
            </w:r>
            <w:r w:rsidR="00367608">
              <w:rPr>
                <w:webHidden/>
              </w:rPr>
              <w:fldChar w:fldCharType="end"/>
            </w:r>
          </w:hyperlink>
        </w:p>
        <w:p w:rsidR="00367608" w:rsidRDefault="006E1111">
          <w:pPr>
            <w:pStyle w:val="TOC1"/>
            <w:rPr>
              <w:rFonts w:asciiTheme="minorHAnsi" w:eastAsiaTheme="minorEastAsia" w:hAnsiTheme="minorHAnsi"/>
              <w:b w:val="0"/>
              <w:color w:val="auto"/>
              <w:sz w:val="22"/>
              <w:lang w:val="en-AU" w:eastAsia="en-AU"/>
            </w:rPr>
          </w:pPr>
          <w:hyperlink w:anchor="_Toc451873385" w:history="1">
            <w:r w:rsidR="00367608" w:rsidRPr="001C3580">
              <w:rPr>
                <w:rStyle w:val="Hyperlink"/>
              </w:rPr>
              <w:t>8</w:t>
            </w:r>
            <w:r w:rsidR="00367608">
              <w:rPr>
                <w:rFonts w:asciiTheme="minorHAnsi" w:eastAsiaTheme="minorEastAsia" w:hAnsiTheme="minorHAnsi"/>
                <w:b w:val="0"/>
                <w:color w:val="auto"/>
                <w:sz w:val="22"/>
                <w:lang w:val="en-AU" w:eastAsia="en-AU"/>
              </w:rPr>
              <w:tab/>
            </w:r>
            <w:r w:rsidR="00367608" w:rsidRPr="001C3580">
              <w:rPr>
                <w:rStyle w:val="Hyperlink"/>
              </w:rPr>
              <w:t>Consultation</w:t>
            </w:r>
            <w:r w:rsidR="00367608">
              <w:rPr>
                <w:webHidden/>
              </w:rPr>
              <w:tab/>
            </w:r>
            <w:r w:rsidR="00367608">
              <w:rPr>
                <w:webHidden/>
              </w:rPr>
              <w:fldChar w:fldCharType="begin"/>
            </w:r>
            <w:r w:rsidR="00367608">
              <w:rPr>
                <w:webHidden/>
              </w:rPr>
              <w:instrText xml:space="preserve"> PAGEREF _Toc451873385 \h </w:instrText>
            </w:r>
            <w:r w:rsidR="00367608">
              <w:rPr>
                <w:webHidden/>
              </w:rPr>
            </w:r>
            <w:r w:rsidR="00367608">
              <w:rPr>
                <w:webHidden/>
              </w:rPr>
              <w:fldChar w:fldCharType="separate"/>
            </w:r>
            <w:r>
              <w:rPr>
                <w:webHidden/>
              </w:rPr>
              <w:t>55</w:t>
            </w:r>
            <w:r w:rsidR="00367608">
              <w:rPr>
                <w:webHidden/>
              </w:rPr>
              <w:fldChar w:fldCharType="end"/>
            </w:r>
          </w:hyperlink>
        </w:p>
        <w:p w:rsidR="00367608" w:rsidRDefault="006E1111">
          <w:pPr>
            <w:pStyle w:val="TOC2"/>
            <w:rPr>
              <w:rFonts w:asciiTheme="minorHAnsi" w:eastAsiaTheme="minorEastAsia" w:hAnsiTheme="minorHAnsi"/>
              <w:b w:val="0"/>
              <w:color w:val="auto"/>
              <w:sz w:val="22"/>
              <w:lang w:eastAsia="en-AU"/>
            </w:rPr>
          </w:pPr>
          <w:hyperlink w:anchor="_Toc451873386" w:history="1">
            <w:r w:rsidR="00367608" w:rsidRPr="001C3580">
              <w:rPr>
                <w:rStyle w:val="Hyperlink"/>
              </w:rPr>
              <w:t>8.1</w:t>
            </w:r>
            <w:r w:rsidR="00367608">
              <w:rPr>
                <w:rFonts w:asciiTheme="minorHAnsi" w:eastAsiaTheme="minorEastAsia" w:hAnsiTheme="minorHAnsi"/>
                <w:b w:val="0"/>
                <w:color w:val="auto"/>
                <w:sz w:val="22"/>
                <w:lang w:eastAsia="en-AU"/>
              </w:rPr>
              <w:tab/>
            </w:r>
            <w:r w:rsidR="00367608" w:rsidRPr="001C3580">
              <w:rPr>
                <w:rStyle w:val="Hyperlink"/>
              </w:rPr>
              <w:t>AGN's own engagement with consumers</w:t>
            </w:r>
            <w:r w:rsidR="00367608">
              <w:rPr>
                <w:webHidden/>
              </w:rPr>
              <w:tab/>
            </w:r>
            <w:r w:rsidR="00367608">
              <w:rPr>
                <w:webHidden/>
              </w:rPr>
              <w:fldChar w:fldCharType="begin"/>
            </w:r>
            <w:r w:rsidR="00367608">
              <w:rPr>
                <w:webHidden/>
              </w:rPr>
              <w:instrText xml:space="preserve"> PAGEREF _Toc451873386 \h </w:instrText>
            </w:r>
            <w:r w:rsidR="00367608">
              <w:rPr>
                <w:webHidden/>
              </w:rPr>
            </w:r>
            <w:r w:rsidR="00367608">
              <w:rPr>
                <w:webHidden/>
              </w:rPr>
              <w:fldChar w:fldCharType="separate"/>
            </w:r>
            <w:r>
              <w:rPr>
                <w:webHidden/>
              </w:rPr>
              <w:t>56</w:t>
            </w:r>
            <w:r w:rsidR="00367608">
              <w:rPr>
                <w:webHidden/>
              </w:rPr>
              <w:fldChar w:fldCharType="end"/>
            </w:r>
          </w:hyperlink>
        </w:p>
        <w:p w:rsidR="00367608" w:rsidRDefault="006E1111">
          <w:pPr>
            <w:pStyle w:val="TOC1"/>
            <w:rPr>
              <w:rFonts w:asciiTheme="minorHAnsi" w:eastAsiaTheme="minorEastAsia" w:hAnsiTheme="minorHAnsi"/>
              <w:b w:val="0"/>
              <w:color w:val="auto"/>
              <w:sz w:val="22"/>
              <w:lang w:val="en-AU" w:eastAsia="en-AU"/>
            </w:rPr>
          </w:pPr>
          <w:hyperlink w:anchor="_Toc451873387" w:history="1">
            <w:r w:rsidR="00367608" w:rsidRPr="001C3580">
              <w:rPr>
                <w:rStyle w:val="Hyperlink"/>
              </w:rPr>
              <w:t>A</w:t>
            </w:r>
            <w:r w:rsidR="00367608">
              <w:rPr>
                <w:rFonts w:asciiTheme="minorHAnsi" w:eastAsiaTheme="minorEastAsia" w:hAnsiTheme="minorHAnsi"/>
                <w:b w:val="0"/>
                <w:color w:val="auto"/>
                <w:sz w:val="22"/>
                <w:lang w:val="en-AU" w:eastAsia="en-AU"/>
              </w:rPr>
              <w:tab/>
            </w:r>
            <w:r w:rsidR="00367608" w:rsidRPr="001C3580">
              <w:rPr>
                <w:rStyle w:val="Hyperlink"/>
              </w:rPr>
              <w:t>List of submissions</w:t>
            </w:r>
            <w:r w:rsidR="00367608">
              <w:rPr>
                <w:webHidden/>
              </w:rPr>
              <w:tab/>
            </w:r>
            <w:r w:rsidR="00367608">
              <w:rPr>
                <w:webHidden/>
              </w:rPr>
              <w:fldChar w:fldCharType="begin"/>
            </w:r>
            <w:r w:rsidR="00367608">
              <w:rPr>
                <w:webHidden/>
              </w:rPr>
              <w:instrText xml:space="preserve"> PAGEREF _Toc451873387 \h </w:instrText>
            </w:r>
            <w:r w:rsidR="00367608">
              <w:rPr>
                <w:webHidden/>
              </w:rPr>
            </w:r>
            <w:r w:rsidR="00367608">
              <w:rPr>
                <w:webHidden/>
              </w:rPr>
              <w:fldChar w:fldCharType="separate"/>
            </w:r>
            <w:r>
              <w:rPr>
                <w:webHidden/>
              </w:rPr>
              <w:t>58</w:t>
            </w:r>
            <w:r w:rsidR="00367608">
              <w:rPr>
                <w:webHidden/>
              </w:rPr>
              <w:fldChar w:fldCharType="end"/>
            </w:r>
          </w:hyperlink>
        </w:p>
        <w:p w:rsidR="00DE563D" w:rsidRDefault="003E79EE" w:rsidP="003E79EE">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7" w:name="_Toc404700925"/>
      <w:bookmarkStart w:id="8" w:name="_Toc451873355"/>
      <w:r>
        <w:t>Shortened forms</w:t>
      </w:r>
      <w:bookmarkEnd w:id="7"/>
      <w:bookmarkEnd w:id="8"/>
    </w:p>
    <w:tbl>
      <w:tblPr>
        <w:tblStyle w:val="AERtable-numbers"/>
        <w:tblW w:w="0" w:type="auto"/>
        <w:tblLook w:val="04A0" w:firstRow="1" w:lastRow="0" w:firstColumn="1" w:lastColumn="0" w:noHBand="0" w:noVBand="1"/>
      </w:tblPr>
      <w:tblGrid>
        <w:gridCol w:w="3652"/>
        <w:gridCol w:w="5041"/>
      </w:tblGrid>
      <w:tr w:rsidR="00014322" w:rsidTr="000143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Shortened form</w:t>
            </w:r>
          </w:p>
        </w:tc>
        <w:tc>
          <w:tcPr>
            <w:tcW w:w="5041" w:type="dxa"/>
            <w:tcBorders>
              <w:top w:val="nil"/>
              <w:left w:val="nil"/>
              <w:bottom w:val="nil"/>
              <w:right w:val="nil"/>
            </w:tcBorders>
            <w:hideMark/>
          </w:tcPr>
          <w:p w:rsidR="00014322" w:rsidRDefault="00014322" w:rsidP="00014322">
            <w:pPr>
              <w:numPr>
                <w:ilvl w:val="0"/>
                <w:numId w:val="28"/>
              </w:numPr>
              <w:cnfStyle w:val="100000000000" w:firstRow="1" w:lastRow="0" w:firstColumn="0" w:lastColumn="0" w:oddVBand="0" w:evenVBand="0" w:oddHBand="0" w:evenHBand="0" w:firstRowFirstColumn="0" w:firstRowLastColumn="0" w:lastRowFirstColumn="0" w:lastRowLastColumn="0"/>
            </w:pPr>
            <w:r>
              <w:t>Extended form</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AA</w:t>
            </w:r>
          </w:p>
        </w:tc>
        <w:tc>
          <w:tcPr>
            <w:tcW w:w="5041" w:type="dxa"/>
            <w:tcBorders>
              <w:top w:val="nil"/>
              <w:left w:val="nil"/>
              <w:bottom w:val="nil"/>
              <w:right w:val="nil"/>
            </w:tcBorders>
            <w:hideMark/>
          </w:tcPr>
          <w:p w:rsidR="00014322" w:rsidRDefault="00014322">
            <w:pPr>
              <w:cnfStyle w:val="000000000000" w:firstRow="0" w:lastRow="0" w:firstColumn="0" w:lastColumn="0" w:oddVBand="0" w:evenVBand="0" w:oddHBand="0" w:evenHBand="0" w:firstRowFirstColumn="0" w:firstRowLastColumn="0" w:lastRowFirstColumn="0" w:lastRowLastColumn="0"/>
            </w:pPr>
            <w:r>
              <w:t>Access Arrangement</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AAI</w:t>
            </w:r>
          </w:p>
        </w:tc>
        <w:tc>
          <w:tcPr>
            <w:tcW w:w="5041" w:type="dxa"/>
            <w:tcBorders>
              <w:top w:val="nil"/>
              <w:left w:val="nil"/>
              <w:bottom w:val="nil"/>
              <w:right w:val="nil"/>
            </w:tcBorders>
            <w:hideMark/>
          </w:tcPr>
          <w:p w:rsidR="00014322" w:rsidRDefault="00014322">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AER</w:t>
            </w:r>
          </w:p>
        </w:tc>
        <w:tc>
          <w:tcPr>
            <w:tcW w:w="5041" w:type="dxa"/>
            <w:tcBorders>
              <w:top w:val="nil"/>
              <w:left w:val="nil"/>
              <w:bottom w:val="nil"/>
              <w:right w:val="nil"/>
            </w:tcBorders>
            <w:hideMark/>
          </w:tcPr>
          <w:p w:rsidR="00014322" w:rsidRDefault="00014322" w:rsidP="00014322">
            <w:pPr>
              <w:numPr>
                <w:ilvl w:val="0"/>
                <w:numId w:val="28"/>
              </w:numPr>
              <w:cnfStyle w:val="000000000000" w:firstRow="0" w:lastRow="0" w:firstColumn="0" w:lastColumn="0" w:oddVBand="0" w:evenVBand="0" w:oddHBand="0" w:evenHBand="0" w:firstRowFirstColumn="0" w:firstRowLastColumn="0" w:lastRowFirstColumn="0" w:lastRowLastColumn="0"/>
            </w:pPr>
            <w:r>
              <w:t>Australian Energy Regulator</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AGN</w:t>
            </w:r>
          </w:p>
        </w:tc>
        <w:tc>
          <w:tcPr>
            <w:tcW w:w="5041" w:type="dxa"/>
            <w:tcBorders>
              <w:top w:val="nil"/>
              <w:left w:val="nil"/>
              <w:bottom w:val="nil"/>
              <w:right w:val="nil"/>
            </w:tcBorders>
            <w:hideMark/>
          </w:tcPr>
          <w:p w:rsidR="00014322" w:rsidRDefault="00014322">
            <w:pPr>
              <w:cnfStyle w:val="000000010000" w:firstRow="0" w:lastRow="0" w:firstColumn="0" w:lastColumn="0" w:oddVBand="0" w:evenVBand="0" w:oddHBand="0" w:evenHBand="1" w:firstRowFirstColumn="0" w:firstRowLastColumn="0" w:lastRowFirstColumn="0" w:lastRowLastColumn="0"/>
            </w:pPr>
            <w:r>
              <w:t>Australian Gas Networks</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ATO</w:t>
            </w:r>
          </w:p>
        </w:tc>
        <w:tc>
          <w:tcPr>
            <w:tcW w:w="5041" w:type="dxa"/>
            <w:tcBorders>
              <w:top w:val="nil"/>
              <w:left w:val="nil"/>
              <w:bottom w:val="nil"/>
              <w:right w:val="nil"/>
            </w:tcBorders>
            <w:hideMark/>
          </w:tcPr>
          <w:p w:rsidR="00014322" w:rsidRDefault="00014322">
            <w:pPr>
              <w:cnfStyle w:val="000000000000" w:firstRow="0" w:lastRow="0" w:firstColumn="0" w:lastColumn="0" w:oddVBand="0" w:evenVBand="0" w:oddHBand="0" w:evenHBand="0" w:firstRowFirstColumn="0" w:firstRowLastColumn="0" w:lastRowFirstColumn="0" w:lastRowLastColumn="0"/>
            </w:pPr>
            <w:r>
              <w:t>Australian Tax Office</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capex</w:t>
            </w:r>
          </w:p>
        </w:tc>
        <w:tc>
          <w:tcPr>
            <w:tcW w:w="5041" w:type="dxa"/>
            <w:tcBorders>
              <w:top w:val="nil"/>
              <w:left w:val="nil"/>
              <w:bottom w:val="nil"/>
              <w:right w:val="nil"/>
            </w:tcBorders>
            <w:hideMark/>
          </w:tcPr>
          <w:p w:rsidR="00014322" w:rsidRDefault="00014322" w:rsidP="00014322">
            <w:pPr>
              <w:numPr>
                <w:ilvl w:val="0"/>
                <w:numId w:val="28"/>
              </w:numPr>
              <w:cnfStyle w:val="000000010000" w:firstRow="0" w:lastRow="0" w:firstColumn="0" w:lastColumn="0" w:oddVBand="0" w:evenVBand="0" w:oddHBand="0" w:evenHBand="1" w:firstRowFirstColumn="0" w:firstRowLastColumn="0" w:lastRowFirstColumn="0" w:lastRowLastColumn="0"/>
            </w:pPr>
            <w:r>
              <w:t>capital expenditure</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CAPM</w:t>
            </w:r>
          </w:p>
        </w:tc>
        <w:tc>
          <w:tcPr>
            <w:tcW w:w="5041" w:type="dxa"/>
            <w:tcBorders>
              <w:top w:val="nil"/>
              <w:left w:val="nil"/>
              <w:bottom w:val="nil"/>
              <w:right w:val="nil"/>
            </w:tcBorders>
            <w:hideMark/>
          </w:tcPr>
          <w:p w:rsidR="00014322" w:rsidRDefault="00014322" w:rsidP="00014322">
            <w:pPr>
              <w:numPr>
                <w:ilvl w:val="0"/>
                <w:numId w:val="28"/>
              </w:numPr>
              <w:cnfStyle w:val="000000000000" w:firstRow="0" w:lastRow="0" w:firstColumn="0" w:lastColumn="0" w:oddVBand="0" w:evenVBand="0" w:oddHBand="0" w:evenHBand="0" w:firstRowFirstColumn="0" w:firstRowLastColumn="0" w:lastRowFirstColumn="0" w:lastRowLastColumn="0"/>
            </w:pPr>
            <w:r>
              <w:t>capital asset pricing model</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CCP</w:t>
            </w:r>
          </w:p>
        </w:tc>
        <w:tc>
          <w:tcPr>
            <w:tcW w:w="5041" w:type="dxa"/>
            <w:tcBorders>
              <w:top w:val="nil"/>
              <w:left w:val="nil"/>
              <w:bottom w:val="nil"/>
              <w:right w:val="nil"/>
            </w:tcBorders>
            <w:hideMark/>
          </w:tcPr>
          <w:p w:rsidR="00014322" w:rsidRDefault="00014322" w:rsidP="00014322">
            <w:pPr>
              <w:numPr>
                <w:ilvl w:val="0"/>
                <w:numId w:val="28"/>
              </w:numPr>
              <w:cnfStyle w:val="000000010000" w:firstRow="0" w:lastRow="0" w:firstColumn="0" w:lastColumn="0" w:oddVBand="0" w:evenVBand="0" w:oddHBand="0" w:evenHBand="1" w:firstRowFirstColumn="0" w:firstRowLastColumn="0" w:lastRowFirstColumn="0" w:lastRowLastColumn="0"/>
            </w:pPr>
            <w:r>
              <w:t>Consumer Challenge Panel</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CESS</w:t>
            </w:r>
          </w:p>
        </w:tc>
        <w:tc>
          <w:tcPr>
            <w:tcW w:w="5041" w:type="dxa"/>
            <w:tcBorders>
              <w:top w:val="nil"/>
              <w:left w:val="nil"/>
              <w:bottom w:val="nil"/>
              <w:right w:val="nil"/>
            </w:tcBorders>
            <w:hideMark/>
          </w:tcPr>
          <w:p w:rsidR="00014322" w:rsidRDefault="00014322" w:rsidP="00014322">
            <w:pPr>
              <w:numPr>
                <w:ilvl w:val="0"/>
                <w:numId w:val="28"/>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CPI</w:t>
            </w:r>
          </w:p>
        </w:tc>
        <w:tc>
          <w:tcPr>
            <w:tcW w:w="5041" w:type="dxa"/>
            <w:tcBorders>
              <w:top w:val="nil"/>
              <w:left w:val="nil"/>
              <w:bottom w:val="nil"/>
              <w:right w:val="nil"/>
            </w:tcBorders>
            <w:hideMark/>
          </w:tcPr>
          <w:p w:rsidR="00014322" w:rsidRDefault="00014322" w:rsidP="00014322">
            <w:pPr>
              <w:numPr>
                <w:ilvl w:val="0"/>
                <w:numId w:val="28"/>
              </w:numPr>
              <w:cnfStyle w:val="000000010000" w:firstRow="0" w:lastRow="0" w:firstColumn="0" w:lastColumn="0" w:oddVBand="0" w:evenVBand="0" w:oddHBand="0" w:evenHBand="1" w:firstRowFirstColumn="0" w:firstRowLastColumn="0" w:lastRowFirstColumn="0" w:lastRowLastColumn="0"/>
            </w:pPr>
            <w:r>
              <w:t>consumer price index</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CSIS</w:t>
            </w:r>
          </w:p>
        </w:tc>
        <w:tc>
          <w:tcPr>
            <w:tcW w:w="5041" w:type="dxa"/>
            <w:tcBorders>
              <w:top w:val="nil"/>
              <w:left w:val="nil"/>
              <w:bottom w:val="nil"/>
              <w:right w:val="nil"/>
            </w:tcBorders>
            <w:hideMark/>
          </w:tcPr>
          <w:p w:rsidR="00014322" w:rsidRDefault="00014322">
            <w:pPr>
              <w:cnfStyle w:val="000000000000" w:firstRow="0" w:lastRow="0" w:firstColumn="0" w:lastColumn="0" w:oddVBand="0" w:evenVBand="0" w:oddHBand="0" w:evenHBand="0" w:firstRowFirstColumn="0" w:firstRowLastColumn="0" w:lastRowFirstColumn="0" w:lastRowLastColumn="0"/>
            </w:pPr>
            <w:r>
              <w:t>Customer Service Incentive Scheme</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DRP</w:t>
            </w:r>
          </w:p>
        </w:tc>
        <w:tc>
          <w:tcPr>
            <w:tcW w:w="5041" w:type="dxa"/>
            <w:tcBorders>
              <w:top w:val="nil"/>
              <w:left w:val="nil"/>
              <w:bottom w:val="nil"/>
              <w:right w:val="nil"/>
            </w:tcBorders>
            <w:hideMark/>
          </w:tcPr>
          <w:p w:rsidR="00014322" w:rsidRDefault="00014322" w:rsidP="00014322">
            <w:pPr>
              <w:numPr>
                <w:ilvl w:val="0"/>
                <w:numId w:val="28"/>
              </w:numPr>
              <w:cnfStyle w:val="000000010000" w:firstRow="0" w:lastRow="0" w:firstColumn="0" w:lastColumn="0" w:oddVBand="0" w:evenVBand="0" w:oddHBand="0" w:evenHBand="1" w:firstRowFirstColumn="0" w:firstRowLastColumn="0" w:lastRowFirstColumn="0" w:lastRowLastColumn="0"/>
            </w:pPr>
            <w:r>
              <w:t>debt risk premium</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EBSS</w:t>
            </w:r>
          </w:p>
        </w:tc>
        <w:tc>
          <w:tcPr>
            <w:tcW w:w="5041" w:type="dxa"/>
            <w:tcBorders>
              <w:top w:val="nil"/>
              <w:left w:val="nil"/>
              <w:bottom w:val="nil"/>
              <w:right w:val="nil"/>
            </w:tcBorders>
            <w:hideMark/>
          </w:tcPr>
          <w:p w:rsidR="00014322" w:rsidRDefault="00014322">
            <w:pPr>
              <w:cnfStyle w:val="000000000000" w:firstRow="0" w:lastRow="0" w:firstColumn="0" w:lastColumn="0" w:oddVBand="0" w:evenVBand="0" w:oddHBand="0" w:evenHBand="0" w:firstRowFirstColumn="0" w:firstRowLastColumn="0" w:lastRowFirstColumn="0" w:lastRowLastColumn="0"/>
            </w:pPr>
            <w:r>
              <w:t>Efficiency Benefit Sharing Scheme</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ECM</w:t>
            </w:r>
          </w:p>
        </w:tc>
        <w:tc>
          <w:tcPr>
            <w:tcW w:w="5041" w:type="dxa"/>
            <w:tcBorders>
              <w:top w:val="nil"/>
              <w:left w:val="nil"/>
              <w:bottom w:val="nil"/>
              <w:right w:val="nil"/>
            </w:tcBorders>
            <w:hideMark/>
          </w:tcPr>
          <w:p w:rsidR="00014322" w:rsidRDefault="00014322">
            <w:pPr>
              <w:cnfStyle w:val="000000010000" w:firstRow="0" w:lastRow="0" w:firstColumn="0" w:lastColumn="0" w:oddVBand="0" w:evenVBand="0" w:oddHBand="0" w:evenHBand="1" w:firstRowFirstColumn="0" w:firstRowLastColumn="0" w:lastRowFirstColumn="0" w:lastRowLastColumn="0"/>
            </w:pPr>
            <w:r>
              <w:t>Efficiency Carryover Mechanism</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ERP</w:t>
            </w:r>
          </w:p>
        </w:tc>
        <w:tc>
          <w:tcPr>
            <w:tcW w:w="5041" w:type="dxa"/>
            <w:tcBorders>
              <w:top w:val="nil"/>
              <w:left w:val="nil"/>
              <w:bottom w:val="nil"/>
              <w:right w:val="nil"/>
            </w:tcBorders>
            <w:hideMark/>
          </w:tcPr>
          <w:p w:rsidR="00014322" w:rsidRDefault="00014322" w:rsidP="00014322">
            <w:pPr>
              <w:numPr>
                <w:ilvl w:val="0"/>
                <w:numId w:val="28"/>
              </w:numPr>
              <w:cnfStyle w:val="000000000000" w:firstRow="0" w:lastRow="0" w:firstColumn="0" w:lastColumn="0" w:oddVBand="0" w:evenVBand="0" w:oddHBand="0" w:evenHBand="0" w:firstRowFirstColumn="0" w:firstRowLastColumn="0" w:lastRowFirstColumn="0" w:lastRowLastColumn="0"/>
            </w:pPr>
            <w:r>
              <w:t>equity risk premium</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Expenditure Guideline</w:t>
            </w:r>
          </w:p>
        </w:tc>
        <w:tc>
          <w:tcPr>
            <w:tcW w:w="5041" w:type="dxa"/>
            <w:tcBorders>
              <w:top w:val="nil"/>
              <w:left w:val="nil"/>
              <w:bottom w:val="nil"/>
              <w:right w:val="nil"/>
            </w:tcBorders>
            <w:hideMark/>
          </w:tcPr>
          <w:p w:rsidR="00014322" w:rsidRDefault="00014322">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gamma</w:t>
            </w:r>
          </w:p>
        </w:tc>
        <w:tc>
          <w:tcPr>
            <w:tcW w:w="5041" w:type="dxa"/>
            <w:tcBorders>
              <w:top w:val="nil"/>
              <w:left w:val="nil"/>
              <w:bottom w:val="nil"/>
              <w:right w:val="nil"/>
            </w:tcBorders>
            <w:hideMark/>
          </w:tcPr>
          <w:p w:rsidR="00014322" w:rsidRDefault="00014322">
            <w:pPr>
              <w:cnfStyle w:val="000000000000" w:firstRow="0" w:lastRow="0" w:firstColumn="0" w:lastColumn="0" w:oddVBand="0" w:evenVBand="0" w:oddHBand="0" w:evenHBand="0" w:firstRowFirstColumn="0" w:firstRowLastColumn="0" w:lastRowFirstColumn="0" w:lastRowLastColumn="0"/>
            </w:pPr>
            <w:r>
              <w:t>value of imputation credits</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GSL</w:t>
            </w:r>
          </w:p>
        </w:tc>
        <w:tc>
          <w:tcPr>
            <w:tcW w:w="5041" w:type="dxa"/>
            <w:tcBorders>
              <w:top w:val="nil"/>
              <w:left w:val="nil"/>
              <w:bottom w:val="nil"/>
              <w:right w:val="nil"/>
            </w:tcBorders>
            <w:hideMark/>
          </w:tcPr>
          <w:p w:rsidR="00014322" w:rsidRDefault="00014322">
            <w:pPr>
              <w:cnfStyle w:val="000000010000" w:firstRow="0" w:lastRow="0" w:firstColumn="0" w:lastColumn="0" w:oddVBand="0" w:evenVBand="0" w:oddHBand="0" w:evenHBand="1" w:firstRowFirstColumn="0" w:firstRowLastColumn="0" w:lastRowFirstColumn="0" w:lastRowLastColumn="0"/>
            </w:pPr>
            <w:r>
              <w:t>Guaranteed Service Level</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MRP</w:t>
            </w:r>
          </w:p>
        </w:tc>
        <w:tc>
          <w:tcPr>
            <w:tcW w:w="5041" w:type="dxa"/>
            <w:tcBorders>
              <w:top w:val="nil"/>
              <w:left w:val="nil"/>
              <w:bottom w:val="nil"/>
              <w:right w:val="nil"/>
            </w:tcBorders>
            <w:hideMark/>
          </w:tcPr>
          <w:p w:rsidR="00014322" w:rsidRDefault="00014322" w:rsidP="00014322">
            <w:pPr>
              <w:numPr>
                <w:ilvl w:val="0"/>
                <w:numId w:val="28"/>
              </w:numPr>
              <w:cnfStyle w:val="000000000000" w:firstRow="0" w:lastRow="0" w:firstColumn="0" w:lastColumn="0" w:oddVBand="0" w:evenVBand="0" w:oddHBand="0" w:evenHBand="0" w:firstRowFirstColumn="0" w:firstRowLastColumn="0" w:lastRowFirstColumn="0" w:lastRowLastColumn="0"/>
            </w:pPr>
            <w:r>
              <w:t>market risk premium</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NECF</w:t>
            </w:r>
          </w:p>
        </w:tc>
        <w:tc>
          <w:tcPr>
            <w:tcW w:w="5041" w:type="dxa"/>
            <w:tcBorders>
              <w:top w:val="nil"/>
              <w:left w:val="nil"/>
              <w:bottom w:val="nil"/>
              <w:right w:val="nil"/>
            </w:tcBorders>
            <w:hideMark/>
          </w:tcPr>
          <w:p w:rsidR="00014322" w:rsidRDefault="00014322">
            <w:pPr>
              <w:cnfStyle w:val="000000010000" w:firstRow="0" w:lastRow="0" w:firstColumn="0" w:lastColumn="0" w:oddVBand="0" w:evenVBand="0" w:oddHBand="0" w:evenHBand="1" w:firstRowFirstColumn="0" w:firstRowLastColumn="0" w:lastRowFirstColumn="0" w:lastRowLastColumn="0"/>
            </w:pPr>
            <w:r>
              <w:t>National Energy Customer Framework</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NERL</w:t>
            </w:r>
          </w:p>
        </w:tc>
        <w:tc>
          <w:tcPr>
            <w:tcW w:w="5041" w:type="dxa"/>
            <w:tcBorders>
              <w:top w:val="nil"/>
              <w:left w:val="nil"/>
              <w:bottom w:val="nil"/>
              <w:right w:val="nil"/>
            </w:tcBorders>
            <w:hideMark/>
          </w:tcPr>
          <w:p w:rsidR="00014322" w:rsidRDefault="00014322">
            <w:pPr>
              <w:cnfStyle w:val="000000000000" w:firstRow="0" w:lastRow="0" w:firstColumn="0" w:lastColumn="0" w:oddVBand="0" w:evenVBand="0" w:oddHBand="0" w:evenHBand="0" w:firstRowFirstColumn="0" w:firstRowLastColumn="0" w:lastRowFirstColumn="0" w:lastRowLastColumn="0"/>
            </w:pPr>
            <w:r>
              <w:t>National Energy Retail Law</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NERR</w:t>
            </w:r>
          </w:p>
        </w:tc>
        <w:tc>
          <w:tcPr>
            <w:tcW w:w="5041" w:type="dxa"/>
            <w:tcBorders>
              <w:top w:val="nil"/>
              <w:left w:val="nil"/>
              <w:bottom w:val="nil"/>
              <w:right w:val="nil"/>
            </w:tcBorders>
            <w:hideMark/>
          </w:tcPr>
          <w:p w:rsidR="00014322" w:rsidRDefault="00014322" w:rsidP="00014322">
            <w:pPr>
              <w:numPr>
                <w:ilvl w:val="0"/>
                <w:numId w:val="28"/>
              </w:numPr>
              <w:cnfStyle w:val="000000010000" w:firstRow="0" w:lastRow="0" w:firstColumn="0" w:lastColumn="0" w:oddVBand="0" w:evenVBand="0" w:oddHBand="0" w:evenHBand="1" w:firstRowFirstColumn="0" w:firstRowLastColumn="0" w:lastRowFirstColumn="0" w:lastRowLastColumn="0"/>
            </w:pPr>
            <w:r>
              <w:t>National Energy Retail Rules</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NGL</w:t>
            </w:r>
          </w:p>
        </w:tc>
        <w:tc>
          <w:tcPr>
            <w:tcW w:w="5041" w:type="dxa"/>
            <w:tcBorders>
              <w:top w:val="nil"/>
              <w:left w:val="nil"/>
              <w:bottom w:val="nil"/>
              <w:right w:val="nil"/>
            </w:tcBorders>
            <w:hideMark/>
          </w:tcPr>
          <w:p w:rsidR="00014322" w:rsidRDefault="00014322" w:rsidP="00014322">
            <w:pPr>
              <w:numPr>
                <w:ilvl w:val="0"/>
                <w:numId w:val="28"/>
              </w:numPr>
              <w:cnfStyle w:val="000000000000" w:firstRow="0" w:lastRow="0" w:firstColumn="0" w:lastColumn="0" w:oddVBand="0" w:evenVBand="0" w:oddHBand="0" w:evenHBand="0" w:firstRowFirstColumn="0" w:firstRowLastColumn="0" w:lastRowFirstColumn="0" w:lastRowLastColumn="0"/>
            </w:pPr>
            <w:r>
              <w:t>National Gas Law</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NGO</w:t>
            </w:r>
          </w:p>
        </w:tc>
        <w:tc>
          <w:tcPr>
            <w:tcW w:w="5041" w:type="dxa"/>
            <w:tcBorders>
              <w:top w:val="nil"/>
              <w:left w:val="nil"/>
              <w:bottom w:val="nil"/>
              <w:right w:val="nil"/>
            </w:tcBorders>
            <w:hideMark/>
          </w:tcPr>
          <w:p w:rsidR="00014322" w:rsidRDefault="00014322" w:rsidP="00014322">
            <w:pPr>
              <w:numPr>
                <w:ilvl w:val="0"/>
                <w:numId w:val="28"/>
              </w:numPr>
              <w:cnfStyle w:val="000000010000" w:firstRow="0" w:lastRow="0" w:firstColumn="0" w:lastColumn="0" w:oddVBand="0" w:evenVBand="0" w:oddHBand="0" w:evenHBand="1" w:firstRowFirstColumn="0" w:firstRowLastColumn="0" w:lastRowFirstColumn="0" w:lastRowLastColumn="0"/>
            </w:pPr>
            <w:r>
              <w:t>National Gas Objective</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NGR</w:t>
            </w:r>
          </w:p>
        </w:tc>
        <w:tc>
          <w:tcPr>
            <w:tcW w:w="5041" w:type="dxa"/>
            <w:tcBorders>
              <w:top w:val="nil"/>
              <w:left w:val="nil"/>
              <w:bottom w:val="nil"/>
              <w:right w:val="nil"/>
            </w:tcBorders>
            <w:hideMark/>
          </w:tcPr>
          <w:p w:rsidR="00014322" w:rsidRDefault="00014322" w:rsidP="00014322">
            <w:pPr>
              <w:numPr>
                <w:ilvl w:val="0"/>
                <w:numId w:val="28"/>
              </w:numPr>
              <w:cnfStyle w:val="000000000000" w:firstRow="0" w:lastRow="0" w:firstColumn="0" w:lastColumn="0" w:oddVBand="0" w:evenVBand="0" w:oddHBand="0" w:evenHBand="0" w:firstRowFirstColumn="0" w:firstRowLastColumn="0" w:lastRowFirstColumn="0" w:lastRowLastColumn="0"/>
            </w:pPr>
            <w:r>
              <w:t>National Gas Rules</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NIS</w:t>
            </w:r>
          </w:p>
        </w:tc>
        <w:tc>
          <w:tcPr>
            <w:tcW w:w="5041" w:type="dxa"/>
            <w:tcBorders>
              <w:top w:val="nil"/>
              <w:left w:val="nil"/>
              <w:bottom w:val="nil"/>
              <w:right w:val="nil"/>
            </w:tcBorders>
            <w:hideMark/>
          </w:tcPr>
          <w:p w:rsidR="00014322" w:rsidRDefault="00014322">
            <w:pPr>
              <w:cnfStyle w:val="000000010000" w:firstRow="0" w:lastRow="0" w:firstColumn="0" w:lastColumn="0" w:oddVBand="0" w:evenVBand="0" w:oddHBand="0" w:evenHBand="1" w:firstRowFirstColumn="0" w:firstRowLastColumn="0" w:lastRowFirstColumn="0" w:lastRowLastColumn="0"/>
            </w:pPr>
            <w:r>
              <w:t>Network Incentive Scheme</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NPV</w:t>
            </w:r>
          </w:p>
        </w:tc>
        <w:tc>
          <w:tcPr>
            <w:tcW w:w="5041" w:type="dxa"/>
            <w:tcBorders>
              <w:top w:val="nil"/>
              <w:left w:val="nil"/>
              <w:bottom w:val="nil"/>
              <w:right w:val="nil"/>
            </w:tcBorders>
            <w:hideMark/>
          </w:tcPr>
          <w:p w:rsidR="00014322" w:rsidRDefault="00014322">
            <w:pPr>
              <w:cnfStyle w:val="000000000000" w:firstRow="0" w:lastRow="0" w:firstColumn="0" w:lastColumn="0" w:oddVBand="0" w:evenVBand="0" w:oddHBand="0" w:evenHBand="0" w:firstRowFirstColumn="0" w:firstRowLastColumn="0" w:lastRowFirstColumn="0" w:lastRowLastColumn="0"/>
            </w:pPr>
            <w:r>
              <w:t>net present value</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opex</w:t>
            </w:r>
          </w:p>
        </w:tc>
        <w:tc>
          <w:tcPr>
            <w:tcW w:w="5041" w:type="dxa"/>
            <w:tcBorders>
              <w:top w:val="nil"/>
              <w:left w:val="nil"/>
              <w:bottom w:val="nil"/>
              <w:right w:val="nil"/>
            </w:tcBorders>
            <w:hideMark/>
          </w:tcPr>
          <w:p w:rsidR="00014322" w:rsidRDefault="00014322" w:rsidP="00014322">
            <w:pPr>
              <w:numPr>
                <w:ilvl w:val="0"/>
                <w:numId w:val="28"/>
              </w:numPr>
              <w:cnfStyle w:val="000000010000" w:firstRow="0" w:lastRow="0" w:firstColumn="0" w:lastColumn="0" w:oddVBand="0" w:evenVBand="0" w:oddHBand="0" w:evenHBand="1" w:firstRowFirstColumn="0" w:firstRowLastColumn="0" w:lastRowFirstColumn="0" w:lastRowLastColumn="0"/>
            </w:pPr>
            <w:r>
              <w:t>operating expenditure</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PFP</w:t>
            </w:r>
          </w:p>
        </w:tc>
        <w:tc>
          <w:tcPr>
            <w:tcW w:w="5041" w:type="dxa"/>
            <w:tcBorders>
              <w:top w:val="nil"/>
              <w:left w:val="nil"/>
              <w:bottom w:val="nil"/>
              <w:right w:val="nil"/>
            </w:tcBorders>
            <w:hideMark/>
          </w:tcPr>
          <w:p w:rsidR="00014322" w:rsidRDefault="00014322">
            <w:pPr>
              <w:cnfStyle w:val="000000000000" w:firstRow="0" w:lastRow="0" w:firstColumn="0" w:lastColumn="0" w:oddVBand="0" w:evenVBand="0" w:oddHBand="0" w:evenHBand="0" w:firstRowFirstColumn="0" w:firstRowLastColumn="0" w:lastRowFirstColumn="0" w:lastRowLastColumn="0"/>
            </w:pPr>
            <w:r>
              <w:t>partial factor productivity</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PPI</w:t>
            </w:r>
          </w:p>
        </w:tc>
        <w:tc>
          <w:tcPr>
            <w:tcW w:w="5041" w:type="dxa"/>
            <w:tcBorders>
              <w:top w:val="nil"/>
              <w:left w:val="nil"/>
              <w:bottom w:val="nil"/>
              <w:right w:val="nil"/>
            </w:tcBorders>
            <w:hideMark/>
          </w:tcPr>
          <w:p w:rsidR="00014322" w:rsidRDefault="00014322" w:rsidP="00014322">
            <w:pPr>
              <w:numPr>
                <w:ilvl w:val="0"/>
                <w:numId w:val="28"/>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PTRM</w:t>
            </w:r>
          </w:p>
        </w:tc>
        <w:tc>
          <w:tcPr>
            <w:tcW w:w="5041" w:type="dxa"/>
            <w:tcBorders>
              <w:top w:val="nil"/>
              <w:left w:val="nil"/>
              <w:bottom w:val="nil"/>
              <w:right w:val="nil"/>
            </w:tcBorders>
            <w:hideMark/>
          </w:tcPr>
          <w:p w:rsidR="00014322" w:rsidRDefault="00014322" w:rsidP="00014322">
            <w:pPr>
              <w:numPr>
                <w:ilvl w:val="0"/>
                <w:numId w:val="28"/>
              </w:numPr>
              <w:cnfStyle w:val="000000000000" w:firstRow="0" w:lastRow="0" w:firstColumn="0" w:lastColumn="0" w:oddVBand="0" w:evenVBand="0" w:oddHBand="0" w:evenHBand="0" w:firstRowFirstColumn="0" w:firstRowLastColumn="0" w:lastRowFirstColumn="0" w:lastRowLastColumn="0"/>
            </w:pPr>
            <w:r>
              <w:t>post-tax revenue model</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RBA</w:t>
            </w:r>
          </w:p>
        </w:tc>
        <w:tc>
          <w:tcPr>
            <w:tcW w:w="5041" w:type="dxa"/>
            <w:tcBorders>
              <w:top w:val="nil"/>
              <w:left w:val="nil"/>
              <w:bottom w:val="nil"/>
              <w:right w:val="nil"/>
            </w:tcBorders>
            <w:hideMark/>
          </w:tcPr>
          <w:p w:rsidR="00014322" w:rsidRDefault="00014322" w:rsidP="00014322">
            <w:pPr>
              <w:numPr>
                <w:ilvl w:val="0"/>
                <w:numId w:val="28"/>
              </w:numPr>
              <w:cnfStyle w:val="000000010000" w:firstRow="0" w:lastRow="0" w:firstColumn="0" w:lastColumn="0" w:oddVBand="0" w:evenVBand="0" w:oddHBand="0" w:evenHBand="1" w:firstRowFirstColumn="0" w:firstRowLastColumn="0" w:lastRowFirstColumn="0" w:lastRowLastColumn="0"/>
            </w:pPr>
            <w:r>
              <w:t>Reserve Bank of Australia</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RFM</w:t>
            </w:r>
          </w:p>
        </w:tc>
        <w:tc>
          <w:tcPr>
            <w:tcW w:w="5041" w:type="dxa"/>
            <w:tcBorders>
              <w:top w:val="nil"/>
              <w:left w:val="nil"/>
              <w:bottom w:val="nil"/>
              <w:right w:val="nil"/>
            </w:tcBorders>
            <w:hideMark/>
          </w:tcPr>
          <w:p w:rsidR="00014322" w:rsidRDefault="00014322" w:rsidP="00014322">
            <w:pPr>
              <w:numPr>
                <w:ilvl w:val="0"/>
                <w:numId w:val="28"/>
              </w:numPr>
              <w:cnfStyle w:val="000000000000" w:firstRow="0" w:lastRow="0" w:firstColumn="0" w:lastColumn="0" w:oddVBand="0" w:evenVBand="0" w:oddHBand="0" w:evenHBand="0" w:firstRowFirstColumn="0" w:firstRowLastColumn="0" w:lastRowFirstColumn="0" w:lastRowLastColumn="0"/>
            </w:pPr>
            <w:r>
              <w:t>roll forward model</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RIN</w:t>
            </w:r>
          </w:p>
        </w:tc>
        <w:tc>
          <w:tcPr>
            <w:tcW w:w="5041" w:type="dxa"/>
            <w:tcBorders>
              <w:top w:val="nil"/>
              <w:left w:val="nil"/>
              <w:bottom w:val="nil"/>
              <w:right w:val="nil"/>
            </w:tcBorders>
            <w:hideMark/>
          </w:tcPr>
          <w:p w:rsidR="00014322" w:rsidRDefault="00014322" w:rsidP="00014322">
            <w:pPr>
              <w:numPr>
                <w:ilvl w:val="0"/>
                <w:numId w:val="28"/>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RoLR</w:t>
            </w:r>
          </w:p>
        </w:tc>
        <w:tc>
          <w:tcPr>
            <w:tcW w:w="5041" w:type="dxa"/>
            <w:tcBorders>
              <w:top w:val="nil"/>
              <w:left w:val="nil"/>
              <w:bottom w:val="nil"/>
              <w:right w:val="nil"/>
            </w:tcBorders>
            <w:hideMark/>
          </w:tcPr>
          <w:p w:rsidR="00014322" w:rsidRDefault="00014322">
            <w:pPr>
              <w:cnfStyle w:val="000000000000" w:firstRow="0" w:lastRow="0" w:firstColumn="0" w:lastColumn="0" w:oddVBand="0" w:evenVBand="0" w:oddHBand="0" w:evenHBand="0" w:firstRowFirstColumn="0" w:firstRowLastColumn="0" w:lastRowFirstColumn="0" w:lastRowLastColumn="0"/>
            </w:pPr>
            <w:r>
              <w:t>retailer of last resort</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RPP</w:t>
            </w:r>
          </w:p>
        </w:tc>
        <w:tc>
          <w:tcPr>
            <w:tcW w:w="5041" w:type="dxa"/>
            <w:tcBorders>
              <w:top w:val="nil"/>
              <w:left w:val="nil"/>
              <w:bottom w:val="nil"/>
              <w:right w:val="nil"/>
            </w:tcBorders>
            <w:hideMark/>
          </w:tcPr>
          <w:p w:rsidR="00014322" w:rsidRDefault="00014322" w:rsidP="00014322">
            <w:pPr>
              <w:numPr>
                <w:ilvl w:val="0"/>
                <w:numId w:val="28"/>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SLCAPM</w:t>
            </w:r>
          </w:p>
        </w:tc>
        <w:tc>
          <w:tcPr>
            <w:tcW w:w="5041" w:type="dxa"/>
            <w:tcBorders>
              <w:top w:val="nil"/>
              <w:left w:val="nil"/>
              <w:bottom w:val="nil"/>
              <w:right w:val="nil"/>
            </w:tcBorders>
            <w:hideMark/>
          </w:tcPr>
          <w:p w:rsidR="00014322" w:rsidRDefault="00014322" w:rsidP="00014322">
            <w:pPr>
              <w:numPr>
                <w:ilvl w:val="0"/>
                <w:numId w:val="28"/>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STPIS</w:t>
            </w:r>
          </w:p>
        </w:tc>
        <w:tc>
          <w:tcPr>
            <w:tcW w:w="5041" w:type="dxa"/>
            <w:tcBorders>
              <w:top w:val="nil"/>
              <w:left w:val="nil"/>
              <w:bottom w:val="nil"/>
              <w:right w:val="nil"/>
            </w:tcBorders>
            <w:hideMark/>
          </w:tcPr>
          <w:p w:rsidR="00014322" w:rsidRDefault="00014322">
            <w:pP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TAB</w:t>
            </w:r>
          </w:p>
        </w:tc>
        <w:tc>
          <w:tcPr>
            <w:tcW w:w="5041" w:type="dxa"/>
            <w:tcBorders>
              <w:top w:val="nil"/>
              <w:left w:val="nil"/>
              <w:bottom w:val="nil"/>
              <w:right w:val="nil"/>
            </w:tcBorders>
            <w:hideMark/>
          </w:tcPr>
          <w:p w:rsidR="00014322" w:rsidRDefault="00014322">
            <w:pPr>
              <w:cnfStyle w:val="000000000000" w:firstRow="0" w:lastRow="0" w:firstColumn="0" w:lastColumn="0" w:oddVBand="0" w:evenVBand="0" w:oddHBand="0" w:evenHBand="0" w:firstRowFirstColumn="0" w:firstRowLastColumn="0" w:lastRowFirstColumn="0" w:lastRowLastColumn="0"/>
            </w:pPr>
            <w:r>
              <w:t>tax asset base</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UAFG</w:t>
            </w:r>
          </w:p>
        </w:tc>
        <w:tc>
          <w:tcPr>
            <w:tcW w:w="5041" w:type="dxa"/>
            <w:tcBorders>
              <w:top w:val="nil"/>
              <w:left w:val="nil"/>
              <w:bottom w:val="nil"/>
              <w:right w:val="nil"/>
            </w:tcBorders>
            <w:hideMark/>
          </w:tcPr>
          <w:p w:rsidR="00014322" w:rsidRDefault="00014322">
            <w:pPr>
              <w:cnfStyle w:val="000000010000" w:firstRow="0" w:lastRow="0" w:firstColumn="0" w:lastColumn="0" w:oddVBand="0" w:evenVBand="0" w:oddHBand="0" w:evenHBand="1" w:firstRowFirstColumn="0" w:firstRowLastColumn="0" w:lastRowFirstColumn="0" w:lastRowLastColumn="0"/>
            </w:pPr>
            <w:r>
              <w:t>unaccounted for gas</w:t>
            </w:r>
          </w:p>
        </w:tc>
      </w:tr>
      <w:tr w:rsidR="00014322" w:rsidTr="0001432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14322" w:rsidRDefault="00014322" w:rsidP="00014322">
            <w:pPr>
              <w:numPr>
                <w:ilvl w:val="0"/>
                <w:numId w:val="28"/>
              </w:numPr>
            </w:pPr>
            <w:r>
              <w:t>WACC</w:t>
            </w:r>
          </w:p>
        </w:tc>
        <w:tc>
          <w:tcPr>
            <w:tcW w:w="5041" w:type="dxa"/>
            <w:tcBorders>
              <w:top w:val="nil"/>
              <w:left w:val="nil"/>
              <w:bottom w:val="nil"/>
              <w:right w:val="nil"/>
            </w:tcBorders>
            <w:hideMark/>
          </w:tcPr>
          <w:p w:rsidR="00014322" w:rsidRDefault="00014322" w:rsidP="00014322">
            <w:pPr>
              <w:numPr>
                <w:ilvl w:val="0"/>
                <w:numId w:val="28"/>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014322" w:rsidTr="000143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014322" w:rsidRDefault="00014322" w:rsidP="00014322">
            <w:pPr>
              <w:numPr>
                <w:ilvl w:val="0"/>
                <w:numId w:val="28"/>
              </w:numPr>
            </w:pPr>
            <w:r>
              <w:t>WPI</w:t>
            </w:r>
          </w:p>
        </w:tc>
        <w:tc>
          <w:tcPr>
            <w:tcW w:w="5041" w:type="dxa"/>
            <w:tcBorders>
              <w:top w:val="nil"/>
              <w:left w:val="nil"/>
              <w:bottom w:val="single" w:sz="4" w:space="0" w:color="365F91"/>
              <w:right w:val="nil"/>
            </w:tcBorders>
            <w:hideMark/>
          </w:tcPr>
          <w:p w:rsidR="00014322" w:rsidRDefault="00014322">
            <w:pPr>
              <w:cnfStyle w:val="000000010000" w:firstRow="0" w:lastRow="0" w:firstColumn="0" w:lastColumn="0" w:oddVBand="0" w:evenVBand="0" w:oddHBand="0" w:evenHBand="1" w:firstRowFirstColumn="0" w:firstRowLastColumn="0" w:lastRowFirstColumn="0" w:lastRowLastColumn="0"/>
            </w:pPr>
            <w:r>
              <w:t>Wage Price Index</w:t>
            </w:r>
          </w:p>
        </w:tc>
      </w:tr>
    </w:tbl>
    <w:p w:rsidR="00110A97" w:rsidRPr="001D268E" w:rsidRDefault="00110A97" w:rsidP="001D268E"/>
    <w:p w:rsidR="00CF00DE" w:rsidRDefault="00CF00DE" w:rsidP="00CF00DE">
      <w:pPr>
        <w:pStyle w:val="Heading1"/>
      </w:pPr>
      <w:bookmarkStart w:id="9" w:name="_Toc430002782"/>
      <w:bookmarkStart w:id="10" w:name="_Ref434997887"/>
      <w:bookmarkStart w:id="11" w:name="_Toc436037680"/>
      <w:bookmarkStart w:id="12" w:name="_Toc451873356"/>
      <w:r>
        <w:t>Introduction</w:t>
      </w:r>
      <w:bookmarkEnd w:id="9"/>
      <w:bookmarkEnd w:id="10"/>
      <w:bookmarkEnd w:id="11"/>
      <w:bookmarkEnd w:id="12"/>
    </w:p>
    <w:p w:rsidR="00CF00DE" w:rsidRPr="00F07CED" w:rsidRDefault="00CF00DE" w:rsidP="00CF00DE">
      <w:r w:rsidRPr="00F07CED">
        <w:t xml:space="preserve">We, the Australian Energy Regulator (AER), are responsible for the economic regulation of </w:t>
      </w:r>
      <w:r>
        <w:t>covered gas pipelines</w:t>
      </w:r>
      <w:r>
        <w:rPr>
          <w:rStyle w:val="FootnoteReference"/>
        </w:rPr>
        <w:footnoteReference w:id="1"/>
      </w:r>
      <w:r>
        <w:t xml:space="preserve"> in all states and territories in Australia</w:t>
      </w:r>
      <w:r w:rsidRPr="00F07CED">
        <w:t xml:space="preserve"> except for Western Australia. </w:t>
      </w:r>
    </w:p>
    <w:p w:rsidR="00CF00DE" w:rsidRPr="000E5C99" w:rsidRDefault="008E56B4" w:rsidP="00CF00DE">
      <w:pPr>
        <w:pStyle w:val="ListParagraph"/>
        <w:numPr>
          <w:ilvl w:val="0"/>
          <w:numId w:val="24"/>
        </w:numPr>
      </w:pPr>
      <w:r>
        <w:t>Australian Gas Networks</w:t>
      </w:r>
      <w:r w:rsidR="00CF00DE">
        <w:t xml:space="preserve"> (AGN)</w:t>
      </w:r>
      <w:r w:rsidR="00CF00DE" w:rsidRPr="000E5C99">
        <w:t xml:space="preserve"> </w:t>
      </w:r>
      <w:r w:rsidR="00CF00DE">
        <w:t xml:space="preserve">provides </w:t>
      </w:r>
      <w:r w:rsidR="00CF00DE" w:rsidRPr="007E7E78">
        <w:t xml:space="preserve">distribution </w:t>
      </w:r>
      <w:r w:rsidR="00CF00DE">
        <w:t>services to customers in South Australia</w:t>
      </w:r>
      <w:r>
        <w:t xml:space="preserve"> via a covered pipeline</w:t>
      </w:r>
      <w:r w:rsidR="00CF00DE">
        <w:t xml:space="preserve">. </w:t>
      </w:r>
      <w:r w:rsidR="00CF00DE" w:rsidRPr="000E5C99">
        <w:t xml:space="preserve">As with other covered pipelines, we regulate </w:t>
      </w:r>
      <w:r w:rsidR="00CF00DE">
        <w:t>AGN</w:t>
      </w:r>
      <w:r w:rsidR="00CF00DE" w:rsidRPr="000E5C99">
        <w:t>'s reference tariffs</w:t>
      </w:r>
      <w:r w:rsidR="0062063E">
        <w:t xml:space="preserve"> for these services</w:t>
      </w:r>
      <w:r w:rsidR="00CF00DE" w:rsidRPr="000E5C99">
        <w:t>, and through th</w:t>
      </w:r>
      <w:r w:rsidR="00BF22F8">
        <w:t>ese</w:t>
      </w:r>
      <w:r w:rsidR="00CF00DE" w:rsidRPr="000E5C99">
        <w:t xml:space="preserve">, its revenue. </w:t>
      </w:r>
    </w:p>
    <w:p w:rsidR="00CF00DE" w:rsidRDefault="00CF00DE" w:rsidP="00CF00DE">
      <w:pPr>
        <w:numPr>
          <w:ilvl w:val="0"/>
          <w:numId w:val="24"/>
        </w:numPr>
      </w:pPr>
      <w:r w:rsidRPr="006C7462">
        <w:t xml:space="preserve">The </w:t>
      </w:r>
      <w:r>
        <w:t>National Gas Law (</w:t>
      </w:r>
      <w:r w:rsidRPr="006C7462">
        <w:t>N</w:t>
      </w:r>
      <w:r>
        <w:t>G</w:t>
      </w:r>
      <w:r w:rsidRPr="006C7462">
        <w:t>L</w:t>
      </w:r>
      <w:r>
        <w:t>)</w:t>
      </w:r>
      <w:r w:rsidRPr="006C7462">
        <w:t xml:space="preserve"> and </w:t>
      </w:r>
      <w:r>
        <w:t>National Gas Rules (</w:t>
      </w:r>
      <w:r w:rsidRPr="006C7462">
        <w:t>N</w:t>
      </w:r>
      <w:r>
        <w:t>G</w:t>
      </w:r>
      <w:r w:rsidRPr="006C7462">
        <w:t>R</w:t>
      </w:r>
      <w:r>
        <w:t>)</w:t>
      </w:r>
      <w:r w:rsidRPr="006C7462">
        <w:t xml:space="preserve"> provide the </w:t>
      </w:r>
      <w:r>
        <w:t>regulatory</w:t>
      </w:r>
      <w:r w:rsidRPr="006C7462">
        <w:t xml:space="preserve"> framework </w:t>
      </w:r>
      <w:r>
        <w:t>governing gas networks</w:t>
      </w:r>
      <w:r w:rsidRPr="006C7462">
        <w:t xml:space="preserve">. </w:t>
      </w:r>
      <w:r>
        <w:t xml:space="preserve">In regulating AGN we are guided by the National Gas Objective (NGO), </w:t>
      </w:r>
      <w:r w:rsidR="008E56B4">
        <w:t>which is</w:t>
      </w:r>
      <w:r>
        <w:t xml:space="preserve"> set out in the NGL. The NGO </w:t>
      </w:r>
      <w:r w:rsidRPr="006C7462">
        <w:t xml:space="preserve">is to promote efficient investment in, and efficient operation and use of, </w:t>
      </w:r>
      <w:r>
        <w:t xml:space="preserve">natural gas </w:t>
      </w:r>
      <w:r w:rsidRPr="006C7462">
        <w:t xml:space="preserve">services for the long term interests of consumers of </w:t>
      </w:r>
      <w:r>
        <w:t>natural gas</w:t>
      </w:r>
      <w:r w:rsidRPr="006C7462">
        <w:t xml:space="preserve"> with respect to</w:t>
      </w:r>
      <w:r w:rsidRPr="00C5352F">
        <w:t xml:space="preserve"> </w:t>
      </w:r>
      <w:r w:rsidRPr="006C7462">
        <w:t xml:space="preserve">price, quality, safety, reliability and security of supply of </w:t>
      </w:r>
      <w:r>
        <w:t>natural gas.</w:t>
      </w:r>
      <w:r w:rsidRPr="006C7462">
        <w:rPr>
          <w:rStyle w:val="FootnoteReference"/>
        </w:rPr>
        <w:footnoteReference w:id="2"/>
      </w:r>
    </w:p>
    <w:p w:rsidR="0038228C" w:rsidRDefault="0038228C" w:rsidP="0038228C">
      <w:pPr>
        <w:numPr>
          <w:ilvl w:val="0"/>
          <w:numId w:val="24"/>
        </w:numPr>
      </w:pPr>
      <w:r>
        <w:t>AGN</w:t>
      </w:r>
      <w:r w:rsidRPr="000B6D20">
        <w:t xml:space="preserve"> submitted </w:t>
      </w:r>
      <w:r w:rsidR="008E56B4">
        <w:t>an</w:t>
      </w:r>
      <w:r w:rsidRPr="000B6D20">
        <w:t xml:space="preserve"> access arrangement revision proposal </w:t>
      </w:r>
      <w:r w:rsidR="008E56B4">
        <w:t xml:space="preserve">for its South Australian network </w:t>
      </w:r>
      <w:r w:rsidRPr="000B6D20">
        <w:t xml:space="preserve">on </w:t>
      </w:r>
      <w:r>
        <w:t>1 July</w:t>
      </w:r>
      <w:r w:rsidRPr="000B6D20">
        <w:t xml:space="preserve"> 2015</w:t>
      </w:r>
      <w:r>
        <w:t>, for the 2016–21 access arrangement period</w:t>
      </w:r>
      <w:r w:rsidRPr="000B6D20">
        <w:t>.</w:t>
      </w:r>
      <w:r>
        <w:t xml:space="preserve"> Our draft decision, released for consultation on 26 November 2015, did not accept AGN's proposal and specified the nature of amendments required to make the proposal acceptable to us.</w:t>
      </w:r>
      <w:r w:rsidR="003D1B37">
        <w:rPr>
          <w:rStyle w:val="FootnoteReference"/>
        </w:rPr>
        <w:footnoteReference w:id="3"/>
      </w:r>
      <w:r>
        <w:t xml:space="preserve"> AGN submitted a revised proposal on 6 January 2016. We </w:t>
      </w:r>
      <w:r w:rsidR="00874092">
        <w:t>received</w:t>
      </w:r>
      <w:r>
        <w:t xml:space="preserve"> submissions on both the draft decision and revised proposal</w:t>
      </w:r>
      <w:r w:rsidR="00874092">
        <w:t>, all of which are available on our website</w:t>
      </w:r>
      <w:r>
        <w:t>.</w:t>
      </w:r>
      <w:r w:rsidR="008E56B4">
        <w:rPr>
          <w:rStyle w:val="FootnoteReference"/>
        </w:rPr>
        <w:footnoteReference w:id="4"/>
      </w:r>
    </w:p>
    <w:p w:rsidR="00CF00DE" w:rsidRDefault="00CF00DE" w:rsidP="00CF00DE">
      <w:pPr>
        <w:pStyle w:val="Heading2"/>
      </w:pPr>
      <w:bookmarkStart w:id="13" w:name="_Toc429039116"/>
      <w:bookmarkStart w:id="14" w:name="_Toc432083540"/>
      <w:bookmarkStart w:id="15" w:name="_Toc433016410"/>
      <w:bookmarkStart w:id="16" w:name="_Ref434235601"/>
      <w:bookmarkStart w:id="17" w:name="_Toc436037681"/>
      <w:bookmarkStart w:id="18" w:name="_Toc451873357"/>
      <w:r>
        <w:t>Structure of overview</w:t>
      </w:r>
      <w:bookmarkEnd w:id="13"/>
      <w:bookmarkEnd w:id="14"/>
      <w:bookmarkEnd w:id="15"/>
      <w:bookmarkEnd w:id="16"/>
      <w:bookmarkEnd w:id="17"/>
      <w:bookmarkEnd w:id="18"/>
    </w:p>
    <w:p w:rsidR="00CF00DE" w:rsidRDefault="00CF00DE" w:rsidP="00CF00DE">
      <w:r>
        <w:t xml:space="preserve">This overview provides a summary of our </w:t>
      </w:r>
      <w:r w:rsidR="003C45A6">
        <w:t>final</w:t>
      </w:r>
      <w:r>
        <w:t xml:space="preserve"> decision and its individual components. It is structured as follows:</w:t>
      </w:r>
    </w:p>
    <w:p w:rsidR="00CF00DE" w:rsidRDefault="00CF00DE" w:rsidP="00CF00DE">
      <w:pPr>
        <w:pStyle w:val="AERbulletlistfirststyle"/>
      </w:pPr>
      <w:r>
        <w:t xml:space="preserve">Section </w:t>
      </w:r>
      <w:r>
        <w:fldChar w:fldCharType="begin"/>
      </w:r>
      <w:r>
        <w:instrText xml:space="preserve"> REF _Ref434479195 \r \h </w:instrText>
      </w:r>
      <w:r>
        <w:fldChar w:fldCharType="separate"/>
      </w:r>
      <w:r w:rsidR="006E1111">
        <w:t>2</w:t>
      </w:r>
      <w:r>
        <w:fldChar w:fldCharType="end"/>
      </w:r>
      <w:r>
        <w:t xml:space="preserve"> provides a high-level summary of our </w:t>
      </w:r>
      <w:r w:rsidR="003C45A6">
        <w:t>final</w:t>
      </w:r>
      <w:r>
        <w:t xml:space="preserve"> decision</w:t>
      </w:r>
      <w:r w:rsidR="00874092">
        <w:t>, and highlights where we have made significant changes between our draft and final decisions</w:t>
      </w:r>
      <w:r>
        <w:t>.</w:t>
      </w:r>
    </w:p>
    <w:p w:rsidR="00CF00DE" w:rsidRDefault="00CF00DE" w:rsidP="00CF00DE">
      <w:pPr>
        <w:pStyle w:val="AERbulletlistfirststyle"/>
      </w:pPr>
      <w:r>
        <w:t xml:space="preserve">Section </w:t>
      </w:r>
      <w:r>
        <w:fldChar w:fldCharType="begin"/>
      </w:r>
      <w:r>
        <w:instrText xml:space="preserve"> REF _Ref434479204 \r \h </w:instrText>
      </w:r>
      <w:r>
        <w:fldChar w:fldCharType="separate"/>
      </w:r>
      <w:r w:rsidR="006E1111">
        <w:t>3</w:t>
      </w:r>
      <w:r>
        <w:fldChar w:fldCharType="end"/>
      </w:r>
      <w:r>
        <w:t xml:space="preserve"> sets out our </w:t>
      </w:r>
      <w:r w:rsidR="003C45A6">
        <w:t>final</w:t>
      </w:r>
      <w:r>
        <w:t xml:space="preserve"> decision on AGN's total revenue requirement.</w:t>
      </w:r>
    </w:p>
    <w:p w:rsidR="00CF00DE" w:rsidRPr="00117925" w:rsidRDefault="00CF00DE" w:rsidP="00CF00DE">
      <w:pPr>
        <w:pStyle w:val="AERbulletlistfirststyle"/>
      </w:pPr>
      <w:r>
        <w:t xml:space="preserve">Section </w:t>
      </w:r>
      <w:r>
        <w:fldChar w:fldCharType="begin"/>
      </w:r>
      <w:r>
        <w:instrText xml:space="preserve"> REF _Ref434479216 \r \h </w:instrText>
      </w:r>
      <w:r>
        <w:fldChar w:fldCharType="separate"/>
      </w:r>
      <w:r w:rsidR="006E1111">
        <w:t>4</w:t>
      </w:r>
      <w:r>
        <w:fldChar w:fldCharType="end"/>
      </w:r>
      <w:r>
        <w:t xml:space="preserve"> provides a break</w:t>
      </w:r>
      <w:r w:rsidRPr="00BE00FA">
        <w:t xml:space="preserve">-down of our revenue decision into its key components. </w:t>
      </w:r>
    </w:p>
    <w:p w:rsidR="00CF00DE" w:rsidRDefault="00CF00DE" w:rsidP="00CF00DE">
      <w:pPr>
        <w:pStyle w:val="AERbulletlistfirststyle"/>
      </w:pPr>
      <w:r w:rsidRPr="00117925">
        <w:t xml:space="preserve">Section </w:t>
      </w:r>
      <w:r>
        <w:fldChar w:fldCharType="begin"/>
      </w:r>
      <w:r>
        <w:instrText xml:space="preserve"> REF _Ref434479226 \r \h </w:instrText>
      </w:r>
      <w:r>
        <w:fldChar w:fldCharType="separate"/>
      </w:r>
      <w:r w:rsidR="006E1111">
        <w:t>5</w:t>
      </w:r>
      <w:r>
        <w:fldChar w:fldCharType="end"/>
      </w:r>
      <w:r>
        <w:t xml:space="preserve"> </w:t>
      </w:r>
      <w:r w:rsidRPr="00117925">
        <w:t>set</w:t>
      </w:r>
      <w:r>
        <w:t>s</w:t>
      </w:r>
      <w:r w:rsidRPr="00117925">
        <w:t xml:space="preserve"> out our </w:t>
      </w:r>
      <w:r w:rsidR="003C45A6">
        <w:t>final</w:t>
      </w:r>
      <w:r>
        <w:t xml:space="preserve"> </w:t>
      </w:r>
      <w:r w:rsidRPr="00117925">
        <w:t>decision</w:t>
      </w:r>
      <w:r w:rsidR="00874092">
        <w:t>s</w:t>
      </w:r>
      <w:r w:rsidRPr="00117925">
        <w:t xml:space="preserve"> on </w:t>
      </w:r>
      <w:r>
        <w:t>demand</w:t>
      </w:r>
      <w:r w:rsidR="00246954">
        <w:t xml:space="preserve"> forecasts</w:t>
      </w:r>
      <w:r>
        <w:t>, AGN's reference</w:t>
      </w:r>
      <w:r w:rsidRPr="00117925">
        <w:t xml:space="preserve"> service, </w:t>
      </w:r>
      <w:r>
        <w:t xml:space="preserve">reference tariff setting and the reference tariff variation mechanism that will apply to AGN. It also sets out our </w:t>
      </w:r>
      <w:r w:rsidR="003C45A6">
        <w:t>final</w:t>
      </w:r>
      <w:r>
        <w:t xml:space="preserve"> decision </w:t>
      </w:r>
      <w:r w:rsidR="00874092">
        <w:t>on the</w:t>
      </w:r>
      <w:r>
        <w:t xml:space="preserve"> incentive schemes proposed by AGN</w:t>
      </w:r>
      <w:r w:rsidR="00874092">
        <w:t xml:space="preserve"> for the 2016–21 access arrangement period</w:t>
      </w:r>
      <w:r>
        <w:t>.</w:t>
      </w:r>
    </w:p>
    <w:p w:rsidR="00CF00DE" w:rsidRPr="00117925" w:rsidRDefault="00CF00DE" w:rsidP="00CF00DE">
      <w:pPr>
        <w:pStyle w:val="AERbulletlistfirststyle"/>
      </w:pPr>
      <w:r>
        <w:t xml:space="preserve">Section </w:t>
      </w:r>
      <w:r>
        <w:fldChar w:fldCharType="begin"/>
      </w:r>
      <w:r>
        <w:instrText xml:space="preserve"> REF _Ref434479237 \r \h </w:instrText>
      </w:r>
      <w:r>
        <w:fldChar w:fldCharType="separate"/>
      </w:r>
      <w:r w:rsidR="006E1111">
        <w:t>6</w:t>
      </w:r>
      <w:r>
        <w:fldChar w:fldCharType="end"/>
      </w:r>
      <w:r>
        <w:t xml:space="preserve"> sets out our </w:t>
      </w:r>
      <w:r w:rsidR="003C45A6">
        <w:t>final</w:t>
      </w:r>
      <w:r>
        <w:t xml:space="preserve"> decision on non-tariff components of AGN's access arrangement.</w:t>
      </w:r>
    </w:p>
    <w:p w:rsidR="00CF00DE" w:rsidRPr="00117925" w:rsidRDefault="00CF00DE" w:rsidP="00CF00DE">
      <w:pPr>
        <w:pStyle w:val="AERbulletlistfirststyle"/>
      </w:pPr>
      <w:r w:rsidRPr="00117925">
        <w:t xml:space="preserve">Section </w:t>
      </w:r>
      <w:r>
        <w:fldChar w:fldCharType="begin"/>
      </w:r>
      <w:r>
        <w:instrText xml:space="preserve"> REF _Ref434479254 \r \h </w:instrText>
      </w:r>
      <w:r>
        <w:fldChar w:fldCharType="separate"/>
      </w:r>
      <w:r w:rsidR="006E1111">
        <w:t>7</w:t>
      </w:r>
      <w:r>
        <w:fldChar w:fldCharType="end"/>
      </w:r>
      <w:r>
        <w:t xml:space="preserve"> </w:t>
      </w:r>
      <w:r w:rsidRPr="00117925">
        <w:t>explains our views on the regulatory framework</w:t>
      </w:r>
      <w:r>
        <w:t xml:space="preserve"> and the NGO.</w:t>
      </w:r>
    </w:p>
    <w:p w:rsidR="00CF00DE" w:rsidRDefault="00CF00DE" w:rsidP="00CF00DE">
      <w:pPr>
        <w:pStyle w:val="AERbulletlistfirststyle"/>
      </w:pPr>
      <w:r w:rsidRPr="00117925">
        <w:t xml:space="preserve">Section </w:t>
      </w:r>
      <w:r>
        <w:fldChar w:fldCharType="begin"/>
      </w:r>
      <w:r>
        <w:instrText xml:space="preserve"> REF _Ref434479264 \r \h </w:instrText>
      </w:r>
      <w:r>
        <w:fldChar w:fldCharType="separate"/>
      </w:r>
      <w:r w:rsidR="006E1111">
        <w:t>8</w:t>
      </w:r>
      <w:r>
        <w:fldChar w:fldCharType="end"/>
      </w:r>
      <w:r>
        <w:t xml:space="preserve"> </w:t>
      </w:r>
      <w:r w:rsidRPr="00117925">
        <w:t xml:space="preserve">outlines </w:t>
      </w:r>
      <w:r>
        <w:t>the</w:t>
      </w:r>
      <w:r w:rsidRPr="00117925">
        <w:t xml:space="preserve"> process we undertook in reaching our </w:t>
      </w:r>
      <w:r w:rsidR="003C45A6">
        <w:t>final</w:t>
      </w:r>
      <w:r w:rsidRPr="00117925">
        <w:t xml:space="preserve"> decision. </w:t>
      </w:r>
    </w:p>
    <w:p w:rsidR="00CF00DE" w:rsidRDefault="00CF00DE" w:rsidP="00CF00DE">
      <w:r w:rsidRPr="0004255F">
        <w:t xml:space="preserve">In our attachments we set out detailed analysis of the </w:t>
      </w:r>
      <w:r>
        <w:t>individual</w:t>
      </w:r>
      <w:r w:rsidRPr="0004255F">
        <w:t xml:space="preserve"> components that make up our </w:t>
      </w:r>
      <w:r w:rsidR="003C45A6">
        <w:t>final</w:t>
      </w:r>
      <w:r>
        <w:t xml:space="preserve"> </w:t>
      </w:r>
      <w:r w:rsidRPr="0004255F">
        <w:t>decision.</w:t>
      </w:r>
      <w:r>
        <w:t xml:space="preserve"> </w:t>
      </w:r>
    </w:p>
    <w:p w:rsidR="00CF00DE" w:rsidRDefault="003C45A6" w:rsidP="00CF00DE">
      <w:pPr>
        <w:pStyle w:val="Heading1"/>
      </w:pPr>
      <w:bookmarkStart w:id="19" w:name="_Toc430002783"/>
      <w:bookmarkStart w:id="20" w:name="_Ref434479195"/>
      <w:bookmarkStart w:id="21" w:name="_Toc436037682"/>
      <w:bookmarkStart w:id="22" w:name="_Toc451873358"/>
      <w:r>
        <w:t>Final d</w:t>
      </w:r>
      <w:r w:rsidR="00CF00DE">
        <w:t>ecision</w:t>
      </w:r>
      <w:bookmarkEnd w:id="19"/>
      <w:bookmarkEnd w:id="20"/>
      <w:bookmarkEnd w:id="21"/>
      <w:bookmarkEnd w:id="22"/>
    </w:p>
    <w:p w:rsidR="00CF00DE" w:rsidRDefault="00647877" w:rsidP="00CF00DE">
      <w:r>
        <w:t>Our final decision is that AGN can recover $</w:t>
      </w:r>
      <w:r w:rsidR="00FD201A">
        <w:t>985.</w:t>
      </w:r>
      <w:r w:rsidR="00A25A3A">
        <w:t>5</w:t>
      </w:r>
      <w:r w:rsidR="002624BF">
        <w:t xml:space="preserve"> </w:t>
      </w:r>
      <w:r w:rsidR="00952CC0">
        <w:t>million ($</w:t>
      </w:r>
      <w:r>
        <w:t>nominal</w:t>
      </w:r>
      <w:r w:rsidR="00671C6F">
        <w:t>, smoothed</w:t>
      </w:r>
      <w:r>
        <w:t xml:space="preserve">) from consumers over the 2016–21 access arrangement period, which begins on 1 July 2016. This is a </w:t>
      </w:r>
      <w:r w:rsidR="00C334DB">
        <w:t xml:space="preserve">19.8 </w:t>
      </w:r>
      <w:r>
        <w:t xml:space="preserve">per cent reduction to AGN's </w:t>
      </w:r>
      <w:r w:rsidR="008B3355">
        <w:t xml:space="preserve">revised </w:t>
      </w:r>
      <w:r>
        <w:t>proposed revenue of $</w:t>
      </w:r>
      <w:r w:rsidR="00D04AB9">
        <w:t>1228.4</w:t>
      </w:r>
      <w:r w:rsidR="00C334DB">
        <w:t xml:space="preserve"> </w:t>
      </w:r>
      <w:r>
        <w:t xml:space="preserve">million ($nominal). Our final decision allows AGN to recover </w:t>
      </w:r>
      <w:r w:rsidR="00FD201A">
        <w:t>5.0</w:t>
      </w:r>
      <w:r w:rsidR="00C334DB">
        <w:t xml:space="preserve"> </w:t>
      </w:r>
      <w:r>
        <w:t>per cent more from its customers than our November 2015 draft decision of $</w:t>
      </w:r>
      <w:r w:rsidR="00C334DB">
        <w:t xml:space="preserve">938.6 </w:t>
      </w:r>
      <w:r w:rsidR="00952CC0">
        <w:t>million ($</w:t>
      </w:r>
      <w:r>
        <w:t>nominal).</w:t>
      </w:r>
    </w:p>
    <w:p w:rsidR="00D71817" w:rsidRDefault="00D71817" w:rsidP="00D71817">
      <w:r w:rsidRPr="00F3451E">
        <w:t xml:space="preserve">We accept that </w:t>
      </w:r>
      <w:r w:rsidR="002D1DB0">
        <w:t>many</w:t>
      </w:r>
      <w:r w:rsidR="002D1DB0" w:rsidRPr="00F3451E">
        <w:t xml:space="preserve"> </w:t>
      </w:r>
      <w:r w:rsidRPr="00F3451E">
        <w:t>aspects of AGN's proposal are consistent with the requirements of the NGR. However, we have not approved all elements, and as such, have not approved AGN's access arrangement proposal as a whole.</w:t>
      </w:r>
      <w:r>
        <w:rPr>
          <w:rStyle w:val="FootnoteReference"/>
        </w:rPr>
        <w:footnoteReference w:id="5"/>
      </w:r>
      <w:r>
        <w:t xml:space="preserve"> We have revised AGN's proposed access arrangement having regard to our reasons for refusing to approve some elements of its proposal and the further matters identified in rule 64(2) of the NGR.</w:t>
      </w:r>
      <w:r>
        <w:rPr>
          <w:rStyle w:val="FootnoteReference"/>
        </w:rPr>
        <w:footnoteReference w:id="6"/>
      </w:r>
      <w:r>
        <w:t xml:space="preserve"> Our revisions are reflected in the </w:t>
      </w:r>
      <w:r w:rsidRPr="00887E64">
        <w:rPr>
          <w:rStyle w:val="AERtextitalic"/>
        </w:rPr>
        <w:t>Approved Access Arrangement for Australian Gas Networks' South Australian distribution network for 2016–21</w:t>
      </w:r>
      <w:r>
        <w:t>, which gives effect to this decision.</w:t>
      </w:r>
      <w:r w:rsidRPr="00E62D82">
        <w:t xml:space="preserve"> </w:t>
      </w:r>
    </w:p>
    <w:p w:rsidR="00C5711A" w:rsidRPr="00C5711A" w:rsidRDefault="00770A10" w:rsidP="00C5711A">
      <w:pPr>
        <w:pStyle w:val="ListParagraph"/>
        <w:numPr>
          <w:ilvl w:val="0"/>
          <w:numId w:val="24"/>
        </w:numPr>
      </w:pPr>
      <w:r>
        <w:fldChar w:fldCharType="begin"/>
      </w:r>
      <w:r>
        <w:instrText xml:space="preserve"> REF _Ref448485293 \h </w:instrText>
      </w:r>
      <w:r>
        <w:fldChar w:fldCharType="separate"/>
      </w:r>
      <w:r w:rsidR="006E1111">
        <w:t xml:space="preserve">Figure </w:t>
      </w:r>
      <w:r w:rsidR="006E1111">
        <w:rPr>
          <w:noProof/>
        </w:rPr>
        <w:t>1</w:t>
      </w:r>
      <w:r>
        <w:fldChar w:fldCharType="end"/>
      </w:r>
      <w:r w:rsidR="006907F2">
        <w:t xml:space="preserve"> </w:t>
      </w:r>
      <w:r w:rsidR="00C5711A" w:rsidRPr="00C5711A">
        <w:t>compares our final decision on AGN's revenue for 2016–21 to its proposed revenue, and to the revenue allowed and recovered during the current access arrangement period.</w:t>
      </w:r>
    </w:p>
    <w:p w:rsidR="00C5711A" w:rsidRDefault="00C5711A" w:rsidP="00D9287A">
      <w:pPr>
        <w:pStyle w:val="Caption"/>
        <w:numPr>
          <w:ilvl w:val="0"/>
          <w:numId w:val="24"/>
        </w:numPr>
      </w:pPr>
      <w:bookmarkStart w:id="23" w:name="_Ref448485293"/>
      <w:r>
        <w:t xml:space="preserve">Figure </w:t>
      </w:r>
      <w:fldSimple w:instr=" SEQ Figure \* ARABIC ">
        <w:r w:rsidR="006E1111">
          <w:rPr>
            <w:noProof/>
          </w:rPr>
          <w:t>1</w:t>
        </w:r>
      </w:fldSimple>
      <w:bookmarkEnd w:id="23"/>
      <w:r w:rsidRPr="00F54B36">
        <w:tab/>
      </w:r>
      <w:r>
        <w:t>AGN</w:t>
      </w:r>
      <w:r w:rsidRPr="00F54B36">
        <w:t>’s past total revenue</w:t>
      </w:r>
      <w:r w:rsidR="004058E0">
        <w:t>,</w:t>
      </w:r>
      <w:r w:rsidRPr="00B11942">
        <w:rPr>
          <w:vertAlign w:val="superscript"/>
        </w:rPr>
        <w:t>a</w:t>
      </w:r>
      <w:r w:rsidRPr="00F54B36">
        <w:t xml:space="preserve"> proposed total revenue and AER </w:t>
      </w:r>
      <w:r>
        <w:t>final decision</w:t>
      </w:r>
      <w:r w:rsidRPr="00F54B36">
        <w:t xml:space="preserve"> ($ million, 2015</w:t>
      </w:r>
      <w:r>
        <w:t>–16</w:t>
      </w:r>
      <w:r w:rsidRPr="00F54B36">
        <w:t>)</w:t>
      </w:r>
    </w:p>
    <w:p w:rsidR="00E67A61" w:rsidRPr="00C5711A" w:rsidRDefault="00E67A61" w:rsidP="00D9287A">
      <w:pPr>
        <w:pStyle w:val="ListParagraph"/>
        <w:keepNext/>
        <w:numPr>
          <w:ilvl w:val="0"/>
          <w:numId w:val="24"/>
        </w:numPr>
      </w:pPr>
      <w:r w:rsidRPr="00E67A61">
        <w:rPr>
          <w:noProof/>
          <w:lang w:eastAsia="en-AU"/>
        </w:rPr>
        <w:drawing>
          <wp:inline distT="0" distB="0" distL="0" distR="0" wp14:anchorId="7AA67C25" wp14:editId="5FF59F96">
            <wp:extent cx="5382895" cy="3236063"/>
            <wp:effectExtent l="0" t="0" r="825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82895" cy="3236063"/>
                    </a:xfrm>
                    <a:prstGeom prst="rect">
                      <a:avLst/>
                    </a:prstGeom>
                  </pic:spPr>
                </pic:pic>
              </a:graphicData>
            </a:graphic>
          </wp:inline>
        </w:drawing>
      </w:r>
    </w:p>
    <w:p w:rsidR="00C5711A" w:rsidRDefault="00C5711A" w:rsidP="00D9287A">
      <w:pPr>
        <w:pStyle w:val="AERtablesource"/>
        <w:keepNext/>
        <w:numPr>
          <w:ilvl w:val="0"/>
          <w:numId w:val="24"/>
        </w:numPr>
      </w:pPr>
      <w:r>
        <w:t>Source:</w:t>
      </w:r>
      <w:r>
        <w:tab/>
        <w:t>AER analysis.</w:t>
      </w:r>
    </w:p>
    <w:p w:rsidR="00C5711A" w:rsidRDefault="00C5711A" w:rsidP="00D9287A">
      <w:pPr>
        <w:pStyle w:val="AERtablesource"/>
        <w:keepNext/>
        <w:numPr>
          <w:ilvl w:val="0"/>
          <w:numId w:val="24"/>
        </w:numPr>
      </w:pPr>
      <w:r>
        <w:t>Note:</w:t>
      </w:r>
      <w:r>
        <w:tab/>
        <w:t>Includes ancillary reference services revenue.</w:t>
      </w:r>
    </w:p>
    <w:p w:rsidR="00C5711A" w:rsidRPr="00DA69FA" w:rsidRDefault="00C5711A" w:rsidP="00D9287A">
      <w:pPr>
        <w:pStyle w:val="AERtablesource"/>
        <w:keepNext/>
        <w:numPr>
          <w:ilvl w:val="0"/>
          <w:numId w:val="24"/>
        </w:numPr>
      </w:pPr>
      <w:r>
        <w:t xml:space="preserve">(a)  </w:t>
      </w:r>
      <w:r>
        <w:tab/>
      </w:r>
      <w:r w:rsidRPr="00DA69FA">
        <w:t xml:space="preserve">AGN operates under a weighted average </w:t>
      </w:r>
      <w:r>
        <w:t>tariff</w:t>
      </w:r>
      <w:r w:rsidRPr="00DA69FA">
        <w:t xml:space="preserve"> cap. This means the tariffs we determine (including the </w:t>
      </w:r>
      <w:r w:rsidR="00C97D79">
        <w:tab/>
      </w:r>
      <w:r w:rsidRPr="00DA69FA">
        <w:t xml:space="preserve">means of varying the tariffs from year to year) are the binding constraint across </w:t>
      </w:r>
      <w:r>
        <w:t>an</w:t>
      </w:r>
      <w:r w:rsidRPr="00DA69FA">
        <w:t xml:space="preserve"> access arrangement </w:t>
      </w:r>
      <w:r w:rsidR="00C97D79">
        <w:tab/>
      </w:r>
      <w:r w:rsidRPr="00DA69FA">
        <w:t>period, rather than the total revenue requirement set in our decision.</w:t>
      </w:r>
      <w:r>
        <w:t xml:space="preserve"> </w:t>
      </w:r>
      <w:r w:rsidRPr="004D0BCD">
        <w:t xml:space="preserve">Tariffs are derived from the total </w:t>
      </w:r>
      <w:r w:rsidR="00C97D79">
        <w:tab/>
      </w:r>
      <w:r w:rsidRPr="004D0BCD">
        <w:t xml:space="preserve">revenue requirement </w:t>
      </w:r>
      <w:r w:rsidRPr="00DA69FA">
        <w:rPr>
          <w:rStyle w:val="Emphasis"/>
        </w:rPr>
        <w:t>after</w:t>
      </w:r>
      <w:r w:rsidRPr="00DA69FA">
        <w:t xml:space="preserve"> consideration of demand for each tariff category. </w:t>
      </w:r>
      <w:r>
        <w:t xml:space="preserve">Where actual demand varies </w:t>
      </w:r>
      <w:r w:rsidR="00C97D79">
        <w:tab/>
      </w:r>
      <w:r>
        <w:t xml:space="preserve">from the demand forecast in the access arrangement, AGN's actual revenue will vary from the revenue </w:t>
      </w:r>
      <w:r w:rsidR="00C97D79">
        <w:tab/>
      </w:r>
      <w:r>
        <w:t xml:space="preserve">allowance determined in our decision. In general, if actual demand is above forecast demand, AGN's actual </w:t>
      </w:r>
      <w:r w:rsidR="00C97D79">
        <w:tab/>
      </w:r>
      <w:r>
        <w:t>revenue will be above forecast revenue, and vice versa.</w:t>
      </w:r>
    </w:p>
    <w:p w:rsidR="006907F2" w:rsidRPr="00101118" w:rsidRDefault="006907F2" w:rsidP="006907F2">
      <w:pPr>
        <w:pStyle w:val="Heading2"/>
      </w:pPr>
      <w:bookmarkStart w:id="24" w:name="_Toc451873359"/>
      <w:r>
        <w:t>What is driving allowed revenue?</w:t>
      </w:r>
      <w:bookmarkEnd w:id="24"/>
    </w:p>
    <w:p w:rsidR="006907F2" w:rsidRDefault="006907F2" w:rsidP="006907F2">
      <w:r>
        <w:t xml:space="preserve">Consistent with our draft decision, we approve less revenue for 2016–21 than that allowed—and recovered by—AGN in the current access arrangement period. </w:t>
      </w:r>
      <w:r w:rsidR="0044424E">
        <w:t>The total revenue we approve for the 2016–21 access arrangement period is $</w:t>
      </w:r>
      <w:r w:rsidR="00FD201A">
        <w:t>142.</w:t>
      </w:r>
      <w:r w:rsidR="00A25A3A">
        <w:t>8</w:t>
      </w:r>
      <w:r w:rsidR="0044424E">
        <w:t xml:space="preserve"> million ($</w:t>
      </w:r>
      <w:r w:rsidR="00865DC4">
        <w:t> </w:t>
      </w:r>
      <w:r w:rsidR="0044424E">
        <w:t xml:space="preserve">nominal)—or </w:t>
      </w:r>
      <w:r w:rsidR="00FD201A">
        <w:t>12.</w:t>
      </w:r>
      <w:r w:rsidR="00A25A3A">
        <w:t>7</w:t>
      </w:r>
      <w:r w:rsidR="0044424E">
        <w:t xml:space="preserve"> per cent—less that we approved in our decision for 2011–16.</w:t>
      </w:r>
      <w:r w:rsidR="00865DC4">
        <w:rPr>
          <w:rStyle w:val="FootnoteReference"/>
        </w:rPr>
        <w:footnoteReference w:id="7"/>
      </w:r>
      <w:r w:rsidR="0044424E">
        <w:t xml:space="preserve"> </w:t>
      </w:r>
      <w:r w:rsidR="00025C0F">
        <w:t>W</w:t>
      </w:r>
      <w:r>
        <w:t xml:space="preserve">e also approve </w:t>
      </w:r>
      <w:r w:rsidR="0044424E">
        <w:t xml:space="preserve">19.8 per cent </w:t>
      </w:r>
      <w:r>
        <w:t>less revenue than AGN sought to recover through its revised proposal.</w:t>
      </w:r>
    </w:p>
    <w:bookmarkStart w:id="25" w:name="_Ref448138961"/>
    <w:p w:rsidR="008C7D5C" w:rsidRPr="008C7D5C" w:rsidRDefault="008C7D5C" w:rsidP="008C7D5C">
      <w:r>
        <w:fldChar w:fldCharType="begin"/>
      </w:r>
      <w:r>
        <w:instrText xml:space="preserve"> REF _Ref448150225 \h </w:instrText>
      </w:r>
      <w:r>
        <w:fldChar w:fldCharType="separate"/>
      </w:r>
      <w:r w:rsidR="006E1111" w:rsidRPr="008C7D5C">
        <w:t xml:space="preserve">Figure </w:t>
      </w:r>
      <w:r w:rsidR="006E1111">
        <w:rPr>
          <w:noProof/>
        </w:rPr>
        <w:t>2</w:t>
      </w:r>
      <w:r>
        <w:fldChar w:fldCharType="end"/>
      </w:r>
      <w:r>
        <w:t xml:space="preserve"> compares the average annual building block revenue from our final decision against that proposed by AGN for the 2016–21 access arrangement period, as well as the approved average amount for the 2011–16 access arrangement period. </w:t>
      </w:r>
    </w:p>
    <w:p w:rsidR="00183CCF" w:rsidRPr="008C7D5C" w:rsidRDefault="00183CCF" w:rsidP="00D9287A">
      <w:pPr>
        <w:pStyle w:val="Caption"/>
      </w:pPr>
      <w:bookmarkStart w:id="26" w:name="_Ref448150225"/>
      <w:r w:rsidRPr="008C7D5C">
        <w:t xml:space="preserve">Figure </w:t>
      </w:r>
      <w:fldSimple w:instr=" SEQ Figure \* ARABIC ">
        <w:r w:rsidR="006E1111">
          <w:rPr>
            <w:noProof/>
          </w:rPr>
          <w:t>2</w:t>
        </w:r>
      </w:fldSimple>
      <w:bookmarkEnd w:id="25"/>
      <w:bookmarkEnd w:id="26"/>
      <w:r w:rsidRPr="008C7D5C">
        <w:t xml:space="preserve"> AER's final decision average annual revenue (unsmoothed) compared with AGN's revised proposal average annual revenue for 2016–21 and approved average annual revenue for 2011–16 ($million, 2015–16)</w:t>
      </w:r>
    </w:p>
    <w:p w:rsidR="00E67A61" w:rsidRDefault="00E67A61" w:rsidP="00D9287A">
      <w:pPr>
        <w:keepNext/>
      </w:pPr>
      <w:r w:rsidRPr="00E67A61">
        <w:rPr>
          <w:noProof/>
          <w:lang w:eastAsia="en-AU"/>
        </w:rPr>
        <w:drawing>
          <wp:inline distT="0" distB="0" distL="0" distR="0" wp14:anchorId="381075DB" wp14:editId="6A862F05">
            <wp:extent cx="5435600" cy="3525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36035" cy="3526237"/>
                    </a:xfrm>
                    <a:prstGeom prst="rect">
                      <a:avLst/>
                    </a:prstGeom>
                    <a:noFill/>
                    <a:ln>
                      <a:noFill/>
                    </a:ln>
                  </pic:spPr>
                </pic:pic>
              </a:graphicData>
            </a:graphic>
          </wp:inline>
        </w:drawing>
      </w:r>
    </w:p>
    <w:p w:rsidR="00A41D26" w:rsidRPr="00B11942" w:rsidRDefault="00A41D26" w:rsidP="00B11942">
      <w:pPr>
        <w:pStyle w:val="AERtablesource"/>
        <w:rPr>
          <w:rStyle w:val="AERbody"/>
          <w:sz w:val="16"/>
        </w:rPr>
      </w:pPr>
      <w:r w:rsidRPr="00B11942">
        <w:rPr>
          <w:rStyle w:val="AERbody"/>
          <w:sz w:val="16"/>
        </w:rPr>
        <w:t xml:space="preserve">Source: </w:t>
      </w:r>
      <w:r w:rsidRPr="00B11942">
        <w:rPr>
          <w:rStyle w:val="AERbody"/>
          <w:sz w:val="16"/>
        </w:rPr>
        <w:tab/>
        <w:t>AER analysis.</w:t>
      </w:r>
    </w:p>
    <w:p w:rsidR="00A41D26" w:rsidRPr="00B11942" w:rsidRDefault="00A41D26" w:rsidP="00B11942">
      <w:pPr>
        <w:pStyle w:val="AERtablesource"/>
      </w:pPr>
      <w:r w:rsidRPr="00B11942">
        <w:t>Note:</w:t>
      </w:r>
      <w:r w:rsidRPr="00B11942">
        <w:tab/>
        <w:t>Includes ancillary reference services revenue.</w:t>
      </w:r>
    </w:p>
    <w:p w:rsidR="00101118" w:rsidRDefault="00C97D79" w:rsidP="00101118">
      <w:r>
        <w:fldChar w:fldCharType="begin"/>
      </w:r>
      <w:r>
        <w:instrText xml:space="preserve"> REF _Ref448738154 \h </w:instrText>
      </w:r>
      <w:r>
        <w:fldChar w:fldCharType="separate"/>
      </w:r>
      <w:r w:rsidR="006E1111">
        <w:t xml:space="preserve">Figure </w:t>
      </w:r>
      <w:r w:rsidR="006E1111">
        <w:rPr>
          <w:noProof/>
        </w:rPr>
        <w:t>3</w:t>
      </w:r>
      <w:r>
        <w:fldChar w:fldCharType="end"/>
      </w:r>
      <w:r w:rsidR="00101118">
        <w:t xml:space="preserve"> compares our final decision to AGN's revised proposal, broken down by the various building block components that make up the forecast revenue requirement. </w:t>
      </w:r>
    </w:p>
    <w:p w:rsidR="00101118" w:rsidRDefault="00101118" w:rsidP="00D9287A">
      <w:pPr>
        <w:pStyle w:val="Caption"/>
      </w:pPr>
      <w:bookmarkStart w:id="27" w:name="_Ref448738154"/>
      <w:r>
        <w:t xml:space="preserve">Figure </w:t>
      </w:r>
      <w:fldSimple w:instr=" SEQ Figure \* ARABIC ">
        <w:r w:rsidR="006E1111">
          <w:rPr>
            <w:noProof/>
          </w:rPr>
          <w:t>3</w:t>
        </w:r>
      </w:fldSimple>
      <w:bookmarkEnd w:id="27"/>
      <w:r>
        <w:t xml:space="preserve"> </w:t>
      </w:r>
      <w:r w:rsidR="00674C9B">
        <w:t xml:space="preserve">AGN's revised proposal and </w:t>
      </w:r>
      <w:r>
        <w:t>AER's final decision average annual building block costs ($million, 2015–16)</w:t>
      </w:r>
    </w:p>
    <w:p w:rsidR="00E67A61" w:rsidRPr="00E67A61" w:rsidRDefault="00E67A61" w:rsidP="0083259E">
      <w:r w:rsidRPr="00E67A61">
        <w:rPr>
          <w:noProof/>
          <w:lang w:eastAsia="en-AU"/>
        </w:rPr>
        <w:drawing>
          <wp:inline distT="0" distB="0" distL="0" distR="0" wp14:anchorId="38C6B233" wp14:editId="39AF3122">
            <wp:extent cx="5435950" cy="322090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33439" cy="3219415"/>
                    </a:xfrm>
                    <a:prstGeom prst="rect">
                      <a:avLst/>
                    </a:prstGeom>
                    <a:noFill/>
                    <a:ln>
                      <a:noFill/>
                    </a:ln>
                  </pic:spPr>
                </pic:pic>
              </a:graphicData>
            </a:graphic>
          </wp:inline>
        </w:drawing>
      </w:r>
    </w:p>
    <w:p w:rsidR="00101118" w:rsidRDefault="00101118" w:rsidP="00D9287A">
      <w:pPr>
        <w:pStyle w:val="AERtablesource"/>
        <w:keepNext/>
      </w:pPr>
      <w:r>
        <w:t>Source:</w:t>
      </w:r>
      <w:r>
        <w:tab/>
        <w:t>AER analysis.</w:t>
      </w:r>
    </w:p>
    <w:p w:rsidR="00101118" w:rsidRDefault="00101118" w:rsidP="00D9287A">
      <w:pPr>
        <w:pStyle w:val="AERtablesource"/>
        <w:keepNext/>
      </w:pPr>
      <w:r>
        <w:t>Note:</w:t>
      </w:r>
      <w:r>
        <w:tab/>
        <w:t>Includes ancillary reference services revenue.</w:t>
      </w:r>
    </w:p>
    <w:p w:rsidR="00417DB8" w:rsidRPr="00EC4B79" w:rsidRDefault="008C7D5C" w:rsidP="00417DB8">
      <w:r>
        <w:t>The</w:t>
      </w:r>
      <w:r w:rsidR="006907F2">
        <w:t>se</w:t>
      </w:r>
      <w:r>
        <w:t xml:space="preserve"> figures highlight that the allowed rate of return—which feeds into the return on capital—is the key difference between our final decision and AGN's revised proposal</w:t>
      </w:r>
      <w:r w:rsidR="00C5711A">
        <w:t>, and between our decision for the 2016–21 access arrangement period and that for the current 2011–16 period</w:t>
      </w:r>
      <w:r>
        <w:t>.</w:t>
      </w:r>
      <w:r w:rsidR="00417DB8">
        <w:t xml:space="preserve"> </w:t>
      </w:r>
      <w:r w:rsidR="006907F2">
        <w:t>The allowed rate of return provides AGN with revenue to service the interest on its loans and give a return on equity to its shareholders. It is applied to AGN's capital base to determine the return on capital building block.</w:t>
      </w:r>
    </w:p>
    <w:p w:rsidR="00417DB8" w:rsidRPr="00EC4B79" w:rsidRDefault="00417DB8" w:rsidP="00417DB8">
      <w:r w:rsidRPr="00EC4B79">
        <w:t xml:space="preserve">Prevailing market conditions for debt and equity heavily influence the rate of return. Financial conditions have changed since our last decision for </w:t>
      </w:r>
      <w:r>
        <w:t>AGN</w:t>
      </w:r>
      <w:r w:rsidRPr="00EC4B79">
        <w:t xml:space="preserve"> in </w:t>
      </w:r>
      <w:r>
        <w:t>July 2011</w:t>
      </w:r>
      <w:r w:rsidRPr="00EC4B79">
        <w:t>. Interest rates are lower and financial market conditions are more stable. This means that the cost of debt and the returns required to attract equity are lower.</w:t>
      </w:r>
    </w:p>
    <w:p w:rsidR="00674C9B" w:rsidRDefault="006907F2" w:rsidP="00674C9B">
      <w:r w:rsidRPr="00EC4B79">
        <w:t xml:space="preserve">This is reflected in a lower rate of return in this decision. </w:t>
      </w:r>
      <w:r w:rsidR="00C5711A" w:rsidRPr="00C5711A">
        <w:rPr>
          <w:rStyle w:val="AERbodytextChar"/>
          <w:rFonts w:eastAsiaTheme="minorHAnsi"/>
        </w:rPr>
        <w:t>Our final decision is for a rate of return of 6.</w:t>
      </w:r>
      <w:r w:rsidR="00C334DB">
        <w:rPr>
          <w:rStyle w:val="AERbodytextChar"/>
          <w:rFonts w:eastAsiaTheme="minorHAnsi"/>
        </w:rPr>
        <w:t>15</w:t>
      </w:r>
      <w:r w:rsidR="00C5711A" w:rsidRPr="00C5711A">
        <w:rPr>
          <w:rStyle w:val="AERbodytextChar"/>
          <w:rFonts w:eastAsiaTheme="minorHAnsi"/>
        </w:rPr>
        <w:t> per cent (for 2016–17)</w:t>
      </w:r>
      <w:r w:rsidR="00C5711A" w:rsidRPr="00847B64">
        <w:rPr>
          <w:rStyle w:val="FootnoteReference"/>
        </w:rPr>
        <w:footnoteReference w:id="8"/>
      </w:r>
      <w:r w:rsidR="00C5711A" w:rsidRPr="00C5711A">
        <w:rPr>
          <w:rStyle w:val="AERbodytextChar"/>
          <w:rFonts w:eastAsiaTheme="minorHAnsi"/>
        </w:rPr>
        <w:t xml:space="preserve">—compared to </w:t>
      </w:r>
      <w:r w:rsidR="00C5711A">
        <w:rPr>
          <w:rStyle w:val="AERbodytextChar"/>
          <w:rFonts w:eastAsiaTheme="minorHAnsi"/>
        </w:rPr>
        <w:t xml:space="preserve">AGN's proposed 8.66 per cent and </w:t>
      </w:r>
      <w:r w:rsidR="00C5711A" w:rsidRPr="00C5711A">
        <w:rPr>
          <w:rStyle w:val="AERbodytextChar"/>
          <w:rFonts w:eastAsiaTheme="minorHAnsi"/>
        </w:rPr>
        <w:t>the 10.28 per cent set for the 2011–16 access arrangement period.</w:t>
      </w:r>
      <w:r w:rsidR="00674C9B">
        <w:rPr>
          <w:rStyle w:val="AERbodytextChar"/>
          <w:rFonts w:eastAsiaTheme="minorHAnsi"/>
        </w:rPr>
        <w:t xml:space="preserve"> </w:t>
      </w:r>
      <w:r w:rsidR="00674C9B">
        <w:t>While we have considered the information before us in AGN's proposal and in submissions, our approach to the rate of return in this final decision is consistent with that in our draft decision and Rate of Return Guideline.</w:t>
      </w:r>
    </w:p>
    <w:p w:rsidR="00144F68" w:rsidRDefault="00144F68" w:rsidP="00D9287A">
      <w:pPr>
        <w:pStyle w:val="Heading2"/>
        <w:keepNext/>
      </w:pPr>
      <w:bookmarkStart w:id="28" w:name="_Toc448486475"/>
      <w:bookmarkStart w:id="29" w:name="_Toc448486476"/>
      <w:bookmarkStart w:id="30" w:name="_Toc448486477"/>
      <w:bookmarkStart w:id="31" w:name="_Toc448486478"/>
      <w:bookmarkStart w:id="32" w:name="_Toc448486479"/>
      <w:bookmarkStart w:id="33" w:name="_Ref447639736"/>
      <w:bookmarkStart w:id="34" w:name="_Toc451873360"/>
      <w:bookmarkEnd w:id="28"/>
      <w:bookmarkEnd w:id="29"/>
      <w:bookmarkEnd w:id="30"/>
      <w:bookmarkEnd w:id="31"/>
      <w:bookmarkEnd w:id="32"/>
      <w:r>
        <w:t>Key differences between our draft and final decisions</w:t>
      </w:r>
      <w:bookmarkEnd w:id="33"/>
      <w:bookmarkEnd w:id="34"/>
    </w:p>
    <w:p w:rsidR="00C5711A" w:rsidRDefault="00C5711A" w:rsidP="00D9287A">
      <w:pPr>
        <w:keepNext/>
      </w:pPr>
      <w:r>
        <w:t>While our approved forecast revenue requirement is less than AGN proposed, it is higher than our draft decision.</w:t>
      </w:r>
    </w:p>
    <w:p w:rsidR="00AC6043" w:rsidRDefault="00AC6043" w:rsidP="00AC6043">
      <w:r>
        <w:fldChar w:fldCharType="begin"/>
      </w:r>
      <w:r>
        <w:instrText xml:space="preserve"> REF _Ref447641330 \h </w:instrText>
      </w:r>
      <w:r>
        <w:fldChar w:fldCharType="separate"/>
      </w:r>
      <w:r w:rsidR="006E1111">
        <w:t xml:space="preserve">Figure </w:t>
      </w:r>
      <w:r w:rsidR="006E1111">
        <w:rPr>
          <w:noProof/>
        </w:rPr>
        <w:t>4</w:t>
      </w:r>
      <w:r>
        <w:fldChar w:fldCharType="end"/>
      </w:r>
      <w:r>
        <w:t xml:space="preserve"> compares our final decision on each of the revenue building blocks to our draft decision</w:t>
      </w:r>
    </w:p>
    <w:p w:rsidR="00E67A61" w:rsidRDefault="00AC6043" w:rsidP="00D9287A">
      <w:pPr>
        <w:keepNext/>
      </w:pPr>
      <w:bookmarkStart w:id="35" w:name="_Ref447641330"/>
      <w:r>
        <w:t xml:space="preserve">Figure </w:t>
      </w:r>
      <w:fldSimple w:instr=" SEQ Figure \* ARABIC ">
        <w:r w:rsidR="006E1111">
          <w:rPr>
            <w:noProof/>
          </w:rPr>
          <w:t>4</w:t>
        </w:r>
      </w:fldSimple>
      <w:bookmarkEnd w:id="35"/>
      <w:r>
        <w:t xml:space="preserve"> AER's final decision </w:t>
      </w:r>
      <w:r w:rsidR="00046FB1">
        <w:t>and AGN’s revised proposal building block</w:t>
      </w:r>
      <w:r>
        <w:t xml:space="preserve"> components of total revenue </w:t>
      </w:r>
      <w:r w:rsidR="00046FB1">
        <w:t xml:space="preserve">– unsmoothed </w:t>
      </w:r>
      <w:r>
        <w:t xml:space="preserve">($million, </w:t>
      </w:r>
      <w:r w:rsidR="00046FB1">
        <w:t>nominal</w:t>
      </w:r>
      <w:r>
        <w:t>)</w:t>
      </w:r>
      <w:r w:rsidR="00882E8E" w:rsidRPr="00882E8E">
        <w:rPr>
          <w:noProof/>
          <w:lang w:eastAsia="en-AU"/>
        </w:rPr>
        <w:drawing>
          <wp:inline distT="0" distB="0" distL="0" distR="0" wp14:anchorId="0C503DCF" wp14:editId="7D5FE1BF">
            <wp:extent cx="5382895" cy="2949843"/>
            <wp:effectExtent l="0" t="0" r="825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2949843"/>
                    </a:xfrm>
                    <a:prstGeom prst="rect">
                      <a:avLst/>
                    </a:prstGeom>
                    <a:noFill/>
                    <a:ln>
                      <a:noFill/>
                    </a:ln>
                  </pic:spPr>
                </pic:pic>
              </a:graphicData>
            </a:graphic>
          </wp:inline>
        </w:drawing>
      </w:r>
    </w:p>
    <w:p w:rsidR="00A41D26" w:rsidRDefault="00A41D26" w:rsidP="00D9287A">
      <w:pPr>
        <w:pStyle w:val="AERtablesource"/>
        <w:keepNext/>
      </w:pPr>
      <w:r w:rsidRPr="007A5A6C">
        <w:rPr>
          <w:rFonts w:eastAsia="Calibri"/>
        </w:rPr>
        <w:t xml:space="preserve">Source: </w:t>
      </w:r>
      <w:r w:rsidRPr="007A5A6C">
        <w:rPr>
          <w:rFonts w:eastAsia="Calibri"/>
        </w:rPr>
        <w:tab/>
      </w:r>
      <w:r w:rsidRPr="00CB6E5B">
        <w:t>AER analysis</w:t>
      </w:r>
      <w:r>
        <w:t>.</w:t>
      </w:r>
      <w:r w:rsidRPr="00CB6E5B">
        <w:t xml:space="preserve">  </w:t>
      </w:r>
    </w:p>
    <w:p w:rsidR="00144F68" w:rsidRDefault="00144F68" w:rsidP="00144F68">
      <w:r>
        <w:t xml:space="preserve">In response to our draft decision we received further information from a number of sources. AGN submitted </w:t>
      </w:r>
      <w:r w:rsidR="00266A3F">
        <w:t>a</w:t>
      </w:r>
      <w:r>
        <w:t xml:space="preserve"> revised proposal on 6 January 2016. It also provided further material in a submission on 4 February 2016, and in response to our information requests</w:t>
      </w:r>
      <w:r w:rsidR="00266A3F">
        <w:t xml:space="preserve"> about its revised proposal</w:t>
      </w:r>
      <w:r>
        <w:t>. We received submissions from AGN's users and other stakeholders on our draft decision and AGN's revised proposal</w:t>
      </w:r>
      <w:r w:rsidR="00674C9B">
        <w:t xml:space="preserve"> (listed in Appendix </w:t>
      </w:r>
      <w:r w:rsidR="00674C9B">
        <w:fldChar w:fldCharType="begin"/>
      </w:r>
      <w:r w:rsidR="00674C9B">
        <w:instrText xml:space="preserve"> REF _Ref450143694 \r \h </w:instrText>
      </w:r>
      <w:r w:rsidR="00674C9B">
        <w:fldChar w:fldCharType="separate"/>
      </w:r>
      <w:r w:rsidR="006E1111">
        <w:t>A</w:t>
      </w:r>
      <w:r w:rsidR="00674C9B">
        <w:fldChar w:fldCharType="end"/>
      </w:r>
      <w:r w:rsidR="00674C9B">
        <w:t xml:space="preserve"> to this Overview</w:t>
      </w:r>
      <w:r w:rsidR="00B95A89">
        <w:t>)</w:t>
      </w:r>
      <w:r>
        <w:t xml:space="preserve">. We </w:t>
      </w:r>
      <w:r w:rsidR="00266A3F">
        <w:t>have had regard to</w:t>
      </w:r>
      <w:r>
        <w:t xml:space="preserve"> </w:t>
      </w:r>
      <w:r w:rsidR="00266A3F">
        <w:t xml:space="preserve">all of </w:t>
      </w:r>
      <w:r>
        <w:t xml:space="preserve">this information in reaching our final decision. </w:t>
      </w:r>
    </w:p>
    <w:p w:rsidR="00144F68" w:rsidRPr="00144F68" w:rsidRDefault="00144F68" w:rsidP="00144F68">
      <w:r>
        <w:t xml:space="preserve">A number of aspects of our decision on AGN's forecast revenue have </w:t>
      </w:r>
      <w:r w:rsidRPr="00144F68">
        <w:t xml:space="preserve">therefore changed since our draft decision. </w:t>
      </w:r>
    </w:p>
    <w:p w:rsidR="003D1B37" w:rsidRDefault="00BC6C9D" w:rsidP="00B95A89">
      <w:r w:rsidRPr="00073335">
        <w:t>In its original proposal</w:t>
      </w:r>
      <w:r w:rsidR="00D338AB">
        <w:t>,</w:t>
      </w:r>
      <w:r w:rsidRPr="00073335">
        <w:t xml:space="preserve"> AGN proposed a rate of return of 7.23 per cent, which we did not accept. In its revised proposal, AGN noted </w:t>
      </w:r>
      <w:r w:rsidR="000143C4">
        <w:t>the</w:t>
      </w:r>
      <w:r w:rsidRPr="00073335">
        <w:t xml:space="preserve"> pending decision from the Australian Competition Tribunal </w:t>
      </w:r>
      <w:r>
        <w:t xml:space="preserve">relating to </w:t>
      </w:r>
      <w:r w:rsidRPr="00073335">
        <w:t>the limited merits review process for electricity distributors in NSW and the ACT and for Jemena Gas Networks' gas distribution network in NSW on 26 February 2016. "[T]o cover all possible outcomes from the Tribunal"</w:t>
      </w:r>
      <w:r w:rsidRPr="00073335">
        <w:rPr>
          <w:rStyle w:val="FootnoteReference"/>
        </w:rPr>
        <w:footnoteReference w:id="9"/>
      </w:r>
      <w:r w:rsidRPr="00073335">
        <w:t xml:space="preserve">, AGN changed its approach to </w:t>
      </w:r>
      <w:r>
        <w:t xml:space="preserve">the </w:t>
      </w:r>
      <w:r w:rsidRPr="00073335">
        <w:t>calculation of the rate of return and increased its proposed rate of return to 8.66 per cent.</w:t>
      </w:r>
      <w:r>
        <w:t xml:space="preserve"> </w:t>
      </w:r>
      <w:r w:rsidRPr="00073335">
        <w:t xml:space="preserve">The higher rate of return in AGN's revised proposal is largely driven by </w:t>
      </w:r>
      <w:r>
        <w:t>a change in its approach</w:t>
      </w:r>
      <w:r w:rsidRPr="00073335">
        <w:t xml:space="preserve"> to </w:t>
      </w:r>
      <w:r>
        <w:t>estimating the return on debt</w:t>
      </w:r>
      <w:r w:rsidRPr="00073335">
        <w:t xml:space="preserve">. AGN previously proposed to calculate its return on debt using a hybrid transition which combines a gradual transition of the base rate to a trailing average and a backwards looking debt risk premium. However, </w:t>
      </w:r>
      <w:r>
        <w:t>in its revised proposal AGN</w:t>
      </w:r>
      <w:r w:rsidRPr="00073335">
        <w:t xml:space="preserve"> propose</w:t>
      </w:r>
      <w:r w:rsidR="00B95A89">
        <w:t>d</w:t>
      </w:r>
      <w:r w:rsidRPr="00073335">
        <w:t xml:space="preserve"> an immediate transition to a trailing average (using both a backwards looking base rate and debt risk premium). This approach is more favourable to AGN in revenue terms than </w:t>
      </w:r>
      <w:r>
        <w:t>w</w:t>
      </w:r>
      <w:r w:rsidRPr="00073335">
        <w:t>hat it originally proposed.</w:t>
      </w:r>
      <w:r>
        <w:t xml:space="preserve"> </w:t>
      </w:r>
    </w:p>
    <w:p w:rsidR="00D61550" w:rsidRDefault="00BC6C9D" w:rsidP="003D1B37">
      <w:r>
        <w:t xml:space="preserve">While </w:t>
      </w:r>
      <w:r w:rsidR="00D61550">
        <w:t xml:space="preserve">our </w:t>
      </w:r>
      <w:r w:rsidR="00037023">
        <w:t xml:space="preserve">approach to the rate of return has not changed, our </w:t>
      </w:r>
      <w:r w:rsidR="00D61550">
        <w:t xml:space="preserve">final decision updates the rate of return to reflect data from the approved averaging periods for the return on equity and debt. The </w:t>
      </w:r>
      <w:r w:rsidR="00A700B7">
        <w:t>6.15</w:t>
      </w:r>
      <w:r w:rsidR="00D61550">
        <w:t xml:space="preserve"> per cent rate of return approved in this final decision is higher than our draft decision of 6.02 per cent (see section </w:t>
      </w:r>
      <w:r w:rsidR="00D61550">
        <w:fldChar w:fldCharType="begin"/>
      </w:r>
      <w:r w:rsidR="00D61550">
        <w:instrText xml:space="preserve"> REF _Ref435793306 \r \h </w:instrText>
      </w:r>
      <w:r w:rsidR="00D61550">
        <w:fldChar w:fldCharType="separate"/>
      </w:r>
      <w:r w:rsidR="006E1111">
        <w:t>4.2</w:t>
      </w:r>
      <w:r w:rsidR="00D61550">
        <w:fldChar w:fldCharType="end"/>
      </w:r>
      <w:r w:rsidR="00D61550">
        <w:t xml:space="preserve">). </w:t>
      </w:r>
    </w:p>
    <w:p w:rsidR="003D1B37" w:rsidRDefault="003D1B37" w:rsidP="00B95A89">
      <w:r>
        <w:t>Other components of our decision have also changed, including:</w:t>
      </w:r>
    </w:p>
    <w:p w:rsidR="00D61550" w:rsidRDefault="00BC6C9D" w:rsidP="00D61550">
      <w:pPr>
        <w:pStyle w:val="AERbulletlistfirststyle"/>
      </w:pPr>
      <w:r>
        <w:t>Capital expenditure—</w:t>
      </w:r>
      <w:r w:rsidR="00D61550">
        <w:t>our approved total capex forecast of $550.5 million</w:t>
      </w:r>
      <w:r w:rsidR="00D61550" w:rsidRPr="005C5059">
        <w:t xml:space="preserve"> ($2014</w:t>
      </w:r>
      <w:r w:rsidR="00D61550">
        <w:t>–</w:t>
      </w:r>
      <w:r w:rsidR="00D61550" w:rsidRPr="005C5059">
        <w:t>15)</w:t>
      </w:r>
      <w:r w:rsidR="00D61550">
        <w:t xml:space="preserve"> is 41.4 per cent higher than our draft decision (see section </w:t>
      </w:r>
      <w:r w:rsidR="00D61550">
        <w:fldChar w:fldCharType="begin"/>
      </w:r>
      <w:r w:rsidR="00D61550">
        <w:instrText xml:space="preserve"> REF _Ref448495055 \r \h </w:instrText>
      </w:r>
      <w:r w:rsidR="00D61550">
        <w:fldChar w:fldCharType="separate"/>
      </w:r>
      <w:r w:rsidR="006E1111">
        <w:t>4.5</w:t>
      </w:r>
      <w:r w:rsidR="00D61550">
        <w:fldChar w:fldCharType="end"/>
      </w:r>
      <w:r w:rsidR="00D61550">
        <w:t xml:space="preserve">). </w:t>
      </w:r>
    </w:p>
    <w:p w:rsidR="00144F68" w:rsidRDefault="00BC6C9D" w:rsidP="00144F68">
      <w:pPr>
        <w:pStyle w:val="AERbulletlistfirststyle"/>
      </w:pPr>
      <w:r>
        <w:t>Operating expenditure—</w:t>
      </w:r>
      <w:r w:rsidR="00144F68">
        <w:t>our approved total opex forecast of $363.62 million ($2015–16)</w:t>
      </w:r>
      <w:r w:rsidR="00266A3F">
        <w:t xml:space="preserve"> </w:t>
      </w:r>
      <w:r w:rsidR="00144F68">
        <w:t>is 4.6 per cent higher than our draft decision</w:t>
      </w:r>
      <w:r w:rsidR="00D61550">
        <w:t xml:space="preserve"> (see section </w:t>
      </w:r>
      <w:r w:rsidR="00D61550">
        <w:fldChar w:fldCharType="begin"/>
      </w:r>
      <w:r w:rsidR="00D61550">
        <w:instrText xml:space="preserve"> REF _Ref448495043 \r \h </w:instrText>
      </w:r>
      <w:r w:rsidR="00D61550">
        <w:fldChar w:fldCharType="separate"/>
      </w:r>
      <w:r w:rsidR="006E1111">
        <w:t>4.6</w:t>
      </w:r>
      <w:r w:rsidR="00D61550">
        <w:fldChar w:fldCharType="end"/>
      </w:r>
      <w:r w:rsidR="00D61550">
        <w:t>)</w:t>
      </w:r>
      <w:r w:rsidR="00144F68">
        <w:t xml:space="preserve">. </w:t>
      </w:r>
    </w:p>
    <w:p w:rsidR="00EE65A5" w:rsidRDefault="00EE65A5" w:rsidP="00D9287A">
      <w:pPr>
        <w:pStyle w:val="Heading2"/>
        <w:keepNext/>
      </w:pPr>
      <w:bookmarkStart w:id="36" w:name="_Toc451873361"/>
      <w:r>
        <w:t>Expected impact of decision on gas bills</w:t>
      </w:r>
      <w:bookmarkEnd w:id="36"/>
    </w:p>
    <w:p w:rsidR="00EE65A5" w:rsidRPr="00671C6F" w:rsidRDefault="00EE65A5" w:rsidP="00D9287A">
      <w:pPr>
        <w:keepNext/>
        <w:numPr>
          <w:ilvl w:val="0"/>
          <w:numId w:val="24"/>
        </w:numPr>
        <w:rPr>
          <w:rStyle w:val="AERbody"/>
        </w:rPr>
      </w:pPr>
      <w:r w:rsidRPr="00671C6F">
        <w:rPr>
          <w:rStyle w:val="AERbody"/>
        </w:rPr>
        <w:t xml:space="preserve">The distribution charges from our final decision are lower on average over the 2016–21 access arrangement period than what AGN has proposed. </w:t>
      </w:r>
    </w:p>
    <w:p w:rsidR="00EE65A5" w:rsidRPr="00671C6F" w:rsidRDefault="00EE65A5" w:rsidP="00671C6F">
      <w:pPr>
        <w:rPr>
          <w:rStyle w:val="AERbody"/>
        </w:rPr>
      </w:pPr>
      <w:r w:rsidRPr="00671C6F">
        <w:rPr>
          <w:rStyle w:val="AERbody"/>
        </w:rPr>
        <w:t xml:space="preserve">For customers on AGN's South Australian network, distribution charges account for approximately 56 per cent of </w:t>
      </w:r>
      <w:r w:rsidR="004D36F6">
        <w:rPr>
          <w:rStyle w:val="AERbody"/>
        </w:rPr>
        <w:t>an</w:t>
      </w:r>
      <w:r w:rsidR="004D36F6" w:rsidRPr="00671C6F">
        <w:rPr>
          <w:rStyle w:val="AERbody"/>
        </w:rPr>
        <w:t xml:space="preserve"> </w:t>
      </w:r>
      <w:r w:rsidRPr="00671C6F">
        <w:rPr>
          <w:rStyle w:val="AERbody"/>
        </w:rPr>
        <w:t>annual gas bill.</w:t>
      </w:r>
      <w:r w:rsidRPr="00183CCF">
        <w:rPr>
          <w:rStyle w:val="FootnoteReference"/>
        </w:rPr>
        <w:footnoteReference w:id="10"/>
      </w:r>
      <w:r w:rsidRPr="00183CCF">
        <w:rPr>
          <w:rStyle w:val="FootnoteReference"/>
        </w:rPr>
        <w:t xml:space="preserve"> </w:t>
      </w:r>
      <w:r w:rsidRPr="00671C6F">
        <w:rPr>
          <w:rStyle w:val="AERbody"/>
        </w:rPr>
        <w:t xml:space="preserve">Other factors, such as a customer’s consumption, their choice of retail tariff, and transmission pipeline and wholesale costs, will also affect gas bills. We cannot say with certainty how these </w:t>
      </w:r>
      <w:r w:rsidR="004D36F6">
        <w:rPr>
          <w:rStyle w:val="AERbody"/>
        </w:rPr>
        <w:t xml:space="preserve">factors </w:t>
      </w:r>
      <w:r w:rsidRPr="00671C6F">
        <w:rPr>
          <w:rStyle w:val="AERbody"/>
        </w:rPr>
        <w:t>may change over the 2016–21 access arrangement period.</w:t>
      </w:r>
    </w:p>
    <w:p w:rsidR="00EE65A5" w:rsidRPr="00671C6F" w:rsidRDefault="00EE65A5" w:rsidP="00671C6F">
      <w:pPr>
        <w:rPr>
          <w:rStyle w:val="AERbody"/>
        </w:rPr>
      </w:pPr>
      <w:r w:rsidRPr="00671C6F">
        <w:rPr>
          <w:rStyle w:val="AERbody"/>
        </w:rPr>
        <w:t xml:space="preserve">For illustrative purposes, however, if we </w:t>
      </w:r>
      <w:r w:rsidR="004D36F6">
        <w:rPr>
          <w:rStyle w:val="AERbody"/>
        </w:rPr>
        <w:t>hold</w:t>
      </w:r>
      <w:r w:rsidRPr="00671C6F">
        <w:rPr>
          <w:rStyle w:val="AERbody"/>
        </w:rPr>
        <w:t xml:space="preserve"> other components of the bill </w:t>
      </w:r>
      <w:r w:rsidR="004D36F6">
        <w:rPr>
          <w:rStyle w:val="AERbody"/>
        </w:rPr>
        <w:t>constant</w:t>
      </w:r>
      <w:r w:rsidRPr="00671C6F">
        <w:rPr>
          <w:rStyle w:val="AERbody"/>
        </w:rPr>
        <w:t xml:space="preserve"> and </w:t>
      </w:r>
      <w:r w:rsidR="004D36F6">
        <w:rPr>
          <w:rStyle w:val="AERbody"/>
        </w:rPr>
        <w:t xml:space="preserve">assume that retailers pass </w:t>
      </w:r>
      <w:r w:rsidRPr="00671C6F">
        <w:rPr>
          <w:rStyle w:val="AERbody"/>
        </w:rPr>
        <w:t>the lower distribution charges that would flow from this final decision through to customers, we estimate that:</w:t>
      </w:r>
    </w:p>
    <w:p w:rsidR="00EE65A5" w:rsidRPr="00BC6C9D" w:rsidRDefault="00EE65A5" w:rsidP="0083259E">
      <w:pPr>
        <w:pStyle w:val="AERbulletlistfirststyle"/>
        <w:rPr>
          <w:rStyle w:val="AERtexthighlight"/>
          <w:shd w:val="clear" w:color="auto" w:fill="auto"/>
        </w:rPr>
      </w:pPr>
      <w:r w:rsidRPr="00671C6F">
        <w:rPr>
          <w:rStyle w:val="AERtexthighlight"/>
          <w:shd w:val="clear" w:color="auto" w:fill="auto"/>
        </w:rPr>
        <w:t>The average annual gas bill for residential customers in South Australia would be expected to reduce by $</w:t>
      </w:r>
      <w:r w:rsidRPr="0083259E">
        <w:rPr>
          <w:rStyle w:val="AERtexthighlight"/>
          <w:shd w:val="clear" w:color="auto" w:fill="auto"/>
        </w:rPr>
        <w:t>1</w:t>
      </w:r>
      <w:r w:rsidR="00FD201A" w:rsidRPr="00BC6C9D">
        <w:rPr>
          <w:rStyle w:val="AERtexthighlight"/>
          <w:shd w:val="clear" w:color="auto" w:fill="auto"/>
        </w:rPr>
        <w:t>44</w:t>
      </w:r>
      <w:r w:rsidRPr="0083259E">
        <w:rPr>
          <w:rStyle w:val="AERtexthighlight"/>
          <w:shd w:val="clear" w:color="auto" w:fill="auto"/>
        </w:rPr>
        <w:t xml:space="preserve"> (or 12.</w:t>
      </w:r>
      <w:r w:rsidR="00FD201A" w:rsidRPr="00BC6C9D">
        <w:rPr>
          <w:rStyle w:val="AERtexthighlight"/>
          <w:shd w:val="clear" w:color="auto" w:fill="auto"/>
        </w:rPr>
        <w:t>4</w:t>
      </w:r>
      <w:r w:rsidRPr="00671C6F">
        <w:rPr>
          <w:rStyle w:val="AERtexthighlight"/>
          <w:shd w:val="clear" w:color="auto" w:fill="auto"/>
        </w:rPr>
        <w:t xml:space="preserve"> per cent) in 2016–17 followed by average increases of </w:t>
      </w:r>
      <w:r w:rsidRPr="0083259E">
        <w:rPr>
          <w:rStyle w:val="AERtexthighlight"/>
          <w:shd w:val="clear" w:color="auto" w:fill="auto"/>
        </w:rPr>
        <w:t>$</w:t>
      </w:r>
      <w:r w:rsidR="007B1009" w:rsidRPr="0083259E">
        <w:rPr>
          <w:rStyle w:val="AERtexthighlight"/>
          <w:shd w:val="clear" w:color="auto" w:fill="auto"/>
        </w:rPr>
        <w:t>3</w:t>
      </w:r>
      <w:r w:rsidR="00FD201A" w:rsidRPr="00BC6C9D">
        <w:rPr>
          <w:rStyle w:val="AERtexthighlight"/>
          <w:shd w:val="clear" w:color="auto" w:fill="auto"/>
        </w:rPr>
        <w:t>6</w:t>
      </w:r>
      <w:r w:rsidRPr="003867C4">
        <w:rPr>
          <w:rStyle w:val="AERtexthighlight"/>
          <w:shd w:val="clear" w:color="auto" w:fill="auto"/>
        </w:rPr>
        <w:t xml:space="preserve"> (or </w:t>
      </w:r>
      <w:r w:rsidR="007B1009" w:rsidRPr="0083259E">
        <w:rPr>
          <w:rStyle w:val="AERtexthighlight"/>
          <w:shd w:val="clear" w:color="auto" w:fill="auto"/>
        </w:rPr>
        <w:t>3.</w:t>
      </w:r>
      <w:r w:rsidR="00FD201A" w:rsidRPr="00BC6C9D">
        <w:rPr>
          <w:rStyle w:val="AERtexthighlight"/>
          <w:shd w:val="clear" w:color="auto" w:fill="auto"/>
        </w:rPr>
        <w:t>4</w:t>
      </w:r>
      <w:r w:rsidRPr="003867C4">
        <w:rPr>
          <w:rStyle w:val="AERtexthighlight"/>
          <w:shd w:val="clear" w:color="auto" w:fill="auto"/>
        </w:rPr>
        <w:t xml:space="preserve"> per cent) per year over 2017–21 ($nominal). By comparison, h</w:t>
      </w:r>
      <w:r w:rsidRPr="0083259E">
        <w:rPr>
          <w:rStyle w:val="AERtexthighlight"/>
          <w:shd w:val="clear" w:color="auto" w:fill="auto"/>
        </w:rPr>
        <w:t>ad we accepted AGN's re</w:t>
      </w:r>
      <w:r w:rsidRPr="00A676B0">
        <w:rPr>
          <w:rStyle w:val="AERtexthighlight"/>
          <w:shd w:val="clear" w:color="auto" w:fill="auto"/>
        </w:rPr>
        <w:t>vised proposal, the average annual gas bill for residential customers would reduce by $</w:t>
      </w:r>
      <w:r w:rsidR="007B1009" w:rsidRPr="003867C4">
        <w:rPr>
          <w:rStyle w:val="AERtexthighlight"/>
          <w:shd w:val="clear" w:color="auto" w:fill="auto"/>
        </w:rPr>
        <w:t>2</w:t>
      </w:r>
      <w:r w:rsidRPr="0083259E">
        <w:rPr>
          <w:rStyle w:val="AERtexthighlight"/>
          <w:shd w:val="clear" w:color="auto" w:fill="auto"/>
        </w:rPr>
        <w:t xml:space="preserve">1 (or </w:t>
      </w:r>
      <w:r w:rsidR="007B1009" w:rsidRPr="0083259E">
        <w:rPr>
          <w:rStyle w:val="AERtexthighlight"/>
          <w:shd w:val="clear" w:color="auto" w:fill="auto"/>
        </w:rPr>
        <w:t>1.8</w:t>
      </w:r>
      <w:r w:rsidRPr="0083259E">
        <w:rPr>
          <w:rStyle w:val="AERtexthighlight"/>
          <w:shd w:val="clear" w:color="auto" w:fill="auto"/>
        </w:rPr>
        <w:t xml:space="preserve"> per cent) in 2016–17 followed by average increases of $5</w:t>
      </w:r>
      <w:r w:rsidR="007B1009" w:rsidRPr="0083259E">
        <w:rPr>
          <w:rStyle w:val="AERtexthighlight"/>
          <w:shd w:val="clear" w:color="auto" w:fill="auto"/>
        </w:rPr>
        <w:t>4</w:t>
      </w:r>
      <w:r w:rsidRPr="0083259E">
        <w:rPr>
          <w:rStyle w:val="AERtexthighlight"/>
          <w:shd w:val="clear" w:color="auto" w:fill="auto"/>
        </w:rPr>
        <w:t xml:space="preserve"> (or 4.</w:t>
      </w:r>
      <w:r w:rsidR="006B79E1" w:rsidRPr="00BC6C9D">
        <w:rPr>
          <w:rStyle w:val="AERtexthighlight"/>
          <w:shd w:val="clear" w:color="auto" w:fill="auto"/>
        </w:rPr>
        <w:t>4</w:t>
      </w:r>
      <w:r w:rsidRPr="003867C4">
        <w:rPr>
          <w:rStyle w:val="AERtexthighlight"/>
          <w:shd w:val="clear" w:color="auto" w:fill="auto"/>
        </w:rPr>
        <w:t> per cent) per year over 2017–21.</w:t>
      </w:r>
      <w:r w:rsidRPr="00B95A89">
        <w:rPr>
          <w:rStyle w:val="FootnoteReference"/>
        </w:rPr>
        <w:footnoteReference w:id="11"/>
      </w:r>
      <w:r w:rsidRPr="00BC6C9D">
        <w:rPr>
          <w:rStyle w:val="FootnoteReference"/>
          <w:vertAlign w:val="baseline"/>
        </w:rPr>
        <w:t xml:space="preserve"> </w:t>
      </w:r>
    </w:p>
    <w:p w:rsidR="00EE65A5" w:rsidRPr="00887E64" w:rsidRDefault="00EE65A5" w:rsidP="00DB40E7">
      <w:pPr>
        <w:pStyle w:val="AERbulletlistfirststyle"/>
        <w:rPr>
          <w:rStyle w:val="AERtexthighlight"/>
        </w:rPr>
      </w:pPr>
      <w:r w:rsidRPr="00A676B0">
        <w:rPr>
          <w:rStyle w:val="AERtexthighlight"/>
          <w:shd w:val="clear" w:color="auto" w:fill="auto"/>
        </w:rPr>
        <w:t>The average a</w:t>
      </w:r>
      <w:r w:rsidRPr="002F4C08">
        <w:rPr>
          <w:rStyle w:val="AERtexthighlight"/>
          <w:shd w:val="clear" w:color="auto" w:fill="auto"/>
        </w:rPr>
        <w:t>nnual gas bill for small business customer</w:t>
      </w:r>
      <w:r w:rsidR="004B5219" w:rsidRPr="00A676B0">
        <w:rPr>
          <w:rStyle w:val="AERtexthighlight"/>
          <w:shd w:val="clear" w:color="auto" w:fill="auto"/>
        </w:rPr>
        <w:t>s</w:t>
      </w:r>
      <w:r w:rsidRPr="003867C4">
        <w:rPr>
          <w:rStyle w:val="AERtexthighlight"/>
          <w:shd w:val="clear" w:color="auto" w:fill="auto"/>
        </w:rPr>
        <w:t xml:space="preserve"> in So</w:t>
      </w:r>
      <w:r w:rsidRPr="0083259E">
        <w:rPr>
          <w:rStyle w:val="AERtexthighlight"/>
          <w:shd w:val="clear" w:color="auto" w:fill="auto"/>
        </w:rPr>
        <w:t>uth Australia would be expected to reduce by $7</w:t>
      </w:r>
      <w:r w:rsidR="00FD201A" w:rsidRPr="00BC6C9D">
        <w:rPr>
          <w:rStyle w:val="AERtexthighlight"/>
          <w:shd w:val="clear" w:color="auto" w:fill="auto"/>
        </w:rPr>
        <w:t>50</w:t>
      </w:r>
      <w:r w:rsidRPr="0083259E">
        <w:rPr>
          <w:rStyle w:val="AERtexthighlight"/>
          <w:shd w:val="clear" w:color="auto" w:fill="auto"/>
        </w:rPr>
        <w:t xml:space="preserve"> (</w:t>
      </w:r>
      <w:r w:rsidRPr="00DB40E7">
        <w:rPr>
          <w:rStyle w:val="AERtexthighlight"/>
          <w:shd w:val="clear" w:color="auto" w:fill="auto"/>
        </w:rPr>
        <w:t xml:space="preserve">or </w:t>
      </w:r>
      <w:r w:rsidR="00DB40E7" w:rsidRPr="00BC6C9D">
        <w:rPr>
          <w:rStyle w:val="AERtexthighlight"/>
          <w:shd w:val="clear" w:color="auto" w:fill="auto"/>
        </w:rPr>
        <w:t>12.0</w:t>
      </w:r>
      <w:r w:rsidRPr="00DB40E7">
        <w:rPr>
          <w:rStyle w:val="AERtexthighlight"/>
          <w:shd w:val="clear" w:color="auto" w:fill="auto"/>
        </w:rPr>
        <w:t xml:space="preserve"> per cent) in 2016–17 followed by average increases of $</w:t>
      </w:r>
      <w:r w:rsidR="005110A9" w:rsidRPr="00A676B0">
        <w:rPr>
          <w:rStyle w:val="AERtexthighlight"/>
          <w:shd w:val="clear" w:color="auto" w:fill="auto"/>
        </w:rPr>
        <w:t>1</w:t>
      </w:r>
      <w:r w:rsidR="00FD201A" w:rsidRPr="00BC6C9D">
        <w:rPr>
          <w:rStyle w:val="AERtexthighlight"/>
          <w:shd w:val="clear" w:color="auto" w:fill="auto"/>
        </w:rPr>
        <w:t>88</w:t>
      </w:r>
      <w:r w:rsidR="005110A9" w:rsidRPr="0083259E">
        <w:rPr>
          <w:rStyle w:val="AERtexthighlight"/>
          <w:shd w:val="clear" w:color="auto" w:fill="auto"/>
        </w:rPr>
        <w:t xml:space="preserve"> </w:t>
      </w:r>
      <w:r w:rsidRPr="0083259E">
        <w:rPr>
          <w:rStyle w:val="AERtexthighlight"/>
          <w:shd w:val="clear" w:color="auto" w:fill="auto"/>
        </w:rPr>
        <w:t xml:space="preserve">(or </w:t>
      </w:r>
      <w:r w:rsidR="005110A9" w:rsidRPr="0083259E">
        <w:rPr>
          <w:rStyle w:val="AERtexthighlight"/>
          <w:shd w:val="clear" w:color="auto" w:fill="auto"/>
        </w:rPr>
        <w:t>3.</w:t>
      </w:r>
      <w:r w:rsidR="00FD201A" w:rsidRPr="00BC6C9D">
        <w:rPr>
          <w:rStyle w:val="AERtexthighlight"/>
          <w:shd w:val="clear" w:color="auto" w:fill="auto"/>
        </w:rPr>
        <w:t>2</w:t>
      </w:r>
      <w:r w:rsidRPr="003867C4">
        <w:rPr>
          <w:rStyle w:val="AERtexthighlight"/>
          <w:shd w:val="clear" w:color="auto" w:fill="auto"/>
        </w:rPr>
        <w:t xml:space="preserve"> per ce</w:t>
      </w:r>
      <w:r w:rsidRPr="00DB40E7">
        <w:rPr>
          <w:rStyle w:val="AERtexthighlight"/>
          <w:shd w:val="clear" w:color="auto" w:fill="auto"/>
        </w:rPr>
        <w:t>nt) per year over 2017 –21 ($nominal). Had we accepted AGN's revised proposal, the average annual gas bill for small business customers would red</w:t>
      </w:r>
      <w:r w:rsidRPr="00722523">
        <w:rPr>
          <w:rStyle w:val="AERtexthighlight"/>
          <w:shd w:val="clear" w:color="auto" w:fill="auto"/>
        </w:rPr>
        <w:t>uce by $</w:t>
      </w:r>
      <w:r w:rsidR="005110A9" w:rsidRPr="00A676B0">
        <w:rPr>
          <w:rStyle w:val="AERtexthighlight"/>
          <w:shd w:val="clear" w:color="auto" w:fill="auto"/>
        </w:rPr>
        <w:t>1</w:t>
      </w:r>
      <w:r w:rsidR="006B79E1" w:rsidRPr="00BC6C9D">
        <w:rPr>
          <w:rStyle w:val="AERtexthighlight"/>
          <w:shd w:val="clear" w:color="auto" w:fill="auto"/>
        </w:rPr>
        <w:t>12</w:t>
      </w:r>
      <w:r w:rsidR="005110A9" w:rsidRPr="003867C4">
        <w:rPr>
          <w:rStyle w:val="AERtexthighlight"/>
          <w:shd w:val="clear" w:color="auto" w:fill="auto"/>
        </w:rPr>
        <w:t xml:space="preserve"> </w:t>
      </w:r>
      <w:r w:rsidRPr="0083259E">
        <w:rPr>
          <w:rStyle w:val="AERtexthighlight"/>
          <w:shd w:val="clear" w:color="auto" w:fill="auto"/>
        </w:rPr>
        <w:t xml:space="preserve">(or </w:t>
      </w:r>
      <w:r w:rsidR="005110A9" w:rsidRPr="0083259E">
        <w:rPr>
          <w:rStyle w:val="AERtexthighlight"/>
          <w:shd w:val="clear" w:color="auto" w:fill="auto"/>
        </w:rPr>
        <w:t>1.</w:t>
      </w:r>
      <w:r w:rsidR="006B79E1" w:rsidRPr="00BC6C9D">
        <w:rPr>
          <w:rStyle w:val="AERtexthighlight"/>
          <w:shd w:val="clear" w:color="auto" w:fill="auto"/>
        </w:rPr>
        <w:t>8</w:t>
      </w:r>
      <w:r w:rsidRPr="003867C4">
        <w:rPr>
          <w:rStyle w:val="AERtexthighlight"/>
          <w:shd w:val="clear" w:color="auto" w:fill="auto"/>
        </w:rPr>
        <w:t xml:space="preserve"> per cent) in 2016–17 followed by average increases of $2</w:t>
      </w:r>
      <w:r w:rsidR="005110A9" w:rsidRPr="0083259E">
        <w:rPr>
          <w:rStyle w:val="AERtexthighlight"/>
          <w:shd w:val="clear" w:color="auto" w:fill="auto"/>
        </w:rPr>
        <w:t>8</w:t>
      </w:r>
      <w:r w:rsidR="006B79E1" w:rsidRPr="00BC6C9D">
        <w:rPr>
          <w:rStyle w:val="AERtexthighlight"/>
          <w:shd w:val="clear" w:color="auto" w:fill="auto"/>
        </w:rPr>
        <w:t>3</w:t>
      </w:r>
      <w:r w:rsidRPr="003867C4">
        <w:rPr>
          <w:rStyle w:val="AERtexthighlight"/>
          <w:shd w:val="clear" w:color="auto" w:fill="auto"/>
        </w:rPr>
        <w:t xml:space="preserve"> (</w:t>
      </w:r>
      <w:r w:rsidRPr="002F4C08">
        <w:rPr>
          <w:rStyle w:val="AERtexthighlight"/>
          <w:shd w:val="clear" w:color="auto" w:fill="auto"/>
        </w:rPr>
        <w:t>or 4.</w:t>
      </w:r>
      <w:r w:rsidR="006B79E1" w:rsidRPr="00BC6C9D">
        <w:rPr>
          <w:rStyle w:val="AERtexthighlight"/>
          <w:shd w:val="clear" w:color="auto" w:fill="auto"/>
        </w:rPr>
        <w:t>3</w:t>
      </w:r>
      <w:r w:rsidRPr="003867C4">
        <w:rPr>
          <w:rStyle w:val="AERtexthighlight"/>
          <w:shd w:val="clear" w:color="auto" w:fill="auto"/>
        </w:rPr>
        <w:t xml:space="preserve"> per cent) per year</w:t>
      </w:r>
      <w:r w:rsidRPr="00930A79">
        <w:rPr>
          <w:rStyle w:val="AERtexthighlight"/>
          <w:shd w:val="clear" w:color="auto" w:fill="auto"/>
        </w:rPr>
        <w:t xml:space="preserve"> over 2017–21.</w:t>
      </w:r>
      <w:r w:rsidR="004B5219" w:rsidRPr="00183CCF">
        <w:rPr>
          <w:rStyle w:val="FootnoteReference"/>
        </w:rPr>
        <w:footnoteReference w:id="12"/>
      </w:r>
    </w:p>
    <w:p w:rsidR="00E15B75" w:rsidRPr="00845B52" w:rsidRDefault="00EE65A5" w:rsidP="00A403FE">
      <w:r w:rsidRPr="00671C6F">
        <w:rPr>
          <w:rStyle w:val="AERbody"/>
        </w:rPr>
        <w:t xml:space="preserve">We discuss the indicative impact of our final decision on annual gas bills further in section </w:t>
      </w:r>
      <w:r w:rsidRPr="00671C6F">
        <w:rPr>
          <w:rStyle w:val="AERbody"/>
        </w:rPr>
        <w:fldChar w:fldCharType="begin"/>
      </w:r>
      <w:r w:rsidRPr="00671C6F">
        <w:rPr>
          <w:rStyle w:val="AERbody"/>
        </w:rPr>
        <w:instrText xml:space="preserve"> REF _Ref447613911 \r \h  \* MERGEFORMAT </w:instrText>
      </w:r>
      <w:r w:rsidRPr="00671C6F">
        <w:rPr>
          <w:rStyle w:val="AERbody"/>
        </w:rPr>
      </w:r>
      <w:r w:rsidRPr="00671C6F">
        <w:rPr>
          <w:rStyle w:val="AERbody"/>
        </w:rPr>
        <w:fldChar w:fldCharType="separate"/>
      </w:r>
      <w:r w:rsidR="006E1111">
        <w:rPr>
          <w:rStyle w:val="AERbody"/>
        </w:rPr>
        <w:t>3.1.4</w:t>
      </w:r>
      <w:r w:rsidRPr="00671C6F">
        <w:rPr>
          <w:rStyle w:val="AERbody"/>
        </w:rPr>
        <w:fldChar w:fldCharType="end"/>
      </w:r>
      <w:r w:rsidRPr="00671C6F">
        <w:rPr>
          <w:rStyle w:val="AERbody"/>
        </w:rPr>
        <w:t xml:space="preserve"> of this overview.</w:t>
      </w:r>
    </w:p>
    <w:p w:rsidR="00CF00DE" w:rsidRDefault="00CF00DE" w:rsidP="00CF00DE">
      <w:pPr>
        <w:pStyle w:val="Heading1"/>
      </w:pPr>
      <w:bookmarkStart w:id="37" w:name="_Toc451873362"/>
      <w:bookmarkStart w:id="38" w:name="_Toc433016422"/>
      <w:bookmarkStart w:id="39" w:name="_Ref434479204"/>
      <w:bookmarkStart w:id="40" w:name="_Ref434479425"/>
      <w:bookmarkStart w:id="41" w:name="_Toc436037690"/>
      <w:bookmarkStart w:id="42" w:name="_Ref447611207"/>
      <w:r>
        <w:t>Total revenue</w:t>
      </w:r>
      <w:bookmarkEnd w:id="37"/>
      <w:r>
        <w:t xml:space="preserve"> </w:t>
      </w:r>
      <w:bookmarkEnd w:id="38"/>
      <w:bookmarkEnd w:id="39"/>
      <w:bookmarkEnd w:id="40"/>
      <w:bookmarkEnd w:id="41"/>
      <w:bookmarkEnd w:id="42"/>
    </w:p>
    <w:p w:rsidR="00CF00DE" w:rsidRDefault="00CF00DE" w:rsidP="00CF00DE">
      <w:pPr>
        <w:numPr>
          <w:ilvl w:val="0"/>
          <w:numId w:val="24"/>
        </w:numPr>
      </w:pPr>
      <w:r w:rsidRPr="007C3463">
        <w:t xml:space="preserve">The total revenue requirement is a forecast of the efficient cost of providing </w:t>
      </w:r>
      <w:r w:rsidR="00E55214">
        <w:t>the reference service</w:t>
      </w:r>
      <w:r w:rsidRPr="007C3463">
        <w:t xml:space="preserve"> over the access arrangement period. </w:t>
      </w:r>
    </w:p>
    <w:p w:rsidR="00CF00DE" w:rsidRDefault="00710A22" w:rsidP="00CF00DE">
      <w:pPr>
        <w:numPr>
          <w:ilvl w:val="0"/>
          <w:numId w:val="24"/>
        </w:numPr>
      </w:pPr>
      <w:r w:rsidRPr="00710A22">
        <w:t xml:space="preserve">AGN operates under a weighted average tariff cap. </w:t>
      </w:r>
      <w:r>
        <w:t>Its reference t</w:t>
      </w:r>
      <w:r w:rsidR="00CF00DE" w:rsidRPr="004D0BCD">
        <w:t xml:space="preserve">ariffs are derived from the total revenue requirement </w:t>
      </w:r>
      <w:r w:rsidR="00CF00DE" w:rsidRPr="000935F8">
        <w:rPr>
          <w:rStyle w:val="Emphasis"/>
        </w:rPr>
        <w:t>after</w:t>
      </w:r>
      <w:r w:rsidR="00CF00DE" w:rsidRPr="004D0BCD">
        <w:t xml:space="preserve"> consideration of demand for each tariff category. This means the tariffs we determine (including the means of varying the tariffs from year to year) are the binding constraint across the </w:t>
      </w:r>
      <w:r w:rsidR="00CF00DE">
        <w:t xml:space="preserve">2016–21 </w:t>
      </w:r>
      <w:r w:rsidR="00CF00DE" w:rsidRPr="004D0BCD">
        <w:t>access arrangement period</w:t>
      </w:r>
      <w:r w:rsidR="00CF00DE">
        <w:t>, rather than the total revenue requirement set in our decision</w:t>
      </w:r>
      <w:r w:rsidR="00CF00DE" w:rsidRPr="004D0BCD">
        <w:t>.</w:t>
      </w:r>
      <w:r w:rsidR="00CF00DE" w:rsidRPr="004D0BCD">
        <w:rPr>
          <w:rStyle w:val="FootnoteReference"/>
        </w:rPr>
        <w:footnoteReference w:id="13"/>
      </w:r>
    </w:p>
    <w:p w:rsidR="00CF00DE" w:rsidRDefault="00CF00DE" w:rsidP="00CF00DE">
      <w:pPr>
        <w:pStyle w:val="Heading3"/>
      </w:pPr>
      <w:bookmarkStart w:id="43" w:name="_Toc435706070"/>
      <w:bookmarkStart w:id="44" w:name="_Toc433016423"/>
      <w:bookmarkStart w:id="45" w:name="_Toc436037691"/>
      <w:bookmarkStart w:id="46" w:name="_Toc451873363"/>
      <w:bookmarkEnd w:id="43"/>
      <w:r>
        <w:t>The building block approach</w:t>
      </w:r>
      <w:bookmarkEnd w:id="44"/>
      <w:bookmarkEnd w:id="45"/>
      <w:bookmarkEnd w:id="46"/>
    </w:p>
    <w:p w:rsidR="00CF00DE" w:rsidRPr="00EE5F0C" w:rsidRDefault="00CF00DE" w:rsidP="00CF00DE">
      <w:pPr>
        <w:numPr>
          <w:ilvl w:val="0"/>
          <w:numId w:val="24"/>
        </w:numPr>
      </w:pPr>
      <w:r w:rsidRPr="00EE5F0C">
        <w:t xml:space="preserve">We </w:t>
      </w:r>
      <w:r w:rsidR="00E55214">
        <w:t>use</w:t>
      </w:r>
      <w:r w:rsidRPr="00EE5F0C">
        <w:t xml:space="preserve"> the building block approach to determine </w:t>
      </w:r>
      <w:r>
        <w:t>AGN's total revenue requirement</w:t>
      </w:r>
      <w:r w:rsidRPr="00EE5F0C">
        <w:t xml:space="preserve">—that is, we base the </w:t>
      </w:r>
      <w:r>
        <w:t>total revenue requirement on our estimate of the</w:t>
      </w:r>
      <w:r w:rsidRPr="00EE5F0C">
        <w:t xml:space="preserve"> efficient costs that </w:t>
      </w:r>
      <w:r>
        <w:t xml:space="preserve">AGN </w:t>
      </w:r>
      <w:r w:rsidRPr="00EE5F0C">
        <w:t xml:space="preserve">is likely to incur in providing </w:t>
      </w:r>
      <w:r w:rsidR="00E55214">
        <w:t>the reference service</w:t>
      </w:r>
      <w:r w:rsidRPr="00EE5F0C">
        <w:t>. The building block costs</w:t>
      </w:r>
      <w:r>
        <w:t xml:space="preserve">, as shown in </w:t>
      </w:r>
      <w:r>
        <w:fldChar w:fldCharType="begin"/>
      </w:r>
      <w:r>
        <w:instrText xml:space="preserve"> REF _Ref433875586 \h </w:instrText>
      </w:r>
      <w:r>
        <w:fldChar w:fldCharType="separate"/>
      </w:r>
      <w:r w:rsidR="006E1111" w:rsidRPr="00133A17">
        <w:t xml:space="preserve">Figure </w:t>
      </w:r>
      <w:r w:rsidR="006E1111">
        <w:rPr>
          <w:noProof/>
        </w:rPr>
        <w:t>5</w:t>
      </w:r>
      <w:r>
        <w:fldChar w:fldCharType="end"/>
      </w:r>
      <w:r>
        <w:t>,</w:t>
      </w:r>
      <w:r w:rsidRPr="00EE5F0C">
        <w:t xml:space="preserve"> include:</w:t>
      </w:r>
      <w:r w:rsidRPr="00EE5F0C">
        <w:rPr>
          <w:rStyle w:val="FootnoteReference"/>
        </w:rPr>
        <w:footnoteReference w:id="14"/>
      </w:r>
    </w:p>
    <w:p w:rsidR="00CF00DE" w:rsidRPr="00E64356" w:rsidRDefault="00CF00DE" w:rsidP="00CF00DE">
      <w:pPr>
        <w:pStyle w:val="AERbulletlistfirststyle"/>
      </w:pPr>
      <w:r w:rsidRPr="00EE5F0C">
        <w:t xml:space="preserve">return on </w:t>
      </w:r>
      <w:r w:rsidRPr="00E64356">
        <w:t xml:space="preserve">the projected capital base </w:t>
      </w:r>
      <w:r>
        <w:t>(return on capital)</w:t>
      </w:r>
    </w:p>
    <w:p w:rsidR="00CF00DE" w:rsidRPr="00E64356" w:rsidRDefault="00CF00DE" w:rsidP="00CF00DE">
      <w:pPr>
        <w:pStyle w:val="AERbulletlistfirststyle"/>
      </w:pPr>
      <w:r w:rsidRPr="00EE5F0C">
        <w:t>depreciation o</w:t>
      </w:r>
      <w:r>
        <w:t>f</w:t>
      </w:r>
      <w:r w:rsidRPr="00E64356">
        <w:t xml:space="preserve"> the projected capital base </w:t>
      </w:r>
      <w:r>
        <w:t>(return of capital)</w:t>
      </w:r>
    </w:p>
    <w:p w:rsidR="00CF00DE" w:rsidRPr="00E64356" w:rsidRDefault="00CF00DE" w:rsidP="00CF00DE">
      <w:pPr>
        <w:pStyle w:val="AERbulletlistfirststyle"/>
      </w:pPr>
      <w:r w:rsidRPr="00EE5F0C">
        <w:t>the estimated cost of corporate income tax</w:t>
      </w:r>
    </w:p>
    <w:p w:rsidR="00CF00DE" w:rsidRPr="00E64356" w:rsidRDefault="00CF00DE" w:rsidP="00CF00DE">
      <w:pPr>
        <w:pStyle w:val="AERbulletlistfirststyle"/>
      </w:pPr>
      <w:r>
        <w:t xml:space="preserve">revenue </w:t>
      </w:r>
      <w:r w:rsidRPr="00EE5F0C">
        <w:t xml:space="preserve">increments or decrements resulting from </w:t>
      </w:r>
      <w:r>
        <w:t>incentive schemes such as the</w:t>
      </w:r>
      <w:r w:rsidRPr="00E64356">
        <w:t xml:space="preserve"> </w:t>
      </w:r>
      <w:r>
        <w:t>efficiency</w:t>
      </w:r>
      <w:r w:rsidRPr="00E64356">
        <w:t xml:space="preserve"> </w:t>
      </w:r>
      <w:r>
        <w:t xml:space="preserve">carryover </w:t>
      </w:r>
      <w:r w:rsidRPr="00E64356">
        <w:t xml:space="preserve">mechanism </w:t>
      </w:r>
    </w:p>
    <w:p w:rsidR="00CF00DE" w:rsidRPr="00E64356" w:rsidRDefault="00CF00DE" w:rsidP="00CF00DE">
      <w:pPr>
        <w:pStyle w:val="AERbulletlistfirststyle"/>
      </w:pPr>
      <w:r w:rsidRPr="00EE5F0C">
        <w:t xml:space="preserve">forecast </w:t>
      </w:r>
      <w:r>
        <w:t>opex</w:t>
      </w:r>
      <w:r w:rsidRPr="00E64356">
        <w:t>.</w:t>
      </w:r>
    </w:p>
    <w:p w:rsidR="00CF00DE" w:rsidRPr="00EE5F0C" w:rsidRDefault="00CF00DE" w:rsidP="00CF00DE">
      <w:pPr>
        <w:numPr>
          <w:ilvl w:val="0"/>
          <w:numId w:val="24"/>
        </w:numPr>
      </w:pPr>
      <w:r w:rsidRPr="00EE5F0C">
        <w:t xml:space="preserve">Our assessment of capex directly affects the size of the </w:t>
      </w:r>
      <w:r>
        <w:t xml:space="preserve">capital base </w:t>
      </w:r>
      <w:r w:rsidRPr="00EE5F0C">
        <w:t xml:space="preserve">and therefore, the revenue generated from the return on capital and </w:t>
      </w:r>
      <w:r>
        <w:t xml:space="preserve">depreciation </w:t>
      </w:r>
      <w:r w:rsidRPr="00EE5F0C">
        <w:t xml:space="preserve">building blocks. </w:t>
      </w:r>
    </w:p>
    <w:p w:rsidR="00CF00DE" w:rsidRPr="00CF00DE" w:rsidRDefault="00CF00DE" w:rsidP="003C45A6">
      <w:pPr>
        <w:pStyle w:val="Caption"/>
        <w:rPr>
          <w:rStyle w:val="Strong"/>
        </w:rPr>
      </w:pPr>
      <w:bookmarkStart w:id="47" w:name="_Ref433875505"/>
      <w:bookmarkStart w:id="48" w:name="_Ref433875586"/>
      <w:r w:rsidRPr="00133A17">
        <w:t>Figure</w:t>
      </w:r>
      <w:bookmarkEnd w:id="47"/>
      <w:r w:rsidRPr="00133A17">
        <w:t xml:space="preserve"> </w:t>
      </w:r>
      <w:fldSimple w:instr=" SEQ Figure \* ARABIC ">
        <w:r w:rsidR="006E1111">
          <w:rPr>
            <w:noProof/>
          </w:rPr>
          <w:t>5</w:t>
        </w:r>
      </w:fldSimple>
      <w:bookmarkEnd w:id="48"/>
      <w:r w:rsidRPr="00133A17">
        <w:tab/>
      </w:r>
      <w:r w:rsidRPr="006C54CD">
        <w:rPr>
          <w:rStyle w:val="Strong"/>
          <w:b/>
          <w:bCs/>
        </w:rPr>
        <w:t>The building block approach for determining total revenue</w:t>
      </w:r>
    </w:p>
    <w:p w:rsidR="00CF00DE" w:rsidRPr="007C4B82" w:rsidRDefault="00D5416B" w:rsidP="00CF00DE">
      <w:pPr>
        <w:pStyle w:val="ListParagraph"/>
        <w:numPr>
          <w:ilvl w:val="0"/>
          <w:numId w:val="24"/>
        </w:numPr>
      </w:pPr>
      <w:r w:rsidRPr="00FD391B">
        <w:rPr>
          <w:noProof/>
          <w:lang w:eastAsia="en-AU"/>
        </w:rPr>
        <mc:AlternateContent>
          <mc:Choice Requires="wpc">
            <w:drawing>
              <wp:inline distT="0" distB="0" distL="0" distR="0" wp14:anchorId="070BDE30" wp14:editId="6D5791F4">
                <wp:extent cx="5580993" cy="3591835"/>
                <wp:effectExtent l="0" t="0" r="0" b="27940"/>
                <wp:docPr id="42" name="Canvas 42"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Text Box 4"/>
                        <wps:cNvSpPr txBox="1">
                          <a:spLocks noChangeArrowheads="1"/>
                        </wps:cNvSpPr>
                        <wps:spPr bwMode="auto">
                          <a:xfrm>
                            <a:off x="1504964" y="0"/>
                            <a:ext cx="2470150" cy="666000"/>
                          </a:xfrm>
                          <a:prstGeom prst="rect">
                            <a:avLst/>
                          </a:prstGeom>
                          <a:solidFill>
                            <a:schemeClr val="accent2"/>
                          </a:soli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BF22F8" w:rsidRPr="003B658B" w:rsidRDefault="00BF22F8" w:rsidP="00D5416B">
                              <w:pPr>
                                <w:pStyle w:val="TableHeading-centred"/>
                                <w:rPr>
                                  <w:rStyle w:val="AERtextsize10"/>
                                  <w:rFonts w:eastAsia="Calibri"/>
                                </w:rPr>
                              </w:pPr>
                              <w:r w:rsidRPr="003B658B">
                                <w:rPr>
                                  <w:rStyle w:val="AERtextsize10"/>
                                  <w:rFonts w:eastAsia="Calibri"/>
                                </w:rPr>
                                <w:t>R</w:t>
                              </w:r>
                              <w:r>
                                <w:rPr>
                                  <w:rStyle w:val="AERtextsize10"/>
                                  <w:rFonts w:eastAsia="Calibri"/>
                                </w:rPr>
                                <w:t>eturn on capital</w:t>
                              </w:r>
                              <w:r>
                                <w:rPr>
                                  <w:rStyle w:val="AERtextsize10"/>
                                  <w:rFonts w:eastAsia="Calibri"/>
                                </w:rPr>
                                <w:br/>
                              </w:r>
                              <w:r w:rsidRPr="003B658B">
                                <w:rPr>
                                  <w:rStyle w:val="AERtextsize10"/>
                                  <w:rFonts w:eastAsia="Calibri"/>
                                </w:rPr>
                                <w:t xml:space="preserve">(capital base × </w:t>
                              </w:r>
                              <w:r>
                                <w:rPr>
                                  <w:rStyle w:val="AERtextsize10"/>
                                  <w:rFonts w:eastAsia="Calibri"/>
                                </w:rPr>
                                <w:t>rate of return on capital</w:t>
                              </w:r>
                              <w:r w:rsidRPr="003B658B">
                                <w:rPr>
                                  <w:rStyle w:val="AERtextsize10"/>
                                  <w:rFonts w:eastAsia="Calibri"/>
                                </w:rPr>
                                <w:t>)</w:t>
                              </w:r>
                            </w:p>
                          </w:txbxContent>
                        </wps:txbx>
                        <wps:bodyPr rot="0" vert="horz" wrap="square" lIns="91440" tIns="45720" rIns="91440" bIns="45720" anchor="t" anchorCtr="0" upright="1">
                          <a:noAutofit/>
                        </wps:bodyPr>
                      </wps:wsp>
                      <wps:wsp>
                        <wps:cNvPr id="13" name="Text Box 5"/>
                        <wps:cNvSpPr txBox="1">
                          <a:spLocks noChangeArrowheads="1"/>
                        </wps:cNvSpPr>
                        <wps:spPr bwMode="auto">
                          <a:xfrm>
                            <a:off x="1504964" y="716158"/>
                            <a:ext cx="2470150" cy="666000"/>
                          </a:xfrm>
                          <a:prstGeom prst="rect">
                            <a:avLst/>
                          </a:prstGeom>
                          <a:gradFill rotWithShape="0">
                            <a:gsLst>
                              <a:gs pos="0">
                                <a:srgbClr val="C0504D"/>
                              </a:gs>
                              <a:gs pos="50000">
                                <a:srgbClr val="C0504D">
                                  <a:gamma/>
                                  <a:tint val="97647"/>
                                  <a:invGamma/>
                                </a:srgbClr>
                              </a:gs>
                              <a:gs pos="100000">
                                <a:srgbClr val="C0504D"/>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BF22F8" w:rsidRPr="003B658B" w:rsidRDefault="00BF22F8" w:rsidP="00D5416B">
                              <w:pPr>
                                <w:pStyle w:val="TableHeading-centred"/>
                                <w:rPr>
                                  <w:rStyle w:val="AERtextsize10"/>
                                  <w:rFonts w:eastAsia="Calibri"/>
                                </w:rPr>
                              </w:pPr>
                              <w:r w:rsidRPr="003B658B">
                                <w:rPr>
                                  <w:rStyle w:val="AERtextsize10"/>
                                  <w:rFonts w:eastAsia="Calibri"/>
                                </w:rPr>
                                <w:t>Regulatory depreciation (depreciation net of indexation applied to capital base)</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1504964" y="2890468"/>
                            <a:ext cx="2470150" cy="666000"/>
                          </a:xfrm>
                          <a:prstGeom prst="rect">
                            <a:avLst/>
                          </a:prstGeom>
                          <a:gradFill rotWithShape="0">
                            <a:gsLst>
                              <a:gs pos="0">
                                <a:srgbClr val="76923C"/>
                              </a:gs>
                              <a:gs pos="100000">
                                <a:srgbClr val="76923C">
                                  <a:gamma/>
                                  <a:shade val="97647"/>
                                  <a:invGamma/>
                                </a:srgbClr>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BF22F8" w:rsidRPr="003B658B" w:rsidRDefault="00BF22F8" w:rsidP="00D5416B">
                              <w:pPr>
                                <w:pStyle w:val="TableHeading-centred"/>
                                <w:rPr>
                                  <w:rStyle w:val="AERtextsize10"/>
                                  <w:rFonts w:eastAsia="Calibri"/>
                                </w:rPr>
                              </w:pPr>
                              <w:r w:rsidRPr="003B658B">
                                <w:rPr>
                                  <w:rStyle w:val="AERtextsize10"/>
                                  <w:rFonts w:eastAsia="Calibri"/>
                                </w:rPr>
                                <w:t>C</w:t>
                              </w:r>
                              <w:r>
                                <w:rPr>
                                  <w:rStyle w:val="AERtextsize10"/>
                                  <w:rFonts w:eastAsia="Calibri"/>
                                </w:rPr>
                                <w:t>orporate income tax</w:t>
                              </w:r>
                              <w:r>
                                <w:rPr>
                                  <w:rStyle w:val="AERtextsize10"/>
                                  <w:rFonts w:eastAsia="Calibri"/>
                                </w:rPr>
                                <w:br/>
                              </w:r>
                              <w:r w:rsidRPr="003B658B">
                                <w:rPr>
                                  <w:rStyle w:val="AERtextsize10"/>
                                  <w:rFonts w:eastAsia="Calibri"/>
                                </w:rPr>
                                <w:t>(net of value of imputation credits)</w:t>
                              </w:r>
                            </w:p>
                            <w:p w:rsidR="00BF22F8" w:rsidRPr="007F7192" w:rsidRDefault="00BF22F8" w:rsidP="00D5416B">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16" name="Line 7"/>
                        <wps:cNvCnPr/>
                        <wps:spPr bwMode="auto">
                          <a:xfrm>
                            <a:off x="406528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Line 8"/>
                        <wps:cNvCnPr/>
                        <wps:spPr bwMode="auto">
                          <a:xfrm>
                            <a:off x="4065284" y="3554768"/>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wps:spPr bwMode="auto">
                          <a:xfrm>
                            <a:off x="4409618" y="0"/>
                            <a:ext cx="0" cy="35564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Line 10"/>
                        <wps:cNvCnPr/>
                        <wps:spPr bwMode="auto">
                          <a:xfrm flipH="1">
                            <a:off x="107697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 name="Line 11"/>
                        <wps:cNvCnPr/>
                        <wps:spPr bwMode="auto">
                          <a:xfrm flipH="1">
                            <a:off x="1076974" y="1379220"/>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12"/>
                        <wps:cNvCnPr/>
                        <wps:spPr bwMode="auto">
                          <a:xfrm>
                            <a:off x="1076974" y="0"/>
                            <a:ext cx="0" cy="1379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13"/>
                        <wps:cNvSpPr txBox="1">
                          <a:spLocks noChangeArrowheads="1"/>
                        </wps:cNvSpPr>
                        <wps:spPr bwMode="auto">
                          <a:xfrm>
                            <a:off x="13349" y="407034"/>
                            <a:ext cx="1026795" cy="678815"/>
                          </a:xfrm>
                          <a:prstGeom prst="rect">
                            <a:avLst/>
                          </a:prstGeom>
                          <a:noFill/>
                          <a:ln w="9525">
                            <a:noFill/>
                            <a:miter lim="800000"/>
                            <a:headEnd/>
                            <a:tailEnd/>
                          </a:ln>
                        </wps:spPr>
                        <wps:txbx>
                          <w:txbxContent>
                            <w:p w:rsidR="00BF22F8" w:rsidRPr="005C48D3" w:rsidRDefault="00BF22F8" w:rsidP="00D5416B">
                              <w:pPr>
                                <w:rPr>
                                  <w:rStyle w:val="AERtextsize10"/>
                                </w:rPr>
                              </w:pPr>
                              <w:r w:rsidRPr="005C48D3">
                                <w:rPr>
                                  <w:rStyle w:val="AERtextsize10"/>
                                </w:rPr>
                                <w:t>Capital costs</w:t>
                              </w:r>
                            </w:p>
                          </w:txbxContent>
                        </wps:txbx>
                        <wps:bodyPr rot="0" vert="horz" wrap="square" lIns="91440" tIns="45720" rIns="91440" bIns="45720" anchor="t" anchorCtr="0" upright="1">
                          <a:noAutofit/>
                        </wps:bodyPr>
                      </wps:wsp>
                      <wps:wsp>
                        <wps:cNvPr id="39" name="Text Box 14"/>
                        <wps:cNvSpPr txBox="1">
                          <a:spLocks noChangeArrowheads="1"/>
                        </wps:cNvSpPr>
                        <wps:spPr bwMode="auto">
                          <a:xfrm>
                            <a:off x="1510604" y="1442713"/>
                            <a:ext cx="2470150" cy="666000"/>
                          </a:xfrm>
                          <a:prstGeom prst="rect">
                            <a:avLst/>
                          </a:prstGeom>
                          <a:gradFill rotWithShape="0">
                            <a:gsLst>
                              <a:gs pos="0">
                                <a:srgbClr val="365F91"/>
                              </a:gs>
                              <a:gs pos="100000">
                                <a:srgbClr val="365F91"/>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BF22F8" w:rsidRPr="005C48D3" w:rsidRDefault="00BF22F8" w:rsidP="00D5416B">
                              <w:pPr>
                                <w:pStyle w:val="TableHeading-centred"/>
                                <w:rPr>
                                  <w:rStyle w:val="AERtextsize10"/>
                                  <w:rFonts w:eastAsia="Calibri"/>
                                </w:rPr>
                              </w:pPr>
                              <w:r w:rsidRPr="005C48D3">
                                <w:rPr>
                                  <w:rStyle w:val="AERtextsize10"/>
                                  <w:rFonts w:eastAsia="Calibri"/>
                                </w:rPr>
                                <w:t>Operating expenditure</w:t>
                              </w:r>
                              <w:r w:rsidRPr="005C48D3">
                                <w:rPr>
                                  <w:rStyle w:val="AERtextsize10"/>
                                  <w:rFonts w:eastAsia="Calibri"/>
                                </w:rPr>
                                <w:br/>
                                <w:t xml:space="preserve">(opex) </w:t>
                              </w:r>
                            </w:p>
                            <w:p w:rsidR="00BF22F8" w:rsidRPr="004414F4" w:rsidRDefault="00BF22F8" w:rsidP="00D5416B">
                              <w:pPr>
                                <w:rPr>
                                  <w:color w:val="FFFFFF"/>
                                </w:rPr>
                              </w:pPr>
                            </w:p>
                          </w:txbxContent>
                        </wps:txbx>
                        <wps:bodyPr rot="0" vert="horz" wrap="square" lIns="91440" tIns="45720" rIns="91440" bIns="45720" anchor="t" anchorCtr="0" upright="1">
                          <a:noAutofit/>
                        </wps:bodyPr>
                      </wps:wsp>
                      <wps:wsp>
                        <wps:cNvPr id="40" name="Text Box 15"/>
                        <wps:cNvSpPr txBox="1">
                          <a:spLocks noChangeArrowheads="1"/>
                        </wps:cNvSpPr>
                        <wps:spPr bwMode="auto">
                          <a:xfrm>
                            <a:off x="1510605" y="2166559"/>
                            <a:ext cx="2470150" cy="666000"/>
                          </a:xfrm>
                          <a:prstGeom prst="rect">
                            <a:avLst/>
                          </a:prstGeom>
                          <a:gradFill rotWithShape="0">
                            <a:gsLst>
                              <a:gs pos="0">
                                <a:srgbClr val="548DD4"/>
                              </a:gs>
                              <a:gs pos="100000">
                                <a:srgbClr val="548DD4"/>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BF22F8" w:rsidRPr="005C48D3" w:rsidRDefault="00BF22F8" w:rsidP="00D5416B">
                              <w:pPr>
                                <w:pStyle w:val="TableHeading-centred"/>
                                <w:rPr>
                                  <w:rStyle w:val="AERtextsize10"/>
                                  <w:rFonts w:eastAsia="Calibri"/>
                                </w:rPr>
                              </w:pPr>
                              <w:r w:rsidRPr="005C48D3">
                                <w:rPr>
                                  <w:rStyle w:val="AERtextsize10"/>
                                  <w:rFonts w:eastAsia="Calibri"/>
                                </w:rPr>
                                <w:t xml:space="preserve">Revenue adjustments </w:t>
                              </w:r>
                              <w:r w:rsidRPr="005C48D3">
                                <w:rPr>
                                  <w:rStyle w:val="AERtextsize10"/>
                                  <w:rFonts w:eastAsia="Calibri"/>
                                </w:rPr>
                                <w:br/>
                                <w:t>(increment or decrement)</w:t>
                              </w:r>
                            </w:p>
                          </w:txbxContent>
                        </wps:txbx>
                        <wps:bodyPr rot="0" vert="horz" wrap="square" lIns="91440" tIns="45720" rIns="91440" bIns="45720" anchor="t" anchorCtr="0" upright="1">
                          <a:noAutofit/>
                        </wps:bodyPr>
                      </wps:wsp>
                      <wps:wsp>
                        <wps:cNvPr id="41" name="Text Box 16"/>
                        <wps:cNvSpPr txBox="1">
                          <a:spLocks noChangeArrowheads="1"/>
                        </wps:cNvSpPr>
                        <wps:spPr bwMode="auto">
                          <a:xfrm>
                            <a:off x="4480574" y="1579783"/>
                            <a:ext cx="1044124" cy="567516"/>
                          </a:xfrm>
                          <a:prstGeom prst="rect">
                            <a:avLst/>
                          </a:prstGeom>
                          <a:noFill/>
                          <a:ln w="9525">
                            <a:noFill/>
                            <a:miter lim="800000"/>
                            <a:headEnd/>
                            <a:tailEnd/>
                          </a:ln>
                        </wps:spPr>
                        <wps:txbx>
                          <w:txbxContent>
                            <w:p w:rsidR="00BF22F8" w:rsidRDefault="00BF22F8" w:rsidP="00D5416B">
                              <w:pPr>
                                <w:pStyle w:val="AERtabletextleft"/>
                              </w:pPr>
                              <w:r w:rsidRPr="005C48D3">
                                <w:rPr>
                                  <w:rStyle w:val="AERtextsize10"/>
                                  <w:rFonts w:eastAsia="Calibri"/>
                                </w:rPr>
                                <w:t>Total revenue</w:t>
                              </w:r>
                            </w:p>
                          </w:txbxContent>
                        </wps:txbx>
                        <wps:bodyPr rot="0" vert="horz" wrap="square" lIns="91440" tIns="45720" rIns="91440" bIns="45720" anchor="t" anchorCtr="0" upright="1">
                          <a:noAutofit/>
                        </wps:bodyPr>
                      </wps:wsp>
                    </wpc:wpc>
                  </a:graphicData>
                </a:graphic>
              </wp:inline>
            </w:drawing>
          </mc:Choice>
          <mc:Fallback>
            <w:pict>
              <v:group id="Canvas 42" o:spid="_x0000_s1026" editas="canvas" alt="Image outlining the bulding block model. The table's contents were described in the previous paragraph." style="width:439.45pt;height:282.8pt;mso-position-horizontal-relative:char;mso-position-vertical-relative:line" coordsize="55803,3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5803;height:3591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049;width:24702;height:6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X5MQA&#10;AADbAAAADwAAAGRycy9kb3ducmV2LnhtbERPS2vCQBC+C/6HZYRexGxUsJJmlVYotfVQXwePQ3aa&#10;pM3OxuxWU3+9WxC8zcf3nHTemkqcqHGlZQXDKAZBnFldcq5gv3sdTEE4j6yxskwK/sjBfNbtpJho&#10;e+YNnbY+FyGEXYIKCu/rREqXFWTQRbYmDtyXbQz6AJtc6gbPIdxUchTHE2mw5NBQYE2LgrKf7a9R&#10;8P05fP/Qq7fH+DDZrC99wrF+OSr10Gufn0B4av1dfHMvdZg/gv9fwg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HV+TEAAAA2wAAAA8AAAAAAAAAAAAAAAAAmAIAAGRycy9k&#10;b3ducmV2LnhtbFBLBQYAAAAABAAEAPUAAACJAwAAAAA=&#10;" fillcolor="#c14e00 [3205]" strokecolor="#404040 [2424]">
                  <v:shadow on="t" color="#7f7f7f [1612]" offset="1pt"/>
                  <v:textbox>
                    <w:txbxContent>
                      <w:p w:rsidR="00BF22F8" w:rsidRPr="003B658B" w:rsidRDefault="00BF22F8" w:rsidP="00D5416B">
                        <w:pPr>
                          <w:pStyle w:val="TableHeading-centred"/>
                          <w:rPr>
                            <w:rStyle w:val="AERtextsize10"/>
                            <w:rFonts w:eastAsia="Calibri"/>
                          </w:rPr>
                        </w:pPr>
                        <w:r w:rsidRPr="003B658B">
                          <w:rPr>
                            <w:rStyle w:val="AERtextsize10"/>
                            <w:rFonts w:eastAsia="Calibri"/>
                          </w:rPr>
                          <w:t>R</w:t>
                        </w:r>
                        <w:r>
                          <w:rPr>
                            <w:rStyle w:val="AERtextsize10"/>
                            <w:rFonts w:eastAsia="Calibri"/>
                          </w:rPr>
                          <w:t xml:space="preserve">eturn on </w:t>
                        </w:r>
                        <w:proofErr w:type="gramStart"/>
                        <w:r>
                          <w:rPr>
                            <w:rStyle w:val="AERtextsize10"/>
                            <w:rFonts w:eastAsia="Calibri"/>
                          </w:rPr>
                          <w:t>capital</w:t>
                        </w:r>
                        <w:proofErr w:type="gramEnd"/>
                        <w:r>
                          <w:rPr>
                            <w:rStyle w:val="AERtextsize10"/>
                            <w:rFonts w:eastAsia="Calibri"/>
                          </w:rPr>
                          <w:br/>
                        </w:r>
                        <w:r w:rsidRPr="003B658B">
                          <w:rPr>
                            <w:rStyle w:val="AERtextsize10"/>
                            <w:rFonts w:eastAsia="Calibri"/>
                          </w:rPr>
                          <w:t xml:space="preserve">(capital base × </w:t>
                        </w:r>
                        <w:r>
                          <w:rPr>
                            <w:rStyle w:val="AERtextsize10"/>
                            <w:rFonts w:eastAsia="Calibri"/>
                          </w:rPr>
                          <w:t>rate of return on capital</w:t>
                        </w:r>
                        <w:r w:rsidRPr="003B658B">
                          <w:rPr>
                            <w:rStyle w:val="AERtextsize10"/>
                            <w:rFonts w:eastAsia="Calibri"/>
                          </w:rPr>
                          <w:t>)</w:t>
                        </w:r>
                      </w:p>
                    </w:txbxContent>
                  </v:textbox>
                </v:shape>
                <v:shape id="Text Box 5" o:spid="_x0000_s1029" type="#_x0000_t202" style="position:absolute;left:15049;top:7161;width:24702;height:6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DVMMA&#10;AADbAAAADwAAAGRycy9kb3ducmV2LnhtbERPS2vCQBC+C/6HZYTe6ia2SI3ZhFIUCj34qgdvQ3aa&#10;hGZnQ3Y1sb/eFQre5uN7TpoPphEX6lxtWUE8jUAQF1bXXCr4Pqyf30A4j6yxsUwKruQgz8ajFBNt&#10;e97RZe9LEULYJaig8r5NpHRFRQbd1LbEgfuxnUEfYFdK3WEfwk0jZ1E0lwZrDg0VtvRRUfG7PxsF&#10;fWxO0hzc12YVLfTxdXv9s9taqafJ8L4E4WnwD/G/+1OH+S9w/yUc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eDVMMAAADbAAAADwAAAAAAAAAAAAAAAACYAgAAZHJzL2Rv&#10;d25yZXYueG1sUEsFBgAAAAAEAAQA9QAAAIgDAAAAAA==&#10;" fillcolor="#c0504d" strokecolor="#404040 [2424]">
                  <v:fill color2="#c15451" focus="50%" type="gradient"/>
                  <v:shadow on="t" color="#7f7f7f [1612]" offset="1pt"/>
                  <v:textbox>
                    <w:txbxContent>
                      <w:p w:rsidR="00BF22F8" w:rsidRPr="003B658B" w:rsidRDefault="00BF22F8" w:rsidP="00D5416B">
                        <w:pPr>
                          <w:pStyle w:val="TableHeading-centred"/>
                          <w:rPr>
                            <w:rStyle w:val="AERtextsize10"/>
                            <w:rFonts w:eastAsia="Calibri"/>
                          </w:rPr>
                        </w:pPr>
                        <w:r w:rsidRPr="003B658B">
                          <w:rPr>
                            <w:rStyle w:val="AERtextsize10"/>
                            <w:rFonts w:eastAsia="Calibri"/>
                          </w:rPr>
                          <w:t>Regulatory depreciation (depreciation net of indexation applied to capital base)</w:t>
                        </w:r>
                      </w:p>
                    </w:txbxContent>
                  </v:textbox>
                </v:shape>
                <v:shape id="Text Box 15" o:spid="_x0000_s1030" type="#_x0000_t202" style="position:absolute;left:15049;top:28904;width:24702;height:6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25xsMA&#10;AADbAAAADwAAAGRycy9kb3ducmV2LnhtbERPTWvCQBC9C/0PyxR6000LrW10E4pYkerB2oDXITsm&#10;IdnZkF1N2l/vCoK3ebzPmaeDacSZOldZVvA8iUAQ51ZXXCjIfr/G7yCcR9bYWCYFf+QgTR5Gc4y1&#10;7fmHzntfiBDCLkYFpfdtLKXLSzLoJrYlDtzRdgZ9gF0hdYd9CDeNfImiN2mw4tBQYkuLkvJ6fzIK&#10;vqNst5l+LP8XWX3Y9nxYnupVrdTT4/A5A+Fp8Hfxzb3WYf4rXH8JB8j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25xsMAAADbAAAADwAAAAAAAAAAAAAAAACYAgAAZHJzL2Rv&#10;d25yZXYueG1sUEsFBgAAAAAEAAQA9QAAAIgDAAAAAA==&#10;" fillcolor="#76923c" strokecolor="#404040 [2424]">
                  <v:fill color2="#738f3b" focus="100%" type="gradient"/>
                  <v:shadow on="t" color="#7f7f7f [1612]" offset="1pt"/>
                  <v:textbox>
                    <w:txbxContent>
                      <w:p w:rsidR="00BF22F8" w:rsidRPr="003B658B" w:rsidRDefault="00BF22F8" w:rsidP="00D5416B">
                        <w:pPr>
                          <w:pStyle w:val="TableHeading-centred"/>
                          <w:rPr>
                            <w:rStyle w:val="AERtextsize10"/>
                            <w:rFonts w:eastAsia="Calibri"/>
                          </w:rPr>
                        </w:pPr>
                        <w:r w:rsidRPr="003B658B">
                          <w:rPr>
                            <w:rStyle w:val="AERtextsize10"/>
                            <w:rFonts w:eastAsia="Calibri"/>
                          </w:rPr>
                          <w:t>C</w:t>
                        </w:r>
                        <w:r>
                          <w:rPr>
                            <w:rStyle w:val="AERtextsize10"/>
                            <w:rFonts w:eastAsia="Calibri"/>
                          </w:rPr>
                          <w:t xml:space="preserve">orporate income </w:t>
                        </w:r>
                        <w:proofErr w:type="gramStart"/>
                        <w:r>
                          <w:rPr>
                            <w:rStyle w:val="AERtextsize10"/>
                            <w:rFonts w:eastAsia="Calibri"/>
                          </w:rPr>
                          <w:t>tax</w:t>
                        </w:r>
                        <w:proofErr w:type="gramEnd"/>
                        <w:r>
                          <w:rPr>
                            <w:rStyle w:val="AERtextsize10"/>
                            <w:rFonts w:eastAsia="Calibri"/>
                          </w:rPr>
                          <w:br/>
                        </w:r>
                        <w:r w:rsidRPr="003B658B">
                          <w:rPr>
                            <w:rStyle w:val="AERtextsize10"/>
                            <w:rFonts w:eastAsia="Calibri"/>
                          </w:rPr>
                          <w:t>(net of value of imputation credits)</w:t>
                        </w:r>
                      </w:p>
                      <w:p w:rsidR="00BF22F8" w:rsidRPr="007F7192" w:rsidRDefault="00BF22F8" w:rsidP="00D5416B">
                        <w:pPr>
                          <w:spacing w:after="200"/>
                          <w:rPr>
                            <w:rStyle w:val="AERbody"/>
                            <w:color w:val="FFFFFF"/>
                          </w:rPr>
                        </w:pPr>
                        <w:r w:rsidRPr="007F7192">
                          <w:rPr>
                            <w:rStyle w:val="AERbody"/>
                            <w:color w:val="FFFFFF"/>
                          </w:rPr>
                          <w:br/>
                        </w:r>
                      </w:p>
                    </w:txbxContent>
                  </v:textbox>
                </v:shape>
                <v:line id="Line 7" o:spid="_x0000_s1031" style="position:absolute;visibility:visible;mso-wrap-style:square" from="40652,0" to="44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vbp8EAAADbAAAADwAAAGRycy9kb3ducmV2LnhtbERPzWoCMRC+F3yHMAVv3awexG6NIlVB&#10;8SBVH2DcTDerm8mSRN326U2h4G0+vt+ZzDrbiBv5UDtWMMhyEMSl0zVXCo6H1dsYRIjIGhvHpOCH&#10;AsymvZcJFtrd+Ytu+1iJFMKhQAUmxraQMpSGLIbMtcSJ+3beYkzQV1J7vKdw28hhno+kxZpTg8GW&#10;Pg2Vl/3VKtj40/Yy+K2MPPHGL5vd4j3Ys1L9127+ASJSF5/if/dap/kj+PslHSC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9unwQAAANsAAAAPAAAAAAAAAAAAAAAA&#10;AKECAABkcnMvZG93bnJldi54bWxQSwUGAAAAAAQABAD5AAAAjwMAAAAA&#10;" strokeweight="1pt"/>
                <v:line id="Line 8" o:spid="_x0000_s1032" style="position:absolute;visibility:visible;mso-wrap-style:square" from="40652,35547" to="44100,35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jqTsQAAADbAAAADwAAAGRycy9kb3ducmV2LnhtbESPzW4CMQyE70i8Q2Sk3iBLD1VZCKjq&#10;j1TUQ8XPA5iNu9mycVZJCgtPXx+QuNma8cznxar3rTpRTE1gA9NJAYq4Crbh2sB+9zF+BpUyssU2&#10;MBm4UILVcjhYYGnDmTd02uZaSQinEg24nLtS61Q58pgmoSMW7SdEj1nWWGsb8SzhvtWPRfGkPTYs&#10;DQ47enVUHbd/3sA6Hr6O02vt9IHX8b39fpsl/2vMw6h/mYPK1Oe7+Xb9aQVfY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KOpOxAAAANsAAAAPAAAAAAAAAAAA&#10;AAAAAKECAABkcnMvZG93bnJldi54bWxQSwUGAAAAAAQABAD5AAAAkgMAAAAA&#10;" strokeweight="1pt"/>
                <v:line id="Line 9" o:spid="_x0000_s1033" style="position:absolute;visibility:visible;mso-wrap-style:square" from="44096,0" to="44096,35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Is9cEAAADbAAAADwAAAGRycy9kb3ducmV2LnhtbERPS27CMBDdV+IO1iCxK06yQG3AIASt&#10;VNRFVdoDDPEQh8TjyHZD4PT1olKXT++/2oy2EwP50DhWkM8zEMSV0w3XCr6/Xh+fQISIrLFzTApu&#10;FGCznjyssNTuyp80HGMtUgiHEhWYGPtSylAZshjmridO3Nl5izFBX0vt8ZrCbSeLLFtIiw2nBoM9&#10;7QxV7fHHKjj403ub32sjT3zwL93H/jnYi1Kz6bhdgog0xn/xn/tNKyjS+v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Miz1wQAAANsAAAAPAAAAAAAAAAAAAAAA&#10;AKECAABkcnMvZG93bnJldi54bWxQSwUGAAAAAAQABAD5AAAAjwMAAAAA&#10;" strokeweight="1pt"/>
                <v:line id="Line 10" o:spid="_x0000_s1034" style="position:absolute;flip:x;visibility:visible;mso-wrap-style:square" from="10769,0" to="14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Us8QAAADbAAAADwAAAGRycy9kb3ducmV2LnhtbESPS4vCMBSF9wP+h3AFN8OY1oVox1RE&#10;EERw4QPU3aW508c0N6WJtv57IwzM8nAeH2ex7E0tHtS60rKCeByBIM6sLjlXcD5tvmYgnEfWWFsm&#10;BU9ysEwHHwtMtO34QI+jz0UYYZeggsL7JpHSZQUZdGPbEAfvx7YGfZBtLnWLXRg3tZxE0VQaLDkQ&#10;CmxoXVD2e7ybAKnW+W1fUXaZX5pdN40/u+v1rtRo2K++QXjq/X/4r73VCiYxvL+EHy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K5SzxAAAANsAAAAPAAAAAAAAAAAA&#10;AAAAAKECAABkcnMvZG93bnJldi54bWxQSwUGAAAAAAQABAD5AAAAkgMAAAAA&#10;" strokeweight="1pt"/>
                <v:line id="Line 11" o:spid="_x0000_s1035" style="position:absolute;flip:x;visibility:visible;mso-wrap-style:square" from="10769,13792" to="14217,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KxMQAAADbAAAADwAAAGRycy9kb3ducmV2LnhtbESPzWrCQBSF9wXfYbiCm1InZiGaOooI&#10;ggguqkLi7jJzm8Rm7oTMaNK37xQKXR7Oz8dZbQbbiCd1vnasYDZNQBBrZ2ouFVwv+7cFCB+QDTaO&#10;ScE3edisRy8rzIzr+YOe51CKOMI+QwVVCG0mpdcVWfRT1xJH79N1FkOUXSlNh30ct41Mk2QuLdYc&#10;CRW2tKtIf50fNkLuu/J2upPOl3l77Oez174oHkpNxsP2HUSgIfyH/9oHoyBN4fdL/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rExAAAANsAAAAPAAAAAAAAAAAA&#10;AAAAAKECAABkcnMvZG93bnJldi54bWxQSwUGAAAAAAQABAD5AAAAkgMAAAAA&#10;" strokeweight="1pt"/>
                <v:line id="Line 12" o:spid="_x0000_s1036" style="position:absolute;visibility:visible;mso-wrap-style:square" from="10769,0" to="10769,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v:shape id="Text Box 13" o:spid="_x0000_s1037" type="#_x0000_t202" style="position:absolute;left:133;top:4070;width:10268;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BF22F8" w:rsidRPr="005C48D3" w:rsidRDefault="00BF22F8" w:rsidP="00D5416B">
                        <w:pPr>
                          <w:rPr>
                            <w:rStyle w:val="AERtextsize10"/>
                          </w:rPr>
                        </w:pPr>
                        <w:r w:rsidRPr="005C48D3">
                          <w:rPr>
                            <w:rStyle w:val="AERtextsize10"/>
                          </w:rPr>
                          <w:t>Capital costs</w:t>
                        </w:r>
                      </w:p>
                    </w:txbxContent>
                  </v:textbox>
                </v:shape>
                <v:shape id="Text Box 14" o:spid="_x0000_s1038" type="#_x0000_t202" style="position:absolute;left:15106;top:14427;width:24701;height:6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ejrcMA&#10;AADbAAAADwAAAGRycy9kb3ducmV2LnhtbESPQWsCMRSE74X+h/AKvdWsFa2uRrEFwYM9VP0Br5vX&#10;zeLmZcmLuv33jSD0OMzMN8xi1ftWXShKE9jAcFCAIq6Cbbg2cDxsXqagJCFbbAOTgV8SWC0fHxZY&#10;2nDlL7rsU60yhKVEAy6lrtRaKkceZRA64uz9hOgxZRlrbSNeM9y3+rUoJtpjw3nBYUcfjqrT/uwN&#10;TOTtPBq/f8ouueP3Zi1FnO1Oxjw/9es5qER9+g/f21trYDSD25f8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ejrcMAAADbAAAADwAAAAAAAAAAAAAAAACYAgAAZHJzL2Rv&#10;d25yZXYueG1sUEsFBgAAAAAEAAQA9QAAAIgDAAAAAA==&#10;" fillcolor="#365f91" strokecolor="#404040 [2424]">
                  <v:fill color2="#365f91" focus="100%" type="gradient"/>
                  <v:shadow on="t" color="#7f7f7f [1612]" offset="1pt"/>
                  <v:textbox>
                    <w:txbxContent>
                      <w:p w:rsidR="00BF22F8" w:rsidRPr="005C48D3" w:rsidRDefault="00BF22F8" w:rsidP="00D5416B">
                        <w:pPr>
                          <w:pStyle w:val="TableHeading-centred"/>
                          <w:rPr>
                            <w:rStyle w:val="AERtextsize10"/>
                            <w:rFonts w:eastAsia="Calibri"/>
                          </w:rPr>
                        </w:pPr>
                        <w:r w:rsidRPr="005C48D3">
                          <w:rPr>
                            <w:rStyle w:val="AERtextsize10"/>
                            <w:rFonts w:eastAsia="Calibri"/>
                          </w:rPr>
                          <w:t xml:space="preserve">Operating </w:t>
                        </w:r>
                        <w:proofErr w:type="gramStart"/>
                        <w:r w:rsidRPr="005C48D3">
                          <w:rPr>
                            <w:rStyle w:val="AERtextsize10"/>
                            <w:rFonts w:eastAsia="Calibri"/>
                          </w:rPr>
                          <w:t>expenditure</w:t>
                        </w:r>
                        <w:proofErr w:type="gramEnd"/>
                        <w:r w:rsidRPr="005C48D3">
                          <w:rPr>
                            <w:rStyle w:val="AERtextsize10"/>
                            <w:rFonts w:eastAsia="Calibri"/>
                          </w:rPr>
                          <w:br/>
                          <w:t xml:space="preserve">(opex) </w:t>
                        </w:r>
                      </w:p>
                      <w:p w:rsidR="00BF22F8" w:rsidRPr="004414F4" w:rsidRDefault="00BF22F8" w:rsidP="00D5416B">
                        <w:pPr>
                          <w:rPr>
                            <w:color w:val="FFFFFF"/>
                          </w:rPr>
                        </w:pPr>
                      </w:p>
                    </w:txbxContent>
                  </v:textbox>
                </v:shape>
                <v:shape id="Text Box 15" o:spid="_x0000_s1039" type="#_x0000_t202" style="position:absolute;left:15106;top:21665;width:24701;height:6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W+4b8A&#10;AADbAAAADwAAAGRycy9kb3ducmV2LnhtbERPTWsCMRC9F/wPYQRvNbtiq65GkYLSa9WD3obNmCxu&#10;JmuS6vbfN4dCj4/3vdr0rhUPCrHxrKAcFyCIa68bNgpOx93rHERMyBpbz6TghyJs1oOXFVbaP/mL&#10;HodkRA7hWKECm1JXSRlrSw7j2HfEmbv64DBlGIzUAZ853LVyUhTv0mHDucFiRx+W6tvh2yk4m/LN&#10;1mVzCbSfFPfjxcwWaavUaNhvlyAS9elf/Of+1AqmeX3+kn+AX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Nb7hvwAAANsAAAAPAAAAAAAAAAAAAAAAAJgCAABkcnMvZG93bnJl&#10;di54bWxQSwUGAAAAAAQABAD1AAAAhAMAAAAA&#10;" fillcolor="#548dd4" strokecolor="#404040 [2424]">
                  <v:fill color2="#548dd4" focus="100%" type="gradient"/>
                  <v:shadow on="t" color="#7f7f7f [1612]" offset="1pt"/>
                  <v:textbox>
                    <w:txbxContent>
                      <w:p w:rsidR="00BF22F8" w:rsidRPr="005C48D3" w:rsidRDefault="00BF22F8" w:rsidP="00D5416B">
                        <w:pPr>
                          <w:pStyle w:val="TableHeading-centred"/>
                          <w:rPr>
                            <w:rStyle w:val="AERtextsize10"/>
                            <w:rFonts w:eastAsia="Calibri"/>
                          </w:rPr>
                        </w:pPr>
                        <w:r w:rsidRPr="005C48D3">
                          <w:rPr>
                            <w:rStyle w:val="AERtextsize10"/>
                            <w:rFonts w:eastAsia="Calibri"/>
                          </w:rPr>
                          <w:t xml:space="preserve">Revenue adjustments </w:t>
                        </w:r>
                        <w:r w:rsidRPr="005C48D3">
                          <w:rPr>
                            <w:rStyle w:val="AERtextsize10"/>
                            <w:rFonts w:eastAsia="Calibri"/>
                          </w:rPr>
                          <w:br/>
                          <w:t>(increment or decrement)</w:t>
                        </w:r>
                      </w:p>
                    </w:txbxContent>
                  </v:textbox>
                </v:shape>
                <v:shape id="Text Box 16" o:spid="_x0000_s1040" type="#_x0000_t202" style="position:absolute;left:44805;top:15797;width:10441;height:5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BF22F8" w:rsidRDefault="00BF22F8" w:rsidP="00D5416B">
                        <w:pPr>
                          <w:pStyle w:val="AERtabletextleft"/>
                        </w:pPr>
                        <w:r w:rsidRPr="005C48D3">
                          <w:rPr>
                            <w:rStyle w:val="AERtextsize10"/>
                            <w:rFonts w:eastAsia="Calibri"/>
                          </w:rPr>
                          <w:t>Total revenue</w:t>
                        </w:r>
                      </w:p>
                    </w:txbxContent>
                  </v:textbox>
                </v:shape>
                <w10:anchorlock/>
              </v:group>
            </w:pict>
          </mc:Fallback>
        </mc:AlternateContent>
      </w:r>
    </w:p>
    <w:p w:rsidR="00CF00DE" w:rsidRDefault="003C45A6" w:rsidP="00CF00DE">
      <w:pPr>
        <w:pStyle w:val="Heading3"/>
      </w:pPr>
      <w:bookmarkStart w:id="49" w:name="_Toc433016425"/>
      <w:bookmarkStart w:id="50" w:name="_Toc436037692"/>
      <w:bookmarkStart w:id="51" w:name="_Toc451873364"/>
      <w:r>
        <w:t xml:space="preserve">Final </w:t>
      </w:r>
      <w:r w:rsidR="00CF00DE">
        <w:t>decision</w:t>
      </w:r>
      <w:bookmarkEnd w:id="49"/>
      <w:bookmarkEnd w:id="50"/>
      <w:r w:rsidR="00F77711">
        <w:t xml:space="preserve"> on AGN's revenue</w:t>
      </w:r>
      <w:bookmarkEnd w:id="51"/>
    </w:p>
    <w:p w:rsidR="00CF00DE" w:rsidRPr="00671C6F" w:rsidRDefault="00CF00DE" w:rsidP="00CF00DE">
      <w:pPr>
        <w:rPr>
          <w:rStyle w:val="AERbody"/>
        </w:rPr>
      </w:pPr>
      <w:r w:rsidRPr="00671C6F">
        <w:rPr>
          <w:rStyle w:val="AERbody"/>
        </w:rPr>
        <w:t xml:space="preserve">We do not approve AGN's </w:t>
      </w:r>
      <w:r w:rsidR="00046FB1" w:rsidRPr="00671C6F">
        <w:rPr>
          <w:rStyle w:val="AERbody"/>
        </w:rPr>
        <w:t xml:space="preserve">revised </w:t>
      </w:r>
      <w:r w:rsidRPr="00671C6F">
        <w:rPr>
          <w:rStyle w:val="AERbody"/>
        </w:rPr>
        <w:t>proposed total revenue requirement (smoothed) of $</w:t>
      </w:r>
      <w:r w:rsidR="00841BE2" w:rsidRPr="00671C6F">
        <w:rPr>
          <w:rStyle w:val="AERbody"/>
        </w:rPr>
        <w:t>1228.4</w:t>
      </w:r>
      <w:r w:rsidRPr="00671C6F">
        <w:rPr>
          <w:rStyle w:val="AERbody"/>
        </w:rPr>
        <w:t> million ($nominal) for reference services over the 2016–21 access arrangement period.</w:t>
      </w:r>
      <w:r w:rsidRPr="00BE4BB0">
        <w:rPr>
          <w:rStyle w:val="FootnoteReference"/>
        </w:rPr>
        <w:footnoteReference w:id="15"/>
      </w:r>
      <w:r w:rsidRPr="00671C6F">
        <w:rPr>
          <w:rStyle w:val="AERbody"/>
        </w:rPr>
        <w:t xml:space="preserve"> </w:t>
      </w:r>
      <w:r w:rsidR="0034589F" w:rsidRPr="00671C6F">
        <w:rPr>
          <w:rStyle w:val="AERbody"/>
        </w:rPr>
        <w:t xml:space="preserve">Our final decision on the total revenue requirement has been determined using the building block approach set out in rule 76 of the NGR. </w:t>
      </w:r>
      <w:r w:rsidRPr="00671C6F">
        <w:rPr>
          <w:rStyle w:val="AERbody"/>
        </w:rPr>
        <w:t>Based on our assessment of the building block costs, we determine a total revenue requirement (smoothed) of $</w:t>
      </w:r>
      <w:r w:rsidR="00336A17">
        <w:rPr>
          <w:rStyle w:val="AERbody"/>
        </w:rPr>
        <w:t>9</w:t>
      </w:r>
      <w:r w:rsidR="006B79E1">
        <w:rPr>
          <w:rStyle w:val="AERbody"/>
        </w:rPr>
        <w:t>85.</w:t>
      </w:r>
      <w:r w:rsidR="00722523">
        <w:rPr>
          <w:rStyle w:val="AERbody"/>
        </w:rPr>
        <w:t>5</w:t>
      </w:r>
      <w:r w:rsidRPr="00671C6F">
        <w:rPr>
          <w:rStyle w:val="AERbody"/>
        </w:rPr>
        <w:t xml:space="preserve"> million ($nominal) for AGN over the 2016–21 access arrangement period.</w:t>
      </w:r>
      <w:r w:rsidRPr="00BE4BB0">
        <w:rPr>
          <w:rStyle w:val="FootnoteReference"/>
        </w:rPr>
        <w:footnoteReference w:id="16"/>
      </w:r>
      <w:r w:rsidRPr="00BE4BB0">
        <w:rPr>
          <w:rStyle w:val="FootnoteReference"/>
        </w:rPr>
        <w:t xml:space="preserve"> </w:t>
      </w:r>
      <w:r w:rsidRPr="00671C6F">
        <w:rPr>
          <w:rStyle w:val="AERbody"/>
        </w:rPr>
        <w:t>This total smoothed revenue requirement is $</w:t>
      </w:r>
      <w:r w:rsidR="00336A17">
        <w:rPr>
          <w:rStyle w:val="AERbody"/>
        </w:rPr>
        <w:t>2</w:t>
      </w:r>
      <w:r w:rsidR="006B79E1">
        <w:rPr>
          <w:rStyle w:val="AERbody"/>
        </w:rPr>
        <w:t>42.</w:t>
      </w:r>
      <w:r w:rsidR="00722523">
        <w:rPr>
          <w:rStyle w:val="AERbody"/>
        </w:rPr>
        <w:t>9</w:t>
      </w:r>
      <w:r w:rsidRPr="00671C6F">
        <w:rPr>
          <w:rStyle w:val="AERbody"/>
        </w:rPr>
        <w:t xml:space="preserve"> million (or </w:t>
      </w:r>
      <w:r w:rsidR="00841BE2" w:rsidRPr="00671C6F">
        <w:rPr>
          <w:rStyle w:val="AERbody"/>
        </w:rPr>
        <w:t>19.8</w:t>
      </w:r>
      <w:r w:rsidRPr="00671C6F">
        <w:rPr>
          <w:rStyle w:val="AERbody"/>
        </w:rPr>
        <w:t xml:space="preserve"> per cent) lower than AGN's</w:t>
      </w:r>
      <w:r w:rsidR="00046FB1" w:rsidRPr="00671C6F">
        <w:rPr>
          <w:rStyle w:val="AERbody"/>
        </w:rPr>
        <w:t xml:space="preserve"> revised</w:t>
      </w:r>
      <w:r w:rsidRPr="00671C6F">
        <w:rPr>
          <w:rStyle w:val="AERbody"/>
        </w:rPr>
        <w:t xml:space="preserve"> proposal.</w:t>
      </w:r>
    </w:p>
    <w:p w:rsidR="00CF00DE" w:rsidRPr="00A2121F" w:rsidRDefault="00CF00DE" w:rsidP="00CF00DE">
      <w:pPr>
        <w:rPr>
          <w:rStyle w:val="AERtexthighlight"/>
        </w:rPr>
      </w:pPr>
      <w:r w:rsidRPr="00671C6F">
        <w:rPr>
          <w:rStyle w:val="AERbody"/>
        </w:rPr>
        <w:t xml:space="preserve">We do not approve AGN's </w:t>
      </w:r>
      <w:r w:rsidR="00046FB1" w:rsidRPr="00671C6F">
        <w:rPr>
          <w:rStyle w:val="AERbody"/>
        </w:rPr>
        <w:t xml:space="preserve">revised </w:t>
      </w:r>
      <w:r w:rsidRPr="00671C6F">
        <w:rPr>
          <w:rStyle w:val="AERbody"/>
        </w:rPr>
        <w:t xml:space="preserve">proposed 2016–17 tariffs, which </w:t>
      </w:r>
      <w:r w:rsidR="004D36F6">
        <w:rPr>
          <w:rStyle w:val="AERbody"/>
        </w:rPr>
        <w:t>would result in</w:t>
      </w:r>
      <w:r w:rsidR="004D36F6" w:rsidRPr="00671C6F">
        <w:rPr>
          <w:rStyle w:val="AERbody"/>
        </w:rPr>
        <w:t xml:space="preserve"> </w:t>
      </w:r>
      <w:r w:rsidRPr="00671C6F">
        <w:rPr>
          <w:rStyle w:val="AERbody"/>
        </w:rPr>
        <w:t xml:space="preserve">a weighted average decrease in real tariffs of </w:t>
      </w:r>
      <w:r w:rsidR="00841BE2" w:rsidRPr="00671C6F">
        <w:rPr>
          <w:rStyle w:val="AERbody"/>
        </w:rPr>
        <w:t>5.47</w:t>
      </w:r>
      <w:r w:rsidRPr="00671C6F">
        <w:rPr>
          <w:rStyle w:val="AERbody"/>
        </w:rPr>
        <w:t xml:space="preserve"> per cent. We also do not approve AGN’s </w:t>
      </w:r>
      <w:r w:rsidR="00046FB1" w:rsidRPr="00671C6F">
        <w:rPr>
          <w:rStyle w:val="AERbody"/>
        </w:rPr>
        <w:t xml:space="preserve">revised </w:t>
      </w:r>
      <w:r w:rsidRPr="00671C6F">
        <w:rPr>
          <w:rStyle w:val="AERbody"/>
        </w:rPr>
        <w:t>proposed 2017–21 tariff path, which implied a weighted average increase in real tariffs of 5.0 per cent per year.</w:t>
      </w:r>
      <w:r w:rsidRPr="00BE4BB0">
        <w:rPr>
          <w:rStyle w:val="FootnoteReference"/>
        </w:rPr>
        <w:footnoteReference w:id="17"/>
      </w:r>
      <w:r w:rsidRPr="00BE4BB0">
        <w:rPr>
          <w:rStyle w:val="FootnoteReference"/>
        </w:rPr>
        <w:t xml:space="preserve"> </w:t>
      </w:r>
      <w:r w:rsidRPr="00671C6F">
        <w:rPr>
          <w:rStyle w:val="AERbody"/>
        </w:rPr>
        <w:t xml:space="preserve">As a result of our lower total revenue requirement, our </w:t>
      </w:r>
      <w:r w:rsidR="003C45A6" w:rsidRPr="00671C6F">
        <w:rPr>
          <w:rStyle w:val="AERbody"/>
        </w:rPr>
        <w:t xml:space="preserve">final </w:t>
      </w:r>
      <w:r w:rsidRPr="00671C6F">
        <w:rPr>
          <w:rStyle w:val="AERbody"/>
        </w:rPr>
        <w:t xml:space="preserve">decision is for a real decrease in weighted average tariffs of </w:t>
      </w:r>
      <w:r w:rsidR="006B79E1">
        <w:rPr>
          <w:rStyle w:val="AERbody"/>
        </w:rPr>
        <w:t>23.</w:t>
      </w:r>
      <w:r w:rsidR="00722523">
        <w:rPr>
          <w:rStyle w:val="AERbody"/>
        </w:rPr>
        <w:t>4</w:t>
      </w:r>
      <w:r w:rsidRPr="00671C6F">
        <w:rPr>
          <w:rStyle w:val="AERbody"/>
        </w:rPr>
        <w:t xml:space="preserve"> per cent in 2016–17, and then real increases of </w:t>
      </w:r>
      <w:r w:rsidR="00F837A2">
        <w:rPr>
          <w:rStyle w:val="AERbody"/>
        </w:rPr>
        <w:t>3.8</w:t>
      </w:r>
      <w:r w:rsidRPr="00671C6F">
        <w:rPr>
          <w:rStyle w:val="AERbody"/>
        </w:rPr>
        <w:t xml:space="preserve"> per cent for each subsequent year of the 2016–21 access arrangement period.</w:t>
      </w:r>
      <w:r w:rsidRPr="00A2121F">
        <w:rPr>
          <w:rStyle w:val="AERtexthighlight"/>
        </w:rPr>
        <w:t xml:space="preserve"> </w:t>
      </w:r>
    </w:p>
    <w:p w:rsidR="00CF00DE" w:rsidRPr="00671C6F" w:rsidRDefault="00CF00DE" w:rsidP="00CF00DE">
      <w:pPr>
        <w:rPr>
          <w:rStyle w:val="AERbody"/>
        </w:rPr>
      </w:pPr>
      <w:r w:rsidRPr="00671C6F">
        <w:rPr>
          <w:rStyle w:val="AERbody"/>
        </w:rPr>
        <w:fldChar w:fldCharType="begin"/>
      </w:r>
      <w:r w:rsidRPr="00671C6F">
        <w:rPr>
          <w:rStyle w:val="AERbody"/>
        </w:rPr>
        <w:instrText xml:space="preserve"> REF _Ref433875619 \h </w:instrText>
      </w:r>
      <w:r w:rsidR="00A2121F" w:rsidRPr="00671C6F">
        <w:rPr>
          <w:rStyle w:val="AERbody"/>
        </w:rPr>
        <w:instrText xml:space="preserve"> \* MERGEFORMAT </w:instrText>
      </w:r>
      <w:r w:rsidRPr="00671C6F">
        <w:rPr>
          <w:rStyle w:val="AERbody"/>
        </w:rPr>
      </w:r>
      <w:r w:rsidRPr="00671C6F">
        <w:rPr>
          <w:rStyle w:val="AERbody"/>
        </w:rPr>
        <w:fldChar w:fldCharType="separate"/>
      </w:r>
      <w:r w:rsidR="006E1111" w:rsidRPr="006E1111">
        <w:rPr>
          <w:rStyle w:val="AERbody"/>
        </w:rPr>
        <w:t>Table 1</w:t>
      </w:r>
      <w:r w:rsidRPr="00671C6F">
        <w:rPr>
          <w:rStyle w:val="AERbody"/>
        </w:rPr>
        <w:fldChar w:fldCharType="end"/>
      </w:r>
      <w:r w:rsidRPr="00671C6F">
        <w:rPr>
          <w:rStyle w:val="AERbody"/>
        </w:rPr>
        <w:t xml:space="preserve"> sets out our </w:t>
      </w:r>
      <w:r w:rsidR="003C45A6" w:rsidRPr="00671C6F">
        <w:rPr>
          <w:rStyle w:val="AERbody"/>
        </w:rPr>
        <w:t xml:space="preserve">final </w:t>
      </w:r>
      <w:r w:rsidRPr="00671C6F">
        <w:rPr>
          <w:rStyle w:val="AERbody"/>
        </w:rPr>
        <w:t>decision on AGN's revenue requirement, by building block, for each year of the 2016–21 access arrangement period, the total revenue after equalisation (smoothing) and the X factors for use in the tariff variation mechanism.</w:t>
      </w:r>
    </w:p>
    <w:p w:rsidR="00CF00DE" w:rsidRPr="007A5A6C" w:rsidRDefault="00CF00DE" w:rsidP="00D9287A">
      <w:pPr>
        <w:pStyle w:val="Caption"/>
      </w:pPr>
      <w:bookmarkStart w:id="52" w:name="_Ref433875619"/>
      <w:r>
        <w:t xml:space="preserve">Table </w:t>
      </w:r>
      <w:r w:rsidRPr="00CF00DE">
        <w:fldChar w:fldCharType="begin"/>
      </w:r>
      <w:r>
        <w:instrText xml:space="preserve"> SEQ Table \* ARABIC </w:instrText>
      </w:r>
      <w:r w:rsidRPr="00CF00DE">
        <w:fldChar w:fldCharType="separate"/>
      </w:r>
      <w:r w:rsidR="006E1111">
        <w:rPr>
          <w:noProof/>
        </w:rPr>
        <w:t>1</w:t>
      </w:r>
      <w:r w:rsidRPr="00CF00DE">
        <w:fldChar w:fldCharType="end"/>
      </w:r>
      <w:bookmarkEnd w:id="52"/>
      <w:r w:rsidRPr="007A5A6C">
        <w:tab/>
        <w:t xml:space="preserve">AER's </w:t>
      </w:r>
      <w:r w:rsidR="003C45A6">
        <w:t>final</w:t>
      </w:r>
      <w:r w:rsidR="003C45A6" w:rsidRPr="007A5A6C">
        <w:t xml:space="preserve"> </w:t>
      </w:r>
      <w:r w:rsidRPr="007A5A6C">
        <w:t xml:space="preserve">decision on </w:t>
      </w:r>
      <w:r>
        <w:t>AGN</w:t>
      </w:r>
      <w:r w:rsidRPr="007A5A6C">
        <w:t>'s smoothed total revenue and X factors for the 201</w:t>
      </w:r>
      <w:r>
        <w:t>6</w:t>
      </w:r>
      <w:r w:rsidRPr="007A5A6C">
        <w:t>–2</w:t>
      </w:r>
      <w:r>
        <w:t>1</w:t>
      </w:r>
      <w:r w:rsidRPr="007A5A6C">
        <w:t xml:space="preserve"> access arrangement period ($million, nominal)</w:t>
      </w:r>
    </w:p>
    <w:tbl>
      <w:tblPr>
        <w:tblStyle w:val="AERtable-numbers"/>
        <w:tblW w:w="8701" w:type="dxa"/>
        <w:tblLayout w:type="fixed"/>
        <w:tblLook w:val="04A0" w:firstRow="1" w:lastRow="0" w:firstColumn="1" w:lastColumn="0" w:noHBand="0" w:noVBand="1"/>
      </w:tblPr>
      <w:tblGrid>
        <w:gridCol w:w="2809"/>
        <w:gridCol w:w="982"/>
        <w:gridCol w:w="982"/>
        <w:gridCol w:w="982"/>
        <w:gridCol w:w="982"/>
        <w:gridCol w:w="982"/>
        <w:gridCol w:w="982"/>
      </w:tblGrid>
      <w:tr w:rsidR="00CF00DE" w:rsidRPr="00F6794A" w:rsidTr="00E55214">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000" w:firstRow="0" w:lastRow="0" w:firstColumn="1" w:lastColumn="0" w:oddVBand="0" w:evenVBand="0" w:oddHBand="0" w:evenHBand="0" w:firstRowFirstColumn="0" w:firstRowLastColumn="0" w:lastRowFirstColumn="0" w:lastRowLastColumn="0"/>
            <w:tcW w:w="2809" w:type="dxa"/>
            <w:hideMark/>
          </w:tcPr>
          <w:p w:rsidR="00CF00DE" w:rsidRPr="00CF00DE" w:rsidRDefault="00CF00DE" w:rsidP="00D9287A">
            <w:pPr>
              <w:keepNext/>
            </w:pPr>
            <w:r w:rsidRPr="00F6794A">
              <w:t>Building block</w:t>
            </w:r>
          </w:p>
        </w:tc>
        <w:tc>
          <w:tcPr>
            <w:tcW w:w="982" w:type="dxa"/>
            <w:hideMark/>
          </w:tcPr>
          <w:p w:rsidR="00CF00DE" w:rsidRPr="00CF00DE" w:rsidRDefault="00CF00DE" w:rsidP="00D9287A">
            <w:pPr>
              <w:keepNext/>
              <w:cnfStyle w:val="100000000000" w:firstRow="1" w:lastRow="0" w:firstColumn="0" w:lastColumn="0" w:oddVBand="0" w:evenVBand="0" w:oddHBand="0" w:evenHBand="0" w:firstRowFirstColumn="0" w:firstRowLastColumn="0" w:lastRowFirstColumn="0" w:lastRowLastColumn="0"/>
            </w:pPr>
            <w:r w:rsidRPr="00F6794A">
              <w:t>2016–17</w:t>
            </w:r>
          </w:p>
        </w:tc>
        <w:tc>
          <w:tcPr>
            <w:tcW w:w="982" w:type="dxa"/>
            <w:hideMark/>
          </w:tcPr>
          <w:p w:rsidR="00CF00DE" w:rsidRPr="00CF00DE" w:rsidRDefault="00CF00DE" w:rsidP="00D9287A">
            <w:pPr>
              <w:keepNext/>
              <w:cnfStyle w:val="100000000000" w:firstRow="1" w:lastRow="0" w:firstColumn="0" w:lastColumn="0" w:oddVBand="0" w:evenVBand="0" w:oddHBand="0" w:evenHBand="0" w:firstRowFirstColumn="0" w:firstRowLastColumn="0" w:lastRowFirstColumn="0" w:lastRowLastColumn="0"/>
            </w:pPr>
            <w:r w:rsidRPr="00F6794A">
              <w:t>2017–18</w:t>
            </w:r>
          </w:p>
        </w:tc>
        <w:tc>
          <w:tcPr>
            <w:tcW w:w="982" w:type="dxa"/>
            <w:hideMark/>
          </w:tcPr>
          <w:p w:rsidR="00CF00DE" w:rsidRPr="00CF00DE" w:rsidRDefault="00CF00DE" w:rsidP="00D9287A">
            <w:pPr>
              <w:keepNext/>
              <w:cnfStyle w:val="100000000000" w:firstRow="1" w:lastRow="0" w:firstColumn="0" w:lastColumn="0" w:oddVBand="0" w:evenVBand="0" w:oddHBand="0" w:evenHBand="0" w:firstRowFirstColumn="0" w:firstRowLastColumn="0" w:lastRowFirstColumn="0" w:lastRowLastColumn="0"/>
            </w:pPr>
            <w:r w:rsidRPr="00F6794A">
              <w:t>2018–19</w:t>
            </w:r>
          </w:p>
        </w:tc>
        <w:tc>
          <w:tcPr>
            <w:tcW w:w="982" w:type="dxa"/>
            <w:hideMark/>
          </w:tcPr>
          <w:p w:rsidR="00CF00DE" w:rsidRPr="00CF00DE" w:rsidRDefault="00CF00DE" w:rsidP="00D9287A">
            <w:pPr>
              <w:keepNext/>
              <w:cnfStyle w:val="100000000000" w:firstRow="1" w:lastRow="0" w:firstColumn="0" w:lastColumn="0" w:oddVBand="0" w:evenVBand="0" w:oddHBand="0" w:evenHBand="0" w:firstRowFirstColumn="0" w:firstRowLastColumn="0" w:lastRowFirstColumn="0" w:lastRowLastColumn="0"/>
            </w:pPr>
            <w:r w:rsidRPr="00F6794A">
              <w:t>2019–20</w:t>
            </w:r>
          </w:p>
        </w:tc>
        <w:tc>
          <w:tcPr>
            <w:tcW w:w="982" w:type="dxa"/>
          </w:tcPr>
          <w:p w:rsidR="00CF00DE" w:rsidRPr="00CF00DE" w:rsidRDefault="00CF00DE" w:rsidP="00D9287A">
            <w:pPr>
              <w:keepNext/>
              <w:cnfStyle w:val="100000000000" w:firstRow="1" w:lastRow="0" w:firstColumn="0" w:lastColumn="0" w:oddVBand="0" w:evenVBand="0" w:oddHBand="0" w:evenHBand="0" w:firstRowFirstColumn="0" w:firstRowLastColumn="0" w:lastRowFirstColumn="0" w:lastRowLastColumn="0"/>
            </w:pPr>
            <w:r w:rsidRPr="00F6794A">
              <w:t>2020–21</w:t>
            </w:r>
          </w:p>
        </w:tc>
        <w:tc>
          <w:tcPr>
            <w:tcW w:w="982" w:type="dxa"/>
            <w:hideMark/>
          </w:tcPr>
          <w:p w:rsidR="00CF00DE" w:rsidRPr="00CF00DE" w:rsidRDefault="00CF00DE" w:rsidP="00D9287A">
            <w:pPr>
              <w:keepNext/>
              <w:cnfStyle w:val="100000000000" w:firstRow="1" w:lastRow="0" w:firstColumn="0" w:lastColumn="0" w:oddVBand="0" w:evenVBand="0" w:oddHBand="0" w:evenHBand="0" w:firstRowFirstColumn="0" w:firstRowLastColumn="0" w:lastRowFirstColumn="0" w:lastRowLastColumn="0"/>
            </w:pPr>
            <w:r w:rsidRPr="00F6794A">
              <w:t>Total</w:t>
            </w:r>
          </w:p>
        </w:tc>
      </w:tr>
      <w:tr w:rsidR="00A676B0" w:rsidRPr="00F6794A" w:rsidTr="00584BAE">
        <w:trPr>
          <w:trHeight w:val="291"/>
        </w:trPr>
        <w:tc>
          <w:tcPr>
            <w:cnfStyle w:val="001000000000" w:firstRow="0" w:lastRow="0" w:firstColumn="1" w:lastColumn="0" w:oddVBand="0" w:evenVBand="0" w:oddHBand="0" w:evenHBand="0" w:firstRowFirstColumn="0" w:firstRowLastColumn="0" w:lastRowFirstColumn="0" w:lastRowLastColumn="0"/>
            <w:tcW w:w="2809" w:type="dxa"/>
            <w:hideMark/>
          </w:tcPr>
          <w:p w:rsidR="00A676B0" w:rsidRPr="00A676B0" w:rsidRDefault="00A676B0" w:rsidP="00A676B0">
            <w:r w:rsidRPr="00A676B0">
              <w:t>Return on capital</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85.1</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91.6</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97.9</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104.4</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111.0</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490.2</w:t>
            </w:r>
          </w:p>
        </w:tc>
      </w:tr>
      <w:tr w:rsidR="00A676B0" w:rsidRPr="00F6794A" w:rsidTr="00584BAE">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809" w:type="dxa"/>
            <w:hideMark/>
          </w:tcPr>
          <w:p w:rsidR="00A676B0" w:rsidRPr="00A676B0" w:rsidRDefault="00A676B0" w:rsidP="00A676B0">
            <w:r w:rsidRPr="00A676B0">
              <w:t>Regulatory depreciation</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11.2</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14.3</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19.6</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24.5</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24.0</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93.6</w:t>
            </w:r>
          </w:p>
        </w:tc>
      </w:tr>
      <w:tr w:rsidR="00A676B0" w:rsidRPr="00F6794A" w:rsidTr="00584BAE">
        <w:trPr>
          <w:trHeight w:val="302"/>
        </w:trPr>
        <w:tc>
          <w:tcPr>
            <w:cnfStyle w:val="001000000000" w:firstRow="0" w:lastRow="0" w:firstColumn="1" w:lastColumn="0" w:oddVBand="0" w:evenVBand="0" w:oddHBand="0" w:evenHBand="0" w:firstRowFirstColumn="0" w:firstRowLastColumn="0" w:lastRowFirstColumn="0" w:lastRowLastColumn="0"/>
            <w:tcW w:w="2809" w:type="dxa"/>
            <w:hideMark/>
          </w:tcPr>
          <w:p w:rsidR="00A676B0" w:rsidRPr="00A676B0" w:rsidRDefault="00A676B0" w:rsidP="00A676B0">
            <w:r w:rsidRPr="00A676B0">
              <w:t>Operating expenditure</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73.1</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76.4</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79.7</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81.8</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83.9</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394.9</w:t>
            </w:r>
          </w:p>
        </w:tc>
      </w:tr>
      <w:tr w:rsidR="00A676B0" w:rsidRPr="00F6794A" w:rsidTr="00584BAE">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09" w:type="dxa"/>
          </w:tcPr>
          <w:p w:rsidR="00A676B0" w:rsidRPr="00A676B0" w:rsidRDefault="00A676B0" w:rsidP="00A676B0">
            <w:r w:rsidRPr="00A676B0">
              <w:t>Revenue adjustments</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5.5</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t>–</w:t>
            </w:r>
            <w:r w:rsidRPr="00A676B0">
              <w:t>2.8</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t>–</w:t>
            </w:r>
            <w:r w:rsidRPr="00A676B0">
              <w:t>3.7</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0.3</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0.0</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t>–</w:t>
            </w:r>
            <w:r w:rsidRPr="00A676B0">
              <w:t>0.7</w:t>
            </w:r>
          </w:p>
        </w:tc>
      </w:tr>
      <w:tr w:rsidR="00A676B0" w:rsidRPr="00F6794A" w:rsidTr="00584BAE">
        <w:trPr>
          <w:trHeight w:val="280"/>
        </w:trPr>
        <w:tc>
          <w:tcPr>
            <w:cnfStyle w:val="001000000000" w:firstRow="0" w:lastRow="0" w:firstColumn="1" w:lastColumn="0" w:oddVBand="0" w:evenVBand="0" w:oddHBand="0" w:evenHBand="0" w:firstRowFirstColumn="0" w:firstRowLastColumn="0" w:lastRowFirstColumn="0" w:lastRowLastColumn="0"/>
            <w:tcW w:w="2809" w:type="dxa"/>
            <w:hideMark/>
          </w:tcPr>
          <w:p w:rsidR="00A676B0" w:rsidRPr="00A676B0" w:rsidRDefault="00A676B0" w:rsidP="00A676B0">
            <w:r w:rsidRPr="00A676B0">
              <w:t>Corporate income tax</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2.2</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1.8</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1.6</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2.2</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0.8</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8.7</w:t>
            </w:r>
          </w:p>
        </w:tc>
      </w:tr>
      <w:tr w:rsidR="00A676B0" w:rsidRPr="000C44D4" w:rsidTr="00584BAE">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809" w:type="dxa"/>
            <w:hideMark/>
          </w:tcPr>
          <w:p w:rsidR="00A676B0" w:rsidRPr="00A676B0" w:rsidRDefault="00A676B0" w:rsidP="00A676B0">
            <w:pPr>
              <w:rPr>
                <w:rStyle w:val="Strong"/>
              </w:rPr>
            </w:pPr>
            <w:r w:rsidRPr="00A676B0">
              <w:rPr>
                <w:rStyle w:val="Strong"/>
              </w:rPr>
              <w:t>Building block revenue – unsmoothed (including ARS)</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Strong"/>
              </w:rPr>
            </w:pPr>
            <w:r w:rsidRPr="00B95A89">
              <w:rPr>
                <w:rStyle w:val="Strong"/>
              </w:rPr>
              <w:t>177.2</w:t>
            </w:r>
          </w:p>
        </w:tc>
        <w:tc>
          <w:tcPr>
            <w:tcW w:w="982" w:type="dxa"/>
          </w:tcPr>
          <w:p w:rsidR="00A676B0" w:rsidRPr="00B95A89" w:rsidRDefault="00A676B0" w:rsidP="00A676B0">
            <w:pPr>
              <w:cnfStyle w:val="000000010000" w:firstRow="0" w:lastRow="0" w:firstColumn="0" w:lastColumn="0" w:oddVBand="0" w:evenVBand="0" w:oddHBand="0" w:evenHBand="1" w:firstRowFirstColumn="0" w:firstRowLastColumn="0" w:lastRowFirstColumn="0" w:lastRowLastColumn="0"/>
              <w:rPr>
                <w:rStyle w:val="Strong"/>
              </w:rPr>
            </w:pPr>
            <w:r w:rsidRPr="00B95A89">
              <w:rPr>
                <w:rStyle w:val="Strong"/>
              </w:rPr>
              <w:t>181.4</w:t>
            </w:r>
          </w:p>
        </w:tc>
        <w:tc>
          <w:tcPr>
            <w:tcW w:w="982" w:type="dxa"/>
          </w:tcPr>
          <w:p w:rsidR="00A676B0" w:rsidRPr="00B95A89" w:rsidRDefault="00A676B0" w:rsidP="00A676B0">
            <w:pPr>
              <w:cnfStyle w:val="000000010000" w:firstRow="0" w:lastRow="0" w:firstColumn="0" w:lastColumn="0" w:oddVBand="0" w:evenVBand="0" w:oddHBand="0" w:evenHBand="1" w:firstRowFirstColumn="0" w:firstRowLastColumn="0" w:lastRowFirstColumn="0" w:lastRowLastColumn="0"/>
              <w:rPr>
                <w:rStyle w:val="Strong"/>
              </w:rPr>
            </w:pPr>
            <w:r w:rsidRPr="00B95A89">
              <w:rPr>
                <w:rStyle w:val="Strong"/>
              </w:rPr>
              <w:t>195.2</w:t>
            </w:r>
          </w:p>
        </w:tc>
        <w:tc>
          <w:tcPr>
            <w:tcW w:w="982" w:type="dxa"/>
          </w:tcPr>
          <w:p w:rsidR="00A676B0" w:rsidRPr="00B95A89" w:rsidRDefault="00A676B0" w:rsidP="00A676B0">
            <w:pPr>
              <w:cnfStyle w:val="000000010000" w:firstRow="0" w:lastRow="0" w:firstColumn="0" w:lastColumn="0" w:oddVBand="0" w:evenVBand="0" w:oddHBand="0" w:evenHBand="1" w:firstRowFirstColumn="0" w:firstRowLastColumn="0" w:lastRowFirstColumn="0" w:lastRowLastColumn="0"/>
              <w:rPr>
                <w:rStyle w:val="Strong"/>
              </w:rPr>
            </w:pPr>
            <w:r w:rsidRPr="00B95A89">
              <w:rPr>
                <w:rStyle w:val="Strong"/>
              </w:rPr>
              <w:t>213.2</w:t>
            </w:r>
          </w:p>
        </w:tc>
        <w:tc>
          <w:tcPr>
            <w:tcW w:w="982" w:type="dxa"/>
          </w:tcPr>
          <w:p w:rsidR="00A676B0" w:rsidRPr="00B95A89" w:rsidRDefault="00A676B0" w:rsidP="00A676B0">
            <w:pPr>
              <w:cnfStyle w:val="000000010000" w:firstRow="0" w:lastRow="0" w:firstColumn="0" w:lastColumn="0" w:oddVBand="0" w:evenVBand="0" w:oddHBand="0" w:evenHBand="1" w:firstRowFirstColumn="0" w:firstRowLastColumn="0" w:lastRowFirstColumn="0" w:lastRowLastColumn="0"/>
              <w:rPr>
                <w:rStyle w:val="Strong"/>
              </w:rPr>
            </w:pPr>
            <w:r w:rsidRPr="00B95A89">
              <w:rPr>
                <w:rStyle w:val="Strong"/>
              </w:rPr>
              <w:t>219.8</w:t>
            </w:r>
          </w:p>
        </w:tc>
        <w:tc>
          <w:tcPr>
            <w:tcW w:w="982" w:type="dxa"/>
          </w:tcPr>
          <w:p w:rsidR="00A676B0" w:rsidRPr="00B95A89" w:rsidRDefault="00A676B0" w:rsidP="00A676B0">
            <w:pPr>
              <w:cnfStyle w:val="000000010000" w:firstRow="0" w:lastRow="0" w:firstColumn="0" w:lastColumn="0" w:oddVBand="0" w:evenVBand="0" w:oddHBand="0" w:evenHBand="1" w:firstRowFirstColumn="0" w:firstRowLastColumn="0" w:lastRowFirstColumn="0" w:lastRowLastColumn="0"/>
              <w:rPr>
                <w:rStyle w:val="Strong"/>
              </w:rPr>
            </w:pPr>
            <w:r w:rsidRPr="00B95A89">
              <w:rPr>
                <w:rStyle w:val="Strong"/>
              </w:rPr>
              <w:t>986.7</w:t>
            </w:r>
          </w:p>
        </w:tc>
      </w:tr>
      <w:tr w:rsidR="00A676B0" w:rsidRPr="00597AB3" w:rsidTr="00584BAE">
        <w:trPr>
          <w:trHeight w:val="265"/>
        </w:trPr>
        <w:tc>
          <w:tcPr>
            <w:cnfStyle w:val="001000000000" w:firstRow="0" w:lastRow="0" w:firstColumn="1" w:lastColumn="0" w:oddVBand="0" w:evenVBand="0" w:oddHBand="0" w:evenHBand="0" w:firstRowFirstColumn="0" w:firstRowLastColumn="0" w:lastRowFirstColumn="0" w:lastRowLastColumn="0"/>
            <w:tcW w:w="2809" w:type="dxa"/>
          </w:tcPr>
          <w:p w:rsidR="00A676B0" w:rsidRPr="00A676B0" w:rsidRDefault="00A676B0" w:rsidP="00A676B0">
            <w:r w:rsidRPr="00A676B0">
              <w:t>Less ancillary reference services revenue</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2.2</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2.2</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2.3</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2.4</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2.5</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11.6</w:t>
            </w:r>
          </w:p>
        </w:tc>
      </w:tr>
      <w:tr w:rsidR="00A676B0" w:rsidRPr="00597AB3" w:rsidTr="00584BAE">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809" w:type="dxa"/>
          </w:tcPr>
          <w:p w:rsidR="00A676B0" w:rsidRPr="00A676B0" w:rsidRDefault="00A676B0" w:rsidP="00A676B0">
            <w:r w:rsidRPr="00A676B0">
              <w:t>Building block revenue - unsmoothed (excluding ARS)</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175.0</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179.1</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192.9</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210.8</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217.3</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975.1</w:t>
            </w:r>
          </w:p>
        </w:tc>
      </w:tr>
      <w:tr w:rsidR="00A676B0" w:rsidRPr="00597AB3" w:rsidTr="00584BAE">
        <w:trPr>
          <w:trHeight w:val="265"/>
        </w:trPr>
        <w:tc>
          <w:tcPr>
            <w:cnfStyle w:val="001000000000" w:firstRow="0" w:lastRow="0" w:firstColumn="1" w:lastColumn="0" w:oddVBand="0" w:evenVBand="0" w:oddHBand="0" w:evenHBand="0" w:firstRowFirstColumn="0" w:firstRowLastColumn="0" w:lastRowFirstColumn="0" w:lastRowLastColumn="0"/>
            <w:tcW w:w="2809" w:type="dxa"/>
            <w:hideMark/>
          </w:tcPr>
          <w:p w:rsidR="00A676B0" w:rsidRPr="00A676B0" w:rsidRDefault="00A676B0" w:rsidP="00A676B0">
            <w:r w:rsidRPr="00A676B0">
              <w:t>Building block revenue – smoothed (excluding ARS)</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176.3</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184.4</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193.9</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204.1</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215.2</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973.9</w:t>
            </w:r>
          </w:p>
        </w:tc>
      </w:tr>
      <w:tr w:rsidR="00A676B0" w:rsidRPr="00597AB3" w:rsidTr="00584BAE">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809" w:type="dxa"/>
          </w:tcPr>
          <w:p w:rsidR="00A676B0" w:rsidRPr="00A676B0" w:rsidRDefault="00A676B0" w:rsidP="00A676B0">
            <w:pPr>
              <w:rPr>
                <w:rStyle w:val="Strong"/>
              </w:rPr>
            </w:pPr>
            <w:r w:rsidRPr="00A676B0">
              <w:t>X factor</w:t>
            </w:r>
            <w:r w:rsidRPr="00A676B0">
              <w:rPr>
                <w:rStyle w:val="AERsuperscript"/>
              </w:rPr>
              <w:t>a</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23.40</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t>–</w:t>
            </w:r>
            <w:r w:rsidRPr="00A676B0">
              <w:t>3.80</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t>–</w:t>
            </w:r>
            <w:r w:rsidRPr="00A676B0">
              <w:t>3.80</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t>–</w:t>
            </w:r>
            <w:r w:rsidRPr="00A676B0">
              <w:t>3.80</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t>–</w:t>
            </w:r>
            <w:r w:rsidRPr="00A676B0">
              <w:t>3.80</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n/a</w:t>
            </w:r>
          </w:p>
        </w:tc>
      </w:tr>
      <w:tr w:rsidR="00A676B0" w:rsidRPr="00F6794A" w:rsidTr="00584BAE">
        <w:trPr>
          <w:trHeight w:val="270"/>
        </w:trPr>
        <w:tc>
          <w:tcPr>
            <w:cnfStyle w:val="001000000000" w:firstRow="0" w:lastRow="0" w:firstColumn="1" w:lastColumn="0" w:oddVBand="0" w:evenVBand="0" w:oddHBand="0" w:evenHBand="0" w:firstRowFirstColumn="0" w:firstRowLastColumn="0" w:lastRowFirstColumn="0" w:lastRowLastColumn="0"/>
            <w:tcW w:w="2809" w:type="dxa"/>
            <w:hideMark/>
          </w:tcPr>
          <w:p w:rsidR="00A676B0" w:rsidRPr="00A676B0" w:rsidRDefault="00A676B0" w:rsidP="00A676B0">
            <w:pPr>
              <w:pStyle w:val="BodyText3"/>
              <w:rPr>
                <w:rStyle w:val="Strong"/>
              </w:rPr>
            </w:pPr>
            <w:r w:rsidRPr="00A676B0">
              <w:t>Inflation forecast</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2.39</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2.39</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2.39</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2.39</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2.39</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AERtexthighlight"/>
              </w:rPr>
            </w:pPr>
            <w:r w:rsidRPr="00A676B0">
              <w:t>n/a</w:t>
            </w:r>
          </w:p>
        </w:tc>
      </w:tr>
      <w:tr w:rsidR="00A676B0" w:rsidRPr="00F6794A" w:rsidTr="00584BAE">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09" w:type="dxa"/>
            <w:hideMark/>
          </w:tcPr>
          <w:p w:rsidR="00A676B0" w:rsidRPr="00A676B0" w:rsidRDefault="00A676B0" w:rsidP="00A676B0">
            <w:r w:rsidRPr="00A676B0">
              <w:t>Nominal price change</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t>–</w:t>
            </w:r>
            <w:r w:rsidRPr="00A676B0">
              <w:t>21.6</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6.3</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6.3</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6.3</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6.3</w:t>
            </w:r>
          </w:p>
        </w:tc>
        <w:tc>
          <w:tcPr>
            <w:tcW w:w="982" w:type="dxa"/>
          </w:tcPr>
          <w:p w:rsidR="00A676B0" w:rsidRPr="00A676B0" w:rsidRDefault="00A676B0" w:rsidP="00A676B0">
            <w:pPr>
              <w:cnfStyle w:val="000000010000" w:firstRow="0" w:lastRow="0" w:firstColumn="0" w:lastColumn="0" w:oddVBand="0" w:evenVBand="0" w:oddHBand="0" w:evenHBand="1" w:firstRowFirstColumn="0" w:firstRowLastColumn="0" w:lastRowFirstColumn="0" w:lastRowLastColumn="0"/>
              <w:rPr>
                <w:rStyle w:val="AERtexthighlight"/>
              </w:rPr>
            </w:pPr>
            <w:r w:rsidRPr="00A676B0">
              <w:t>n/a</w:t>
            </w:r>
          </w:p>
        </w:tc>
      </w:tr>
      <w:tr w:rsidR="00A676B0" w:rsidRPr="00F6794A" w:rsidTr="00584BAE">
        <w:trPr>
          <w:trHeight w:val="406"/>
        </w:trPr>
        <w:tc>
          <w:tcPr>
            <w:cnfStyle w:val="001000000000" w:firstRow="0" w:lastRow="0" w:firstColumn="1" w:lastColumn="0" w:oddVBand="0" w:evenVBand="0" w:oddHBand="0" w:evenHBand="0" w:firstRowFirstColumn="0" w:firstRowLastColumn="0" w:lastRowFirstColumn="0" w:lastRowLastColumn="0"/>
            <w:tcW w:w="2809" w:type="dxa"/>
            <w:hideMark/>
          </w:tcPr>
          <w:p w:rsidR="00A676B0" w:rsidRPr="00A676B0" w:rsidRDefault="00A676B0" w:rsidP="00A676B0">
            <w:pPr>
              <w:rPr>
                <w:rStyle w:val="Strong"/>
              </w:rPr>
            </w:pPr>
            <w:r w:rsidRPr="00A676B0">
              <w:rPr>
                <w:rStyle w:val="Strong"/>
              </w:rPr>
              <w:t>Building block revenue - smoothed (including ARS)</w:t>
            </w:r>
          </w:p>
        </w:tc>
        <w:tc>
          <w:tcPr>
            <w:tcW w:w="982" w:type="dxa"/>
          </w:tcPr>
          <w:p w:rsidR="00A676B0" w:rsidRPr="00A676B0" w:rsidRDefault="00A676B0" w:rsidP="00A676B0">
            <w:pPr>
              <w:cnfStyle w:val="000000000000" w:firstRow="0" w:lastRow="0" w:firstColumn="0" w:lastColumn="0" w:oddVBand="0" w:evenVBand="0" w:oddHBand="0" w:evenHBand="0" w:firstRowFirstColumn="0" w:firstRowLastColumn="0" w:lastRowFirstColumn="0" w:lastRowLastColumn="0"/>
              <w:rPr>
                <w:rStyle w:val="Strong"/>
              </w:rPr>
            </w:pPr>
            <w:r w:rsidRPr="00B95A89">
              <w:rPr>
                <w:rStyle w:val="Strong"/>
              </w:rPr>
              <w:t>178.5</w:t>
            </w:r>
          </w:p>
        </w:tc>
        <w:tc>
          <w:tcPr>
            <w:tcW w:w="982" w:type="dxa"/>
          </w:tcPr>
          <w:p w:rsidR="00A676B0" w:rsidRPr="00B95A89" w:rsidRDefault="00A676B0" w:rsidP="00A676B0">
            <w:pPr>
              <w:cnfStyle w:val="000000000000" w:firstRow="0" w:lastRow="0" w:firstColumn="0" w:lastColumn="0" w:oddVBand="0" w:evenVBand="0" w:oddHBand="0" w:evenHBand="0" w:firstRowFirstColumn="0" w:firstRowLastColumn="0" w:lastRowFirstColumn="0" w:lastRowLastColumn="0"/>
              <w:rPr>
                <w:rStyle w:val="Strong"/>
              </w:rPr>
            </w:pPr>
            <w:r w:rsidRPr="00B95A89">
              <w:rPr>
                <w:rStyle w:val="Strong"/>
              </w:rPr>
              <w:t>186.6</w:t>
            </w:r>
          </w:p>
        </w:tc>
        <w:tc>
          <w:tcPr>
            <w:tcW w:w="982" w:type="dxa"/>
          </w:tcPr>
          <w:p w:rsidR="00A676B0" w:rsidRPr="00B95A89" w:rsidRDefault="00A676B0" w:rsidP="00A676B0">
            <w:pPr>
              <w:cnfStyle w:val="000000000000" w:firstRow="0" w:lastRow="0" w:firstColumn="0" w:lastColumn="0" w:oddVBand="0" w:evenVBand="0" w:oddHBand="0" w:evenHBand="0" w:firstRowFirstColumn="0" w:firstRowLastColumn="0" w:lastRowFirstColumn="0" w:lastRowLastColumn="0"/>
              <w:rPr>
                <w:rStyle w:val="Strong"/>
              </w:rPr>
            </w:pPr>
            <w:r w:rsidRPr="00B95A89">
              <w:rPr>
                <w:rStyle w:val="Strong"/>
              </w:rPr>
              <w:t>196.2</w:t>
            </w:r>
          </w:p>
        </w:tc>
        <w:tc>
          <w:tcPr>
            <w:tcW w:w="982" w:type="dxa"/>
          </w:tcPr>
          <w:p w:rsidR="00A676B0" w:rsidRPr="00B95A89" w:rsidRDefault="00A676B0" w:rsidP="00A676B0">
            <w:pPr>
              <w:cnfStyle w:val="000000000000" w:firstRow="0" w:lastRow="0" w:firstColumn="0" w:lastColumn="0" w:oddVBand="0" w:evenVBand="0" w:oddHBand="0" w:evenHBand="0" w:firstRowFirstColumn="0" w:firstRowLastColumn="0" w:lastRowFirstColumn="0" w:lastRowLastColumn="0"/>
              <w:rPr>
                <w:rStyle w:val="Strong"/>
              </w:rPr>
            </w:pPr>
            <w:r w:rsidRPr="00B95A89">
              <w:rPr>
                <w:rStyle w:val="Strong"/>
              </w:rPr>
              <w:t>206.5</w:t>
            </w:r>
          </w:p>
        </w:tc>
        <w:tc>
          <w:tcPr>
            <w:tcW w:w="982" w:type="dxa"/>
          </w:tcPr>
          <w:p w:rsidR="00A676B0" w:rsidRPr="00B95A89" w:rsidRDefault="00A676B0" w:rsidP="00A676B0">
            <w:pPr>
              <w:cnfStyle w:val="000000000000" w:firstRow="0" w:lastRow="0" w:firstColumn="0" w:lastColumn="0" w:oddVBand="0" w:evenVBand="0" w:oddHBand="0" w:evenHBand="0" w:firstRowFirstColumn="0" w:firstRowLastColumn="0" w:lastRowFirstColumn="0" w:lastRowLastColumn="0"/>
              <w:rPr>
                <w:rStyle w:val="Strong"/>
              </w:rPr>
            </w:pPr>
            <w:r w:rsidRPr="00B95A89">
              <w:rPr>
                <w:rStyle w:val="Strong"/>
              </w:rPr>
              <w:t>217.6</w:t>
            </w:r>
          </w:p>
        </w:tc>
        <w:tc>
          <w:tcPr>
            <w:tcW w:w="982" w:type="dxa"/>
          </w:tcPr>
          <w:p w:rsidR="00A676B0" w:rsidRPr="00B95A89" w:rsidRDefault="00A676B0" w:rsidP="00A676B0">
            <w:pPr>
              <w:cnfStyle w:val="000000000000" w:firstRow="0" w:lastRow="0" w:firstColumn="0" w:lastColumn="0" w:oddVBand="0" w:evenVBand="0" w:oddHBand="0" w:evenHBand="0" w:firstRowFirstColumn="0" w:firstRowLastColumn="0" w:lastRowFirstColumn="0" w:lastRowLastColumn="0"/>
              <w:rPr>
                <w:rStyle w:val="Strong"/>
              </w:rPr>
            </w:pPr>
            <w:r w:rsidRPr="00B95A89">
              <w:rPr>
                <w:rStyle w:val="Strong"/>
              </w:rPr>
              <w:t>985.5</w:t>
            </w:r>
          </w:p>
        </w:tc>
      </w:tr>
    </w:tbl>
    <w:p w:rsidR="00CF00DE" w:rsidRPr="00CB6E5B" w:rsidRDefault="00CF00DE" w:rsidP="00D9287A">
      <w:pPr>
        <w:pStyle w:val="AERtablesource"/>
        <w:keepNext/>
      </w:pPr>
      <w:r w:rsidRPr="00CF00DE">
        <w:rPr>
          <w:rFonts w:eastAsia="Calibri"/>
        </w:rPr>
        <w:t xml:space="preserve">Source: </w:t>
      </w:r>
      <w:r w:rsidRPr="00CF00DE">
        <w:rPr>
          <w:rFonts w:eastAsia="Calibri"/>
        </w:rPr>
        <w:tab/>
      </w:r>
      <w:r w:rsidRPr="00CB6E5B">
        <w:t>AER analysis</w:t>
      </w:r>
      <w:r>
        <w:t>.</w:t>
      </w:r>
    </w:p>
    <w:p w:rsidR="00CF00DE" w:rsidRPr="00B5370C" w:rsidRDefault="00CF00DE" w:rsidP="00D9287A">
      <w:pPr>
        <w:pStyle w:val="AERtablesource"/>
        <w:keepNext/>
      </w:pPr>
      <w:r w:rsidRPr="00CB6E5B">
        <w:t xml:space="preserve">n/a: </w:t>
      </w:r>
      <w:r w:rsidRPr="00CB6E5B">
        <w:tab/>
        <w:t>not applicable.</w:t>
      </w:r>
    </w:p>
    <w:p w:rsidR="00CF00DE" w:rsidRPr="00EF51EE" w:rsidRDefault="00CF00DE" w:rsidP="00D9287A">
      <w:pPr>
        <w:pStyle w:val="AERtablesource"/>
        <w:keepNext/>
      </w:pPr>
      <w:r>
        <w:t>(a)</w:t>
      </w:r>
      <w:r w:rsidRPr="00D2764A">
        <w:tab/>
        <w:t>Under the CPI</w:t>
      </w:r>
      <w:r>
        <w:t>–</w:t>
      </w:r>
      <w:r w:rsidRPr="00D2764A">
        <w:t xml:space="preserve">X form of control, a </w:t>
      </w:r>
      <w:r>
        <w:t>positive</w:t>
      </w:r>
      <w:r w:rsidRPr="00D2764A">
        <w:t xml:space="preserve"> X factor is a </w:t>
      </w:r>
      <w:r>
        <w:t xml:space="preserve">decrease </w:t>
      </w:r>
      <w:r w:rsidRPr="00D2764A">
        <w:t>in price (and therefore</w:t>
      </w:r>
      <w:r>
        <w:t xml:space="preserve"> in</w:t>
      </w:r>
      <w:r w:rsidRPr="00D2764A">
        <w:t xml:space="preserve"> revenue). </w:t>
      </w:r>
    </w:p>
    <w:p w:rsidR="00CF00DE" w:rsidRPr="00D2764A" w:rsidRDefault="00CF00DE" w:rsidP="00D9287A">
      <w:pPr>
        <w:pStyle w:val="AERtablesource"/>
        <w:keepNext/>
      </w:pPr>
      <w:r w:rsidRPr="00D2764A">
        <w:tab/>
      </w:r>
      <w:r>
        <w:t>The X factors are for haulage reference services. The X factor for 2016–17 is indicative only</w:t>
      </w:r>
      <w:r w:rsidRPr="00D2764A">
        <w:t>.</w:t>
      </w:r>
      <w:r>
        <w:t xml:space="preserve"> The </w:t>
      </w:r>
      <w:r w:rsidR="003C45A6">
        <w:t>final</w:t>
      </w:r>
      <w:r>
        <w:t xml:space="preserve"> decision establishes 2016–17 tariffs directly, rather than referencing a change from 2015–16 tariffs.</w:t>
      </w:r>
    </w:p>
    <w:p w:rsidR="00CF00DE" w:rsidRPr="00B5370C" w:rsidRDefault="00CF00DE" w:rsidP="00CF00DE">
      <w:pPr>
        <w:pStyle w:val="Heading3"/>
      </w:pPr>
      <w:bookmarkStart w:id="53" w:name="_Toc404599676"/>
      <w:bookmarkStart w:id="54" w:name="_Toc433016427"/>
      <w:bookmarkStart w:id="55" w:name="_Toc436037694"/>
      <w:bookmarkStart w:id="56" w:name="_Toc451873365"/>
      <w:r>
        <w:t>Revenue equalisation (smoothing) and t</w:t>
      </w:r>
      <w:r w:rsidRPr="00B5370C">
        <w:t>ariffs</w:t>
      </w:r>
      <w:bookmarkEnd w:id="53"/>
      <w:bookmarkEnd w:id="54"/>
      <w:bookmarkEnd w:id="55"/>
      <w:bookmarkEnd w:id="56"/>
    </w:p>
    <w:p w:rsidR="00CF00DE" w:rsidRPr="00671C6F" w:rsidRDefault="004D36F6" w:rsidP="00CF00DE">
      <w:pPr>
        <w:numPr>
          <w:ilvl w:val="0"/>
          <w:numId w:val="24"/>
        </w:numPr>
        <w:rPr>
          <w:rStyle w:val="AERbody"/>
        </w:rPr>
      </w:pPr>
      <w:r>
        <w:rPr>
          <w:rStyle w:val="AERbody"/>
        </w:rPr>
        <w:t>O</w:t>
      </w:r>
      <w:r w:rsidR="00CF00DE" w:rsidRPr="00671C6F">
        <w:rPr>
          <w:rStyle w:val="AERbody"/>
        </w:rPr>
        <w:t>ur assessment of AGN’s total building block revenue (unsmoothed revenue)</w:t>
      </w:r>
      <w:r>
        <w:rPr>
          <w:rStyle w:val="AERbody"/>
        </w:rPr>
        <w:t xml:space="preserve"> yields a lumpy revenue profile. In order to smooth out reference tariffs</w:t>
      </w:r>
      <w:r w:rsidR="00CF00DE" w:rsidRPr="00671C6F">
        <w:rPr>
          <w:rStyle w:val="AERbody"/>
        </w:rPr>
        <w:t xml:space="preserve">, we determine </w:t>
      </w:r>
      <w:r w:rsidR="00816AE5" w:rsidRPr="00671C6F">
        <w:rPr>
          <w:rStyle w:val="AERbody"/>
        </w:rPr>
        <w:t>a</w:t>
      </w:r>
      <w:r w:rsidR="00CF00DE" w:rsidRPr="00671C6F">
        <w:rPr>
          <w:rStyle w:val="AERbody"/>
        </w:rPr>
        <w:t xml:space="preserve"> smoothed revenue profile across the 2016–21 access arrangement period. AGN operates under a weighted average tariff cap as its tariff variation mechanism. This means we determine the weighted average tariff change each year such that the net present value (NPV) of unsmoothed and smoothed revenue across the entire period</w:t>
      </w:r>
      <w:r>
        <w:rPr>
          <w:rStyle w:val="AERbody"/>
        </w:rPr>
        <w:t xml:space="preserve"> is the same</w:t>
      </w:r>
      <w:r w:rsidR="00CF00DE" w:rsidRPr="00671C6F">
        <w:rPr>
          <w:rStyle w:val="AERbody"/>
        </w:rPr>
        <w:t>. This weighted average tariff change is labelled the 'X factor'. The mechanics of the tariff variation mechanism are addressed in attachment 11.</w:t>
      </w:r>
    </w:p>
    <w:p w:rsidR="00CF00DE" w:rsidRPr="00671C6F" w:rsidRDefault="00CF00DE" w:rsidP="00CF00DE">
      <w:pPr>
        <w:numPr>
          <w:ilvl w:val="0"/>
          <w:numId w:val="24"/>
        </w:numPr>
        <w:rPr>
          <w:rStyle w:val="AERbody"/>
        </w:rPr>
      </w:pPr>
      <w:r w:rsidRPr="00671C6F">
        <w:rPr>
          <w:rStyle w:val="AERbody"/>
        </w:rPr>
        <w:fldChar w:fldCharType="begin"/>
      </w:r>
      <w:r w:rsidRPr="00671C6F">
        <w:rPr>
          <w:rStyle w:val="AERbody"/>
        </w:rPr>
        <w:instrText xml:space="preserve"> REF _Ref433798190 \h </w:instrText>
      </w:r>
      <w:r w:rsidR="00A2121F" w:rsidRPr="00671C6F">
        <w:rPr>
          <w:rStyle w:val="AERbody"/>
        </w:rPr>
        <w:instrText xml:space="preserve"> \* MERGEFORMAT </w:instrText>
      </w:r>
      <w:r w:rsidRPr="00671C6F">
        <w:rPr>
          <w:rStyle w:val="AERbody"/>
        </w:rPr>
      </w:r>
      <w:r w:rsidRPr="00671C6F">
        <w:rPr>
          <w:rStyle w:val="AERbody"/>
        </w:rPr>
        <w:fldChar w:fldCharType="separate"/>
      </w:r>
      <w:r w:rsidR="006E1111" w:rsidRPr="006E1111">
        <w:rPr>
          <w:rStyle w:val="AERbody"/>
        </w:rPr>
        <w:t>Table 2</w:t>
      </w:r>
      <w:r w:rsidRPr="00671C6F">
        <w:rPr>
          <w:rStyle w:val="AERbody"/>
        </w:rPr>
        <w:fldChar w:fldCharType="end"/>
      </w:r>
      <w:r w:rsidRPr="00671C6F">
        <w:rPr>
          <w:rStyle w:val="AERbody"/>
        </w:rPr>
        <w:t xml:space="preserve"> presents our </w:t>
      </w:r>
      <w:r w:rsidR="003C45A6" w:rsidRPr="00671C6F">
        <w:rPr>
          <w:rStyle w:val="AERbody"/>
        </w:rPr>
        <w:t xml:space="preserve">final </w:t>
      </w:r>
      <w:r w:rsidRPr="00671C6F">
        <w:rPr>
          <w:rStyle w:val="AERbody"/>
        </w:rPr>
        <w:t xml:space="preserve">decision X factors, and compares them to AGN’s </w:t>
      </w:r>
      <w:r w:rsidR="00046FB1" w:rsidRPr="00671C6F">
        <w:rPr>
          <w:rStyle w:val="AERbody"/>
        </w:rPr>
        <w:t xml:space="preserve">revised </w:t>
      </w:r>
      <w:r w:rsidRPr="00671C6F">
        <w:rPr>
          <w:rStyle w:val="AERbody"/>
        </w:rPr>
        <w:t>proposal.</w:t>
      </w:r>
    </w:p>
    <w:p w:rsidR="00CF00DE" w:rsidRDefault="00CF00DE" w:rsidP="00D9287A">
      <w:pPr>
        <w:pStyle w:val="Caption"/>
      </w:pPr>
      <w:bookmarkStart w:id="57" w:name="_Ref433798190"/>
      <w:r>
        <w:t xml:space="preserve">Table </w:t>
      </w:r>
      <w:r w:rsidRPr="00CF00DE">
        <w:fldChar w:fldCharType="begin"/>
      </w:r>
      <w:r>
        <w:instrText xml:space="preserve"> SEQ Table \* ARABIC </w:instrText>
      </w:r>
      <w:r w:rsidRPr="00CF00DE">
        <w:fldChar w:fldCharType="separate"/>
      </w:r>
      <w:r w:rsidR="006E1111">
        <w:rPr>
          <w:noProof/>
        </w:rPr>
        <w:t>2</w:t>
      </w:r>
      <w:r w:rsidRPr="00CF00DE">
        <w:fldChar w:fldCharType="end"/>
      </w:r>
      <w:bookmarkEnd w:id="57"/>
      <w:r w:rsidRPr="00EF51EE">
        <w:tab/>
      </w:r>
      <w:r>
        <w:t xml:space="preserve">Weighted average tariff change across the access arrangement period (X factors) — comparison of AGN's </w:t>
      </w:r>
      <w:r w:rsidR="00046FB1">
        <w:t xml:space="preserve">revised </w:t>
      </w:r>
      <w:r>
        <w:t xml:space="preserve">proposal and AER's </w:t>
      </w:r>
      <w:r w:rsidR="003C45A6">
        <w:t>final</w:t>
      </w:r>
      <w:r>
        <w:t xml:space="preserve"> decision (per cent)</w:t>
      </w:r>
    </w:p>
    <w:tbl>
      <w:tblPr>
        <w:tblStyle w:val="AERtable-numbers"/>
        <w:tblW w:w="8609" w:type="dxa"/>
        <w:tblLayout w:type="fixed"/>
        <w:tblLook w:val="04A0" w:firstRow="1" w:lastRow="0" w:firstColumn="1" w:lastColumn="0" w:noHBand="0" w:noVBand="1"/>
      </w:tblPr>
      <w:tblGrid>
        <w:gridCol w:w="3689"/>
        <w:gridCol w:w="984"/>
        <w:gridCol w:w="984"/>
        <w:gridCol w:w="984"/>
        <w:gridCol w:w="984"/>
        <w:gridCol w:w="984"/>
      </w:tblGrid>
      <w:tr w:rsidR="00E570F4" w:rsidRPr="00A02C11" w:rsidTr="00671C6F">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689" w:type="dxa"/>
          </w:tcPr>
          <w:p w:rsidR="00E570F4" w:rsidRPr="00E570F4" w:rsidRDefault="00E570F4" w:rsidP="00D9287A">
            <w:pPr>
              <w:pStyle w:val="BodyText3"/>
              <w:keepNext/>
            </w:pPr>
            <w:r w:rsidRPr="00E570F4">
              <w:t> </w:t>
            </w:r>
          </w:p>
        </w:tc>
        <w:tc>
          <w:tcPr>
            <w:tcW w:w="984" w:type="dxa"/>
            <w:hideMark/>
          </w:tcPr>
          <w:p w:rsidR="00E570F4" w:rsidRPr="00E570F4" w:rsidRDefault="00E570F4" w:rsidP="00D9287A">
            <w:pPr>
              <w:pStyle w:val="BodyText3"/>
              <w:keepNext/>
              <w:cnfStyle w:val="100000000000" w:firstRow="1" w:lastRow="0" w:firstColumn="0" w:lastColumn="0" w:oddVBand="0" w:evenVBand="0" w:oddHBand="0" w:evenHBand="0" w:firstRowFirstColumn="0" w:firstRowLastColumn="0" w:lastRowFirstColumn="0" w:lastRowLastColumn="0"/>
            </w:pPr>
            <w:r w:rsidRPr="00E570F4">
              <w:t>2016–17</w:t>
            </w:r>
          </w:p>
        </w:tc>
        <w:tc>
          <w:tcPr>
            <w:tcW w:w="984" w:type="dxa"/>
            <w:hideMark/>
          </w:tcPr>
          <w:p w:rsidR="00E570F4" w:rsidRPr="00E570F4" w:rsidRDefault="00E570F4" w:rsidP="00D9287A">
            <w:pPr>
              <w:pStyle w:val="BodyText3"/>
              <w:keepNext/>
              <w:cnfStyle w:val="100000000000" w:firstRow="1" w:lastRow="0" w:firstColumn="0" w:lastColumn="0" w:oddVBand="0" w:evenVBand="0" w:oddHBand="0" w:evenHBand="0" w:firstRowFirstColumn="0" w:firstRowLastColumn="0" w:lastRowFirstColumn="0" w:lastRowLastColumn="0"/>
            </w:pPr>
            <w:r w:rsidRPr="00E570F4">
              <w:t>2017–18</w:t>
            </w:r>
          </w:p>
        </w:tc>
        <w:tc>
          <w:tcPr>
            <w:tcW w:w="984" w:type="dxa"/>
            <w:hideMark/>
          </w:tcPr>
          <w:p w:rsidR="00E570F4" w:rsidRPr="00E570F4" w:rsidRDefault="00E570F4" w:rsidP="00D9287A">
            <w:pPr>
              <w:pStyle w:val="BodyText3"/>
              <w:keepNext/>
              <w:cnfStyle w:val="100000000000" w:firstRow="1" w:lastRow="0" w:firstColumn="0" w:lastColumn="0" w:oddVBand="0" w:evenVBand="0" w:oddHBand="0" w:evenHBand="0" w:firstRowFirstColumn="0" w:firstRowLastColumn="0" w:lastRowFirstColumn="0" w:lastRowLastColumn="0"/>
            </w:pPr>
            <w:r w:rsidRPr="00E570F4">
              <w:t>2018–19</w:t>
            </w:r>
          </w:p>
        </w:tc>
        <w:tc>
          <w:tcPr>
            <w:tcW w:w="984" w:type="dxa"/>
            <w:hideMark/>
          </w:tcPr>
          <w:p w:rsidR="00E570F4" w:rsidRPr="00E570F4" w:rsidRDefault="00E570F4" w:rsidP="00D9287A">
            <w:pPr>
              <w:pStyle w:val="BodyText3"/>
              <w:keepNext/>
              <w:cnfStyle w:val="100000000000" w:firstRow="1" w:lastRow="0" w:firstColumn="0" w:lastColumn="0" w:oddVBand="0" w:evenVBand="0" w:oddHBand="0" w:evenHBand="0" w:firstRowFirstColumn="0" w:firstRowLastColumn="0" w:lastRowFirstColumn="0" w:lastRowLastColumn="0"/>
            </w:pPr>
            <w:r w:rsidRPr="00E570F4">
              <w:t>2019–20</w:t>
            </w:r>
          </w:p>
        </w:tc>
        <w:tc>
          <w:tcPr>
            <w:tcW w:w="984" w:type="dxa"/>
          </w:tcPr>
          <w:p w:rsidR="00E570F4" w:rsidRPr="00E570F4" w:rsidRDefault="00E570F4" w:rsidP="00D9287A">
            <w:pPr>
              <w:pStyle w:val="BodyText3"/>
              <w:keepNext/>
              <w:cnfStyle w:val="100000000000" w:firstRow="1" w:lastRow="0" w:firstColumn="0" w:lastColumn="0" w:oddVBand="0" w:evenVBand="0" w:oddHBand="0" w:evenHBand="0" w:firstRowFirstColumn="0" w:firstRowLastColumn="0" w:lastRowFirstColumn="0" w:lastRowLastColumn="0"/>
            </w:pPr>
            <w:r w:rsidRPr="00E570F4">
              <w:t>2020–21</w:t>
            </w:r>
          </w:p>
        </w:tc>
      </w:tr>
      <w:tr w:rsidR="00E570F4" w:rsidRPr="0080422F" w:rsidTr="00671C6F">
        <w:trPr>
          <w:trHeight w:val="233"/>
        </w:trPr>
        <w:tc>
          <w:tcPr>
            <w:cnfStyle w:val="001000000000" w:firstRow="0" w:lastRow="0" w:firstColumn="1" w:lastColumn="0" w:oddVBand="0" w:evenVBand="0" w:oddHBand="0" w:evenHBand="0" w:firstRowFirstColumn="0" w:firstRowLastColumn="0" w:lastRowFirstColumn="0" w:lastRowLastColumn="0"/>
            <w:tcW w:w="3689" w:type="dxa"/>
          </w:tcPr>
          <w:p w:rsidR="00E570F4" w:rsidRPr="00422A29" w:rsidRDefault="00E570F4" w:rsidP="00D9287A">
            <w:pPr>
              <w:pStyle w:val="BodyText3"/>
              <w:keepNext/>
              <w:rPr>
                <w:rStyle w:val="Strong"/>
              </w:rPr>
            </w:pPr>
            <w:r w:rsidRPr="00671C6F">
              <w:rPr>
                <w:rStyle w:val="Strong"/>
              </w:rPr>
              <w:t>Real price change (X factor)</w:t>
            </w:r>
          </w:p>
        </w:tc>
        <w:tc>
          <w:tcPr>
            <w:tcW w:w="984" w:type="dxa"/>
          </w:tcPr>
          <w:p w:rsidR="00E570F4" w:rsidRPr="00E570F4" w:rsidRDefault="00E570F4" w:rsidP="00D9287A">
            <w:pPr>
              <w:pStyle w:val="BodyText3"/>
              <w:keepNext/>
              <w:cnfStyle w:val="000000000000" w:firstRow="0" w:lastRow="0" w:firstColumn="0" w:lastColumn="0" w:oddVBand="0" w:evenVBand="0" w:oddHBand="0" w:evenHBand="0" w:firstRowFirstColumn="0" w:firstRowLastColumn="0" w:lastRowFirstColumn="0" w:lastRowLastColumn="0"/>
              <w:rPr>
                <w:rStyle w:val="Strong"/>
              </w:rPr>
            </w:pPr>
          </w:p>
        </w:tc>
        <w:tc>
          <w:tcPr>
            <w:tcW w:w="984" w:type="dxa"/>
          </w:tcPr>
          <w:p w:rsidR="00E570F4" w:rsidRPr="00E570F4" w:rsidRDefault="00E570F4" w:rsidP="00D9287A">
            <w:pPr>
              <w:pStyle w:val="BodyText3"/>
              <w:keepNext/>
              <w:cnfStyle w:val="000000000000" w:firstRow="0" w:lastRow="0" w:firstColumn="0" w:lastColumn="0" w:oddVBand="0" w:evenVBand="0" w:oddHBand="0" w:evenHBand="0" w:firstRowFirstColumn="0" w:firstRowLastColumn="0" w:lastRowFirstColumn="0" w:lastRowLastColumn="0"/>
              <w:rPr>
                <w:rStyle w:val="Strong"/>
              </w:rPr>
            </w:pPr>
          </w:p>
        </w:tc>
        <w:tc>
          <w:tcPr>
            <w:tcW w:w="984" w:type="dxa"/>
          </w:tcPr>
          <w:p w:rsidR="00E570F4" w:rsidRPr="00E570F4" w:rsidRDefault="00E570F4" w:rsidP="00D9287A">
            <w:pPr>
              <w:pStyle w:val="BodyText3"/>
              <w:keepNext/>
              <w:cnfStyle w:val="000000000000" w:firstRow="0" w:lastRow="0" w:firstColumn="0" w:lastColumn="0" w:oddVBand="0" w:evenVBand="0" w:oddHBand="0" w:evenHBand="0" w:firstRowFirstColumn="0" w:firstRowLastColumn="0" w:lastRowFirstColumn="0" w:lastRowLastColumn="0"/>
              <w:rPr>
                <w:rStyle w:val="Strong"/>
              </w:rPr>
            </w:pPr>
          </w:p>
        </w:tc>
        <w:tc>
          <w:tcPr>
            <w:tcW w:w="984" w:type="dxa"/>
          </w:tcPr>
          <w:p w:rsidR="00E570F4" w:rsidRPr="00E570F4" w:rsidRDefault="00E570F4" w:rsidP="00D9287A">
            <w:pPr>
              <w:pStyle w:val="BodyText3"/>
              <w:keepNext/>
              <w:cnfStyle w:val="000000000000" w:firstRow="0" w:lastRow="0" w:firstColumn="0" w:lastColumn="0" w:oddVBand="0" w:evenVBand="0" w:oddHBand="0" w:evenHBand="0" w:firstRowFirstColumn="0" w:firstRowLastColumn="0" w:lastRowFirstColumn="0" w:lastRowLastColumn="0"/>
              <w:rPr>
                <w:rStyle w:val="Strong"/>
              </w:rPr>
            </w:pPr>
          </w:p>
        </w:tc>
        <w:tc>
          <w:tcPr>
            <w:tcW w:w="984" w:type="dxa"/>
          </w:tcPr>
          <w:p w:rsidR="00E570F4" w:rsidRPr="00E570F4" w:rsidRDefault="00E570F4" w:rsidP="00D9287A">
            <w:pPr>
              <w:pStyle w:val="BodyText3"/>
              <w:keepNext/>
              <w:cnfStyle w:val="000000000000" w:firstRow="0" w:lastRow="0" w:firstColumn="0" w:lastColumn="0" w:oddVBand="0" w:evenVBand="0" w:oddHBand="0" w:evenHBand="0" w:firstRowFirstColumn="0" w:firstRowLastColumn="0" w:lastRowFirstColumn="0" w:lastRowLastColumn="0"/>
              <w:rPr>
                <w:rStyle w:val="Strong"/>
              </w:rPr>
            </w:pPr>
          </w:p>
        </w:tc>
      </w:tr>
      <w:tr w:rsidR="00E570F4" w:rsidRPr="00A02C11" w:rsidTr="00671C6F">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89" w:type="dxa"/>
          </w:tcPr>
          <w:p w:rsidR="00E570F4" w:rsidRPr="00E570F4" w:rsidRDefault="00E570F4" w:rsidP="00D9287A">
            <w:pPr>
              <w:pStyle w:val="BodyText3"/>
              <w:keepNext/>
            </w:pPr>
            <w:r w:rsidRPr="00E570F4">
              <w:t>AGN proposal</w:t>
            </w:r>
            <w:r w:rsidRPr="00671C6F">
              <w:rPr>
                <w:rStyle w:val="AERsuperscript"/>
              </w:rPr>
              <w:t>a</w:t>
            </w:r>
          </w:p>
        </w:tc>
        <w:tc>
          <w:tcPr>
            <w:tcW w:w="984" w:type="dxa"/>
          </w:tcPr>
          <w:p w:rsidR="00E570F4" w:rsidRPr="00E570F4" w:rsidRDefault="00E570F4" w:rsidP="00D9287A">
            <w:pPr>
              <w:keepNext/>
              <w:cnfStyle w:val="000000010000" w:firstRow="0" w:lastRow="0" w:firstColumn="0" w:lastColumn="0" w:oddVBand="0" w:evenVBand="0" w:oddHBand="0" w:evenHBand="1" w:firstRowFirstColumn="0" w:firstRowLastColumn="0" w:lastRowFirstColumn="0" w:lastRowLastColumn="0"/>
              <w:rPr>
                <w:rStyle w:val="AERtexthighlight"/>
              </w:rPr>
            </w:pPr>
            <w:r w:rsidRPr="00E570F4">
              <w:t>11.38</w:t>
            </w:r>
          </w:p>
        </w:tc>
        <w:tc>
          <w:tcPr>
            <w:tcW w:w="984" w:type="dxa"/>
          </w:tcPr>
          <w:p w:rsidR="00E570F4" w:rsidRPr="00E570F4" w:rsidRDefault="00671C6F" w:rsidP="00D9287A">
            <w:pPr>
              <w:keepNext/>
              <w:cnfStyle w:val="000000010000" w:firstRow="0" w:lastRow="0" w:firstColumn="0" w:lastColumn="0" w:oddVBand="0" w:evenVBand="0" w:oddHBand="0" w:evenHBand="1" w:firstRowFirstColumn="0" w:firstRowLastColumn="0" w:lastRowFirstColumn="0" w:lastRowLastColumn="0"/>
              <w:rPr>
                <w:rStyle w:val="AERtexthighlight"/>
              </w:rPr>
            </w:pPr>
            <w:r>
              <w:t>–</w:t>
            </w:r>
            <w:r w:rsidR="00E570F4" w:rsidRPr="00E570F4">
              <w:t>5.</w:t>
            </w:r>
            <w:r>
              <w:t>0</w:t>
            </w:r>
            <w:r w:rsidR="00E570F4" w:rsidRPr="00E570F4">
              <w:t>0</w:t>
            </w:r>
          </w:p>
        </w:tc>
        <w:tc>
          <w:tcPr>
            <w:tcW w:w="984" w:type="dxa"/>
          </w:tcPr>
          <w:p w:rsidR="00E570F4" w:rsidRPr="00E570F4" w:rsidRDefault="00671C6F" w:rsidP="00D9287A">
            <w:pPr>
              <w:keepNext/>
              <w:cnfStyle w:val="000000010000" w:firstRow="0" w:lastRow="0" w:firstColumn="0" w:lastColumn="0" w:oddVBand="0" w:evenVBand="0" w:oddHBand="0" w:evenHBand="1" w:firstRowFirstColumn="0" w:firstRowLastColumn="0" w:lastRowFirstColumn="0" w:lastRowLastColumn="0"/>
              <w:rPr>
                <w:rStyle w:val="AERtexthighlight"/>
              </w:rPr>
            </w:pPr>
            <w:r>
              <w:t>–</w:t>
            </w:r>
            <w:r w:rsidR="00E570F4" w:rsidRPr="00E570F4">
              <w:t>5.</w:t>
            </w:r>
            <w:r>
              <w:t>0</w:t>
            </w:r>
            <w:r w:rsidR="00E570F4" w:rsidRPr="00E570F4">
              <w:t>0</w:t>
            </w:r>
          </w:p>
        </w:tc>
        <w:tc>
          <w:tcPr>
            <w:tcW w:w="984" w:type="dxa"/>
          </w:tcPr>
          <w:p w:rsidR="00E570F4" w:rsidRPr="00E570F4" w:rsidRDefault="00671C6F" w:rsidP="00D9287A">
            <w:pPr>
              <w:keepNext/>
              <w:cnfStyle w:val="000000010000" w:firstRow="0" w:lastRow="0" w:firstColumn="0" w:lastColumn="0" w:oddVBand="0" w:evenVBand="0" w:oddHBand="0" w:evenHBand="1" w:firstRowFirstColumn="0" w:firstRowLastColumn="0" w:lastRowFirstColumn="0" w:lastRowLastColumn="0"/>
              <w:rPr>
                <w:rStyle w:val="AERtexthighlight"/>
              </w:rPr>
            </w:pPr>
            <w:r>
              <w:t>–</w:t>
            </w:r>
            <w:r w:rsidR="00E570F4" w:rsidRPr="00E570F4">
              <w:t>5.0</w:t>
            </w:r>
            <w:r>
              <w:t>0</w:t>
            </w:r>
          </w:p>
        </w:tc>
        <w:tc>
          <w:tcPr>
            <w:tcW w:w="984" w:type="dxa"/>
          </w:tcPr>
          <w:p w:rsidR="00E570F4" w:rsidRPr="00E570F4" w:rsidRDefault="00671C6F" w:rsidP="00D9287A">
            <w:pPr>
              <w:keepNext/>
              <w:cnfStyle w:val="000000010000" w:firstRow="0" w:lastRow="0" w:firstColumn="0" w:lastColumn="0" w:oddVBand="0" w:evenVBand="0" w:oddHBand="0" w:evenHBand="1" w:firstRowFirstColumn="0" w:firstRowLastColumn="0" w:lastRowFirstColumn="0" w:lastRowLastColumn="0"/>
              <w:rPr>
                <w:rStyle w:val="AERtexthighlight"/>
              </w:rPr>
            </w:pPr>
            <w:r>
              <w:t>–</w:t>
            </w:r>
            <w:r w:rsidR="00E570F4" w:rsidRPr="00E570F4">
              <w:t>5.</w:t>
            </w:r>
            <w:r>
              <w:t>0</w:t>
            </w:r>
            <w:r w:rsidR="00E570F4" w:rsidRPr="00E570F4">
              <w:t>0</w:t>
            </w:r>
          </w:p>
        </w:tc>
      </w:tr>
      <w:tr w:rsidR="00E570F4" w:rsidRPr="00A02C11" w:rsidTr="00671C6F">
        <w:trPr>
          <w:trHeight w:val="265"/>
        </w:trPr>
        <w:tc>
          <w:tcPr>
            <w:cnfStyle w:val="001000000000" w:firstRow="0" w:lastRow="0" w:firstColumn="1" w:lastColumn="0" w:oddVBand="0" w:evenVBand="0" w:oddHBand="0" w:evenHBand="0" w:firstRowFirstColumn="0" w:firstRowLastColumn="0" w:lastRowFirstColumn="0" w:lastRowLastColumn="0"/>
            <w:tcW w:w="3689" w:type="dxa"/>
          </w:tcPr>
          <w:p w:rsidR="00E570F4" w:rsidRPr="00E570F4" w:rsidRDefault="00E570F4" w:rsidP="00D9287A">
            <w:pPr>
              <w:pStyle w:val="BodyText3"/>
              <w:keepNext/>
            </w:pPr>
            <w:r w:rsidRPr="00E570F4">
              <w:t>AER draft decision</w:t>
            </w:r>
          </w:p>
        </w:tc>
        <w:tc>
          <w:tcPr>
            <w:tcW w:w="984" w:type="dxa"/>
          </w:tcPr>
          <w:p w:rsidR="00E570F4" w:rsidRPr="00E570F4" w:rsidRDefault="00E570F4" w:rsidP="00D9287A">
            <w:pPr>
              <w:keepNext/>
              <w:cnfStyle w:val="000000000000" w:firstRow="0" w:lastRow="0" w:firstColumn="0" w:lastColumn="0" w:oddVBand="0" w:evenVBand="0" w:oddHBand="0" w:evenHBand="0" w:firstRowFirstColumn="0" w:firstRowLastColumn="0" w:lastRowFirstColumn="0" w:lastRowLastColumn="0"/>
              <w:rPr>
                <w:rStyle w:val="AERtexthighlight"/>
              </w:rPr>
            </w:pPr>
            <w:r w:rsidRPr="00E570F4">
              <w:t>22.80</w:t>
            </w:r>
          </w:p>
        </w:tc>
        <w:tc>
          <w:tcPr>
            <w:tcW w:w="984" w:type="dxa"/>
          </w:tcPr>
          <w:p w:rsidR="00E570F4" w:rsidRPr="00E570F4" w:rsidRDefault="00671C6F" w:rsidP="00D9287A">
            <w:pPr>
              <w:keepNext/>
              <w:cnfStyle w:val="000000000000" w:firstRow="0" w:lastRow="0" w:firstColumn="0" w:lastColumn="0" w:oddVBand="0" w:evenVBand="0" w:oddHBand="0" w:evenHBand="0" w:firstRowFirstColumn="0" w:firstRowLastColumn="0" w:lastRowFirstColumn="0" w:lastRowLastColumn="0"/>
              <w:rPr>
                <w:rStyle w:val="AERtexthighlight"/>
              </w:rPr>
            </w:pPr>
            <w:r>
              <w:t>–</w:t>
            </w:r>
            <w:r w:rsidR="00E570F4" w:rsidRPr="00E570F4">
              <w:t>0.77</w:t>
            </w:r>
          </w:p>
        </w:tc>
        <w:tc>
          <w:tcPr>
            <w:tcW w:w="984" w:type="dxa"/>
          </w:tcPr>
          <w:p w:rsidR="00E570F4" w:rsidRPr="00E570F4" w:rsidRDefault="00671C6F" w:rsidP="00D9287A">
            <w:pPr>
              <w:keepNext/>
              <w:cnfStyle w:val="000000000000" w:firstRow="0" w:lastRow="0" w:firstColumn="0" w:lastColumn="0" w:oddVBand="0" w:evenVBand="0" w:oddHBand="0" w:evenHBand="0" w:firstRowFirstColumn="0" w:firstRowLastColumn="0" w:lastRowFirstColumn="0" w:lastRowLastColumn="0"/>
              <w:rPr>
                <w:rStyle w:val="AERtexthighlight"/>
              </w:rPr>
            </w:pPr>
            <w:r>
              <w:t>–</w:t>
            </w:r>
            <w:r w:rsidR="00E570F4" w:rsidRPr="00E570F4">
              <w:t>0.77</w:t>
            </w:r>
          </w:p>
        </w:tc>
        <w:tc>
          <w:tcPr>
            <w:tcW w:w="984" w:type="dxa"/>
          </w:tcPr>
          <w:p w:rsidR="00E570F4" w:rsidRPr="00E570F4" w:rsidRDefault="00671C6F" w:rsidP="00D9287A">
            <w:pPr>
              <w:keepNext/>
              <w:cnfStyle w:val="000000000000" w:firstRow="0" w:lastRow="0" w:firstColumn="0" w:lastColumn="0" w:oddVBand="0" w:evenVBand="0" w:oddHBand="0" w:evenHBand="0" w:firstRowFirstColumn="0" w:firstRowLastColumn="0" w:lastRowFirstColumn="0" w:lastRowLastColumn="0"/>
              <w:rPr>
                <w:rStyle w:val="AERtexthighlight"/>
              </w:rPr>
            </w:pPr>
            <w:r>
              <w:t>–</w:t>
            </w:r>
            <w:r w:rsidR="00E570F4" w:rsidRPr="00E570F4">
              <w:t>0.77</w:t>
            </w:r>
          </w:p>
        </w:tc>
        <w:tc>
          <w:tcPr>
            <w:tcW w:w="984" w:type="dxa"/>
          </w:tcPr>
          <w:p w:rsidR="00E570F4" w:rsidRPr="00E570F4" w:rsidRDefault="00671C6F" w:rsidP="00D9287A">
            <w:pPr>
              <w:keepNext/>
              <w:cnfStyle w:val="000000000000" w:firstRow="0" w:lastRow="0" w:firstColumn="0" w:lastColumn="0" w:oddVBand="0" w:evenVBand="0" w:oddHBand="0" w:evenHBand="0" w:firstRowFirstColumn="0" w:firstRowLastColumn="0" w:lastRowFirstColumn="0" w:lastRowLastColumn="0"/>
              <w:rPr>
                <w:rStyle w:val="AERtexthighlight"/>
              </w:rPr>
            </w:pPr>
            <w:r>
              <w:t>–</w:t>
            </w:r>
            <w:r w:rsidR="00E570F4" w:rsidRPr="00E570F4">
              <w:t>0.77</w:t>
            </w:r>
          </w:p>
        </w:tc>
      </w:tr>
      <w:tr w:rsidR="00E570F4" w:rsidRPr="0080422F" w:rsidTr="00671C6F">
        <w:trPr>
          <w:cnfStyle w:val="000000010000" w:firstRow="0" w:lastRow="0" w:firstColumn="0" w:lastColumn="0" w:oddVBand="0" w:evenVBand="0" w:oddHBand="0" w:evenHBand="1"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689" w:type="dxa"/>
          </w:tcPr>
          <w:p w:rsidR="00E570F4" w:rsidRPr="00E570F4" w:rsidRDefault="00E570F4" w:rsidP="00D9287A">
            <w:pPr>
              <w:pStyle w:val="BodyText3"/>
              <w:keepNext/>
              <w:rPr>
                <w:rStyle w:val="Strong"/>
              </w:rPr>
            </w:pPr>
            <w:r w:rsidRPr="00E570F4">
              <w:t>AGN revised proposal</w:t>
            </w:r>
          </w:p>
        </w:tc>
        <w:tc>
          <w:tcPr>
            <w:tcW w:w="984" w:type="dxa"/>
          </w:tcPr>
          <w:p w:rsidR="00E570F4" w:rsidRPr="00E570F4" w:rsidRDefault="00E570F4" w:rsidP="00D9287A">
            <w:pPr>
              <w:pStyle w:val="BodyText3"/>
              <w:keepNext/>
              <w:cnfStyle w:val="000000010000" w:firstRow="0" w:lastRow="0" w:firstColumn="0" w:lastColumn="0" w:oddVBand="0" w:evenVBand="0" w:oddHBand="0" w:evenHBand="1" w:firstRowFirstColumn="0" w:firstRowLastColumn="0" w:lastRowFirstColumn="0" w:lastRowLastColumn="0"/>
              <w:rPr>
                <w:rStyle w:val="AERtexthighlight"/>
              </w:rPr>
            </w:pPr>
            <w:r w:rsidRPr="00E570F4">
              <w:t>5.47</w:t>
            </w:r>
          </w:p>
        </w:tc>
        <w:tc>
          <w:tcPr>
            <w:tcW w:w="984" w:type="dxa"/>
          </w:tcPr>
          <w:p w:rsidR="00E570F4" w:rsidRPr="00E570F4" w:rsidRDefault="00E570F4" w:rsidP="00D9287A">
            <w:pPr>
              <w:pStyle w:val="BodyText3"/>
              <w:keepNext/>
              <w:cnfStyle w:val="000000010000" w:firstRow="0" w:lastRow="0" w:firstColumn="0" w:lastColumn="0" w:oddVBand="0" w:evenVBand="0" w:oddHBand="0" w:evenHBand="1" w:firstRowFirstColumn="0" w:firstRowLastColumn="0" w:lastRowFirstColumn="0" w:lastRowLastColumn="0"/>
              <w:rPr>
                <w:rStyle w:val="AERtexthighlight"/>
              </w:rPr>
            </w:pPr>
            <w:r w:rsidRPr="00E570F4">
              <w:t>–5.00</w:t>
            </w:r>
          </w:p>
        </w:tc>
        <w:tc>
          <w:tcPr>
            <w:tcW w:w="984" w:type="dxa"/>
          </w:tcPr>
          <w:p w:rsidR="00E570F4" w:rsidRPr="00E570F4" w:rsidRDefault="00E570F4" w:rsidP="00D9287A">
            <w:pPr>
              <w:pStyle w:val="BodyText3"/>
              <w:keepNext/>
              <w:cnfStyle w:val="000000010000" w:firstRow="0" w:lastRow="0" w:firstColumn="0" w:lastColumn="0" w:oddVBand="0" w:evenVBand="0" w:oddHBand="0" w:evenHBand="1" w:firstRowFirstColumn="0" w:firstRowLastColumn="0" w:lastRowFirstColumn="0" w:lastRowLastColumn="0"/>
              <w:rPr>
                <w:rStyle w:val="AERtexthighlight"/>
              </w:rPr>
            </w:pPr>
            <w:r w:rsidRPr="00E570F4">
              <w:t>–5.00</w:t>
            </w:r>
          </w:p>
        </w:tc>
        <w:tc>
          <w:tcPr>
            <w:tcW w:w="984" w:type="dxa"/>
          </w:tcPr>
          <w:p w:rsidR="00E570F4" w:rsidRPr="00E570F4" w:rsidRDefault="00E570F4" w:rsidP="00D9287A">
            <w:pPr>
              <w:pStyle w:val="BodyText3"/>
              <w:keepNext/>
              <w:cnfStyle w:val="000000010000" w:firstRow="0" w:lastRow="0" w:firstColumn="0" w:lastColumn="0" w:oddVBand="0" w:evenVBand="0" w:oddHBand="0" w:evenHBand="1" w:firstRowFirstColumn="0" w:firstRowLastColumn="0" w:lastRowFirstColumn="0" w:lastRowLastColumn="0"/>
              <w:rPr>
                <w:rStyle w:val="AERtexthighlight"/>
              </w:rPr>
            </w:pPr>
            <w:r w:rsidRPr="00E570F4">
              <w:t>–5.00</w:t>
            </w:r>
          </w:p>
        </w:tc>
        <w:tc>
          <w:tcPr>
            <w:tcW w:w="984" w:type="dxa"/>
          </w:tcPr>
          <w:p w:rsidR="00E570F4" w:rsidRPr="00E570F4" w:rsidRDefault="00E570F4" w:rsidP="00D9287A">
            <w:pPr>
              <w:pStyle w:val="BodyText3"/>
              <w:keepNext/>
              <w:cnfStyle w:val="000000010000" w:firstRow="0" w:lastRow="0" w:firstColumn="0" w:lastColumn="0" w:oddVBand="0" w:evenVBand="0" w:oddHBand="0" w:evenHBand="1" w:firstRowFirstColumn="0" w:firstRowLastColumn="0" w:lastRowFirstColumn="0" w:lastRowLastColumn="0"/>
              <w:rPr>
                <w:rStyle w:val="AERtexthighlight"/>
              </w:rPr>
            </w:pPr>
            <w:r w:rsidRPr="00E570F4">
              <w:t>–5.00</w:t>
            </w:r>
          </w:p>
        </w:tc>
      </w:tr>
      <w:tr w:rsidR="00E570F4" w:rsidRPr="00A02C11" w:rsidTr="00671C6F">
        <w:trPr>
          <w:trHeight w:val="84"/>
        </w:trPr>
        <w:tc>
          <w:tcPr>
            <w:cnfStyle w:val="001000000000" w:firstRow="0" w:lastRow="0" w:firstColumn="1" w:lastColumn="0" w:oddVBand="0" w:evenVBand="0" w:oddHBand="0" w:evenHBand="0" w:firstRowFirstColumn="0" w:firstRowLastColumn="0" w:lastRowFirstColumn="0" w:lastRowLastColumn="0"/>
            <w:tcW w:w="3689" w:type="dxa"/>
          </w:tcPr>
          <w:p w:rsidR="00E570F4" w:rsidRPr="00E570F4" w:rsidRDefault="00E570F4" w:rsidP="00D9287A">
            <w:pPr>
              <w:pStyle w:val="BodyText3"/>
              <w:keepNext/>
            </w:pPr>
            <w:r w:rsidRPr="00E570F4">
              <w:t>AER final decision</w:t>
            </w:r>
          </w:p>
        </w:tc>
        <w:tc>
          <w:tcPr>
            <w:tcW w:w="984" w:type="dxa"/>
          </w:tcPr>
          <w:p w:rsidR="00E570F4" w:rsidRPr="00E570F4" w:rsidRDefault="005C349F" w:rsidP="00734144">
            <w:pPr>
              <w:pStyle w:val="BodyText3"/>
              <w:keepNext/>
              <w:cnfStyle w:val="000000000000" w:firstRow="0" w:lastRow="0" w:firstColumn="0" w:lastColumn="0" w:oddVBand="0" w:evenVBand="0" w:oddHBand="0" w:evenHBand="0" w:firstRowFirstColumn="0" w:firstRowLastColumn="0" w:lastRowFirstColumn="0" w:lastRowLastColumn="0"/>
              <w:rPr>
                <w:rStyle w:val="AERtexthighlight"/>
              </w:rPr>
            </w:pPr>
            <w:r>
              <w:t>23.</w:t>
            </w:r>
            <w:r w:rsidR="0034799A">
              <w:t>40</w:t>
            </w:r>
          </w:p>
        </w:tc>
        <w:tc>
          <w:tcPr>
            <w:tcW w:w="984" w:type="dxa"/>
          </w:tcPr>
          <w:p w:rsidR="00E570F4" w:rsidRPr="00E570F4" w:rsidRDefault="00734144" w:rsidP="005C349F">
            <w:pPr>
              <w:pStyle w:val="BodyText3"/>
              <w:keepNext/>
              <w:cnfStyle w:val="000000000000" w:firstRow="0" w:lastRow="0" w:firstColumn="0" w:lastColumn="0" w:oddVBand="0" w:evenVBand="0" w:oddHBand="0" w:evenHBand="0" w:firstRowFirstColumn="0" w:firstRowLastColumn="0" w:lastRowFirstColumn="0" w:lastRowLastColumn="0"/>
              <w:rPr>
                <w:rStyle w:val="AERtexthighlight"/>
              </w:rPr>
            </w:pPr>
            <w:r>
              <w:t>–</w:t>
            </w:r>
            <w:r w:rsidR="005C349F">
              <w:t>3.80</w:t>
            </w:r>
          </w:p>
        </w:tc>
        <w:tc>
          <w:tcPr>
            <w:tcW w:w="984" w:type="dxa"/>
          </w:tcPr>
          <w:p w:rsidR="00E570F4" w:rsidRPr="00E570F4" w:rsidRDefault="00734144" w:rsidP="005C349F">
            <w:pPr>
              <w:pStyle w:val="BodyText3"/>
              <w:keepNext/>
              <w:cnfStyle w:val="000000000000" w:firstRow="0" w:lastRow="0" w:firstColumn="0" w:lastColumn="0" w:oddVBand="0" w:evenVBand="0" w:oddHBand="0" w:evenHBand="0" w:firstRowFirstColumn="0" w:firstRowLastColumn="0" w:lastRowFirstColumn="0" w:lastRowLastColumn="0"/>
              <w:rPr>
                <w:rStyle w:val="AERtexthighlight"/>
              </w:rPr>
            </w:pPr>
            <w:r>
              <w:t>–</w:t>
            </w:r>
            <w:r w:rsidR="005C349F">
              <w:t>3.80</w:t>
            </w:r>
          </w:p>
        </w:tc>
        <w:tc>
          <w:tcPr>
            <w:tcW w:w="984" w:type="dxa"/>
          </w:tcPr>
          <w:p w:rsidR="00E570F4" w:rsidRPr="00E570F4" w:rsidRDefault="00734144" w:rsidP="005C349F">
            <w:pPr>
              <w:pStyle w:val="BodyText3"/>
              <w:keepNext/>
              <w:cnfStyle w:val="000000000000" w:firstRow="0" w:lastRow="0" w:firstColumn="0" w:lastColumn="0" w:oddVBand="0" w:evenVBand="0" w:oddHBand="0" w:evenHBand="0" w:firstRowFirstColumn="0" w:firstRowLastColumn="0" w:lastRowFirstColumn="0" w:lastRowLastColumn="0"/>
              <w:rPr>
                <w:rStyle w:val="AERtexthighlight"/>
              </w:rPr>
            </w:pPr>
            <w:r>
              <w:t>–</w:t>
            </w:r>
            <w:r w:rsidR="005C349F">
              <w:t>3.80</w:t>
            </w:r>
          </w:p>
        </w:tc>
        <w:tc>
          <w:tcPr>
            <w:tcW w:w="984" w:type="dxa"/>
          </w:tcPr>
          <w:p w:rsidR="00E570F4" w:rsidRPr="00E570F4" w:rsidRDefault="00734144" w:rsidP="005C349F">
            <w:pPr>
              <w:pStyle w:val="BodyText3"/>
              <w:keepNext/>
              <w:cnfStyle w:val="000000000000" w:firstRow="0" w:lastRow="0" w:firstColumn="0" w:lastColumn="0" w:oddVBand="0" w:evenVBand="0" w:oddHBand="0" w:evenHBand="0" w:firstRowFirstColumn="0" w:firstRowLastColumn="0" w:lastRowFirstColumn="0" w:lastRowLastColumn="0"/>
              <w:rPr>
                <w:rStyle w:val="AERtexthighlight"/>
              </w:rPr>
            </w:pPr>
            <w:r>
              <w:t>–</w:t>
            </w:r>
            <w:r w:rsidR="005C349F">
              <w:t>3.80</w:t>
            </w:r>
          </w:p>
        </w:tc>
      </w:tr>
      <w:tr w:rsidR="00E570F4" w:rsidRPr="00A02C11" w:rsidTr="00671C6F">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689" w:type="dxa"/>
          </w:tcPr>
          <w:p w:rsidR="00E570F4" w:rsidRPr="00422A29" w:rsidRDefault="00E570F4" w:rsidP="00D9287A">
            <w:pPr>
              <w:pStyle w:val="BodyText3"/>
              <w:keepNext/>
              <w:rPr>
                <w:rStyle w:val="Strong"/>
              </w:rPr>
            </w:pPr>
            <w:r w:rsidRPr="00671C6F">
              <w:rPr>
                <w:rStyle w:val="Strong"/>
              </w:rPr>
              <w:t>Nominal price change (CPI–X)</w:t>
            </w:r>
            <w:r w:rsidR="00B05D8B" w:rsidRPr="008A20F2">
              <w:rPr>
                <w:rStyle w:val="AERsuperscript"/>
              </w:rPr>
              <w:t>b</w:t>
            </w:r>
          </w:p>
        </w:tc>
        <w:tc>
          <w:tcPr>
            <w:tcW w:w="984" w:type="dxa"/>
          </w:tcPr>
          <w:p w:rsidR="00E570F4" w:rsidRPr="00E570F4" w:rsidRDefault="00E570F4" w:rsidP="00D9287A">
            <w:pPr>
              <w:pStyle w:val="BodyText3"/>
              <w:keepNext/>
              <w:cnfStyle w:val="000000010000" w:firstRow="0" w:lastRow="0" w:firstColumn="0" w:lastColumn="0" w:oddVBand="0" w:evenVBand="0" w:oddHBand="0" w:evenHBand="1" w:firstRowFirstColumn="0" w:firstRowLastColumn="0" w:lastRowFirstColumn="0" w:lastRowLastColumn="0"/>
              <w:rPr>
                <w:rStyle w:val="AERtexthighlight"/>
              </w:rPr>
            </w:pPr>
            <w:r w:rsidRPr="00E570F4">
              <w:t> </w:t>
            </w:r>
          </w:p>
        </w:tc>
        <w:tc>
          <w:tcPr>
            <w:tcW w:w="984" w:type="dxa"/>
          </w:tcPr>
          <w:p w:rsidR="00E570F4" w:rsidRPr="00E570F4" w:rsidRDefault="00E570F4" w:rsidP="00D9287A">
            <w:pPr>
              <w:pStyle w:val="BodyText3"/>
              <w:keepNext/>
              <w:cnfStyle w:val="000000010000" w:firstRow="0" w:lastRow="0" w:firstColumn="0" w:lastColumn="0" w:oddVBand="0" w:evenVBand="0" w:oddHBand="0" w:evenHBand="1" w:firstRowFirstColumn="0" w:firstRowLastColumn="0" w:lastRowFirstColumn="0" w:lastRowLastColumn="0"/>
              <w:rPr>
                <w:rStyle w:val="AERtexthighlight"/>
              </w:rPr>
            </w:pPr>
            <w:r w:rsidRPr="00E570F4">
              <w:t> </w:t>
            </w:r>
          </w:p>
        </w:tc>
        <w:tc>
          <w:tcPr>
            <w:tcW w:w="984" w:type="dxa"/>
          </w:tcPr>
          <w:p w:rsidR="00E570F4" w:rsidRPr="00E570F4" w:rsidRDefault="00E570F4" w:rsidP="00D9287A">
            <w:pPr>
              <w:pStyle w:val="BodyText3"/>
              <w:keepNext/>
              <w:cnfStyle w:val="000000010000" w:firstRow="0" w:lastRow="0" w:firstColumn="0" w:lastColumn="0" w:oddVBand="0" w:evenVBand="0" w:oddHBand="0" w:evenHBand="1" w:firstRowFirstColumn="0" w:firstRowLastColumn="0" w:lastRowFirstColumn="0" w:lastRowLastColumn="0"/>
              <w:rPr>
                <w:rStyle w:val="AERtexthighlight"/>
              </w:rPr>
            </w:pPr>
            <w:r w:rsidRPr="00E570F4">
              <w:t> </w:t>
            </w:r>
          </w:p>
        </w:tc>
        <w:tc>
          <w:tcPr>
            <w:tcW w:w="984" w:type="dxa"/>
          </w:tcPr>
          <w:p w:rsidR="00E570F4" w:rsidRPr="00E570F4" w:rsidRDefault="00E570F4" w:rsidP="00D9287A">
            <w:pPr>
              <w:pStyle w:val="BodyText3"/>
              <w:keepNext/>
              <w:cnfStyle w:val="000000010000" w:firstRow="0" w:lastRow="0" w:firstColumn="0" w:lastColumn="0" w:oddVBand="0" w:evenVBand="0" w:oddHBand="0" w:evenHBand="1" w:firstRowFirstColumn="0" w:firstRowLastColumn="0" w:lastRowFirstColumn="0" w:lastRowLastColumn="0"/>
              <w:rPr>
                <w:rStyle w:val="AERtexthighlight"/>
              </w:rPr>
            </w:pPr>
            <w:r w:rsidRPr="00E570F4">
              <w:t> </w:t>
            </w:r>
          </w:p>
        </w:tc>
        <w:tc>
          <w:tcPr>
            <w:tcW w:w="984" w:type="dxa"/>
          </w:tcPr>
          <w:p w:rsidR="00E570F4" w:rsidRPr="00E570F4" w:rsidRDefault="00E570F4" w:rsidP="00D9287A">
            <w:pPr>
              <w:pStyle w:val="BodyText3"/>
              <w:keepNext/>
              <w:cnfStyle w:val="000000010000" w:firstRow="0" w:lastRow="0" w:firstColumn="0" w:lastColumn="0" w:oddVBand="0" w:evenVBand="0" w:oddHBand="0" w:evenHBand="1" w:firstRowFirstColumn="0" w:firstRowLastColumn="0" w:lastRowFirstColumn="0" w:lastRowLastColumn="0"/>
              <w:rPr>
                <w:rStyle w:val="AERtexthighlight"/>
              </w:rPr>
            </w:pPr>
            <w:r w:rsidRPr="00E570F4">
              <w:t> </w:t>
            </w:r>
          </w:p>
        </w:tc>
      </w:tr>
      <w:tr w:rsidR="00926AF3" w:rsidRPr="00A02C11" w:rsidTr="00671C6F">
        <w:trPr>
          <w:trHeight w:val="228"/>
        </w:trPr>
        <w:tc>
          <w:tcPr>
            <w:cnfStyle w:val="001000000000" w:firstRow="0" w:lastRow="0" w:firstColumn="1" w:lastColumn="0" w:oddVBand="0" w:evenVBand="0" w:oddHBand="0" w:evenHBand="0" w:firstRowFirstColumn="0" w:firstRowLastColumn="0" w:lastRowFirstColumn="0" w:lastRowLastColumn="0"/>
            <w:tcW w:w="3689" w:type="dxa"/>
          </w:tcPr>
          <w:p w:rsidR="00926AF3" w:rsidRPr="00926AF3" w:rsidRDefault="00926AF3" w:rsidP="00926AF3">
            <w:pPr>
              <w:pStyle w:val="BodyText3"/>
            </w:pPr>
            <w:r w:rsidRPr="00926AF3">
              <w:t>AGN proposal</w:t>
            </w:r>
          </w:p>
        </w:tc>
        <w:tc>
          <w:tcPr>
            <w:tcW w:w="984" w:type="dxa"/>
          </w:tcPr>
          <w:p w:rsidR="00926AF3" w:rsidRPr="00926AF3" w:rsidRDefault="00926AF3" w:rsidP="00926AF3">
            <w:pPr>
              <w:pStyle w:val="BodyText3"/>
              <w:cnfStyle w:val="000000000000" w:firstRow="0" w:lastRow="0" w:firstColumn="0" w:lastColumn="0" w:oddVBand="0" w:evenVBand="0" w:oddHBand="0" w:evenHBand="0" w:firstRowFirstColumn="0" w:firstRowLastColumn="0" w:lastRowFirstColumn="0" w:lastRowLastColumn="0"/>
              <w:rPr>
                <w:rStyle w:val="AERtexthighlight"/>
              </w:rPr>
            </w:pPr>
            <w:r>
              <w:t>–</w:t>
            </w:r>
            <w:r w:rsidRPr="00926AF3">
              <w:t>9.26</w:t>
            </w:r>
          </w:p>
        </w:tc>
        <w:tc>
          <w:tcPr>
            <w:tcW w:w="984" w:type="dxa"/>
          </w:tcPr>
          <w:p w:rsidR="00926AF3" w:rsidRPr="00926AF3" w:rsidRDefault="00926AF3" w:rsidP="00926AF3">
            <w:pPr>
              <w:pStyle w:val="BodyText3"/>
              <w:cnfStyle w:val="000000000000" w:firstRow="0" w:lastRow="0" w:firstColumn="0" w:lastColumn="0" w:oddVBand="0" w:evenVBand="0" w:oddHBand="0" w:evenHBand="0" w:firstRowFirstColumn="0" w:firstRowLastColumn="0" w:lastRowFirstColumn="0" w:lastRowLastColumn="0"/>
              <w:rPr>
                <w:rStyle w:val="AERtexthighlight"/>
              </w:rPr>
            </w:pPr>
            <w:r w:rsidRPr="00926AF3">
              <w:t>7.51</w:t>
            </w:r>
          </w:p>
        </w:tc>
        <w:tc>
          <w:tcPr>
            <w:tcW w:w="984" w:type="dxa"/>
          </w:tcPr>
          <w:p w:rsidR="00926AF3" w:rsidRPr="00926AF3" w:rsidRDefault="00926AF3" w:rsidP="00926AF3">
            <w:pPr>
              <w:pStyle w:val="BodyText3"/>
              <w:cnfStyle w:val="000000000000" w:firstRow="0" w:lastRow="0" w:firstColumn="0" w:lastColumn="0" w:oddVBand="0" w:evenVBand="0" w:oddHBand="0" w:evenHBand="0" w:firstRowFirstColumn="0" w:firstRowLastColumn="0" w:lastRowFirstColumn="0" w:lastRowLastColumn="0"/>
              <w:rPr>
                <w:rStyle w:val="AERtexthighlight"/>
              </w:rPr>
            </w:pPr>
            <w:r w:rsidRPr="00926AF3">
              <w:t>7.51</w:t>
            </w:r>
          </w:p>
        </w:tc>
        <w:tc>
          <w:tcPr>
            <w:tcW w:w="984" w:type="dxa"/>
          </w:tcPr>
          <w:p w:rsidR="00926AF3" w:rsidRPr="00926AF3" w:rsidRDefault="00926AF3" w:rsidP="00926AF3">
            <w:pPr>
              <w:pStyle w:val="BodyText3"/>
              <w:cnfStyle w:val="000000000000" w:firstRow="0" w:lastRow="0" w:firstColumn="0" w:lastColumn="0" w:oddVBand="0" w:evenVBand="0" w:oddHBand="0" w:evenHBand="0" w:firstRowFirstColumn="0" w:firstRowLastColumn="0" w:lastRowFirstColumn="0" w:lastRowLastColumn="0"/>
              <w:rPr>
                <w:rStyle w:val="AERtexthighlight"/>
              </w:rPr>
            </w:pPr>
            <w:r w:rsidRPr="00926AF3">
              <w:t>7.51</w:t>
            </w:r>
          </w:p>
        </w:tc>
        <w:tc>
          <w:tcPr>
            <w:tcW w:w="984" w:type="dxa"/>
          </w:tcPr>
          <w:p w:rsidR="00926AF3" w:rsidRPr="00926AF3" w:rsidRDefault="00926AF3" w:rsidP="00926AF3">
            <w:pPr>
              <w:pStyle w:val="BodyText3"/>
              <w:cnfStyle w:val="000000000000" w:firstRow="0" w:lastRow="0" w:firstColumn="0" w:lastColumn="0" w:oddVBand="0" w:evenVBand="0" w:oddHBand="0" w:evenHBand="0" w:firstRowFirstColumn="0" w:firstRowLastColumn="0" w:lastRowFirstColumn="0" w:lastRowLastColumn="0"/>
              <w:rPr>
                <w:rStyle w:val="AERtexthighlight"/>
              </w:rPr>
            </w:pPr>
            <w:r w:rsidRPr="00926AF3">
              <w:t>7.51</w:t>
            </w:r>
          </w:p>
        </w:tc>
      </w:tr>
      <w:tr w:rsidR="00926AF3" w:rsidRPr="00A02C11" w:rsidTr="00671C6F">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689" w:type="dxa"/>
          </w:tcPr>
          <w:p w:rsidR="00926AF3" w:rsidRPr="00926AF3" w:rsidRDefault="00926AF3" w:rsidP="00926AF3">
            <w:pPr>
              <w:pStyle w:val="BodyText3"/>
            </w:pPr>
            <w:r w:rsidRPr="00926AF3">
              <w:t xml:space="preserve">AER draft decision </w:t>
            </w:r>
          </w:p>
        </w:tc>
        <w:tc>
          <w:tcPr>
            <w:tcW w:w="984" w:type="dxa"/>
          </w:tcPr>
          <w:p w:rsidR="00926AF3" w:rsidRPr="00926AF3" w:rsidRDefault="00926AF3" w:rsidP="00926AF3">
            <w:pPr>
              <w:pStyle w:val="BodyText3"/>
              <w:cnfStyle w:val="000000010000" w:firstRow="0" w:lastRow="0" w:firstColumn="0" w:lastColumn="0" w:oddVBand="0" w:evenVBand="0" w:oddHBand="0" w:evenHBand="1" w:firstRowFirstColumn="0" w:firstRowLastColumn="0" w:lastRowFirstColumn="0" w:lastRowLastColumn="0"/>
              <w:rPr>
                <w:rStyle w:val="AERtexthighlight"/>
              </w:rPr>
            </w:pPr>
            <w:r>
              <w:t>–</w:t>
            </w:r>
            <w:r w:rsidRPr="00926AF3">
              <w:t>20.95</w:t>
            </w:r>
          </w:p>
        </w:tc>
        <w:tc>
          <w:tcPr>
            <w:tcW w:w="984" w:type="dxa"/>
          </w:tcPr>
          <w:p w:rsidR="00926AF3" w:rsidRPr="00926AF3" w:rsidRDefault="00926AF3" w:rsidP="00926AF3">
            <w:pPr>
              <w:pStyle w:val="BodyText3"/>
              <w:cnfStyle w:val="000000010000" w:firstRow="0" w:lastRow="0" w:firstColumn="0" w:lastColumn="0" w:oddVBand="0" w:evenVBand="0" w:oddHBand="0" w:evenHBand="1" w:firstRowFirstColumn="0" w:firstRowLastColumn="0" w:lastRowFirstColumn="0" w:lastRowLastColumn="0"/>
              <w:rPr>
                <w:rStyle w:val="AERtexthighlight"/>
              </w:rPr>
            </w:pPr>
            <w:r w:rsidRPr="00926AF3">
              <w:t>3.18</w:t>
            </w:r>
          </w:p>
        </w:tc>
        <w:tc>
          <w:tcPr>
            <w:tcW w:w="984" w:type="dxa"/>
          </w:tcPr>
          <w:p w:rsidR="00926AF3" w:rsidRPr="00926AF3" w:rsidRDefault="00926AF3" w:rsidP="00926AF3">
            <w:pPr>
              <w:pStyle w:val="BodyText3"/>
              <w:cnfStyle w:val="000000010000" w:firstRow="0" w:lastRow="0" w:firstColumn="0" w:lastColumn="0" w:oddVBand="0" w:evenVBand="0" w:oddHBand="0" w:evenHBand="1" w:firstRowFirstColumn="0" w:firstRowLastColumn="0" w:lastRowFirstColumn="0" w:lastRowLastColumn="0"/>
              <w:rPr>
                <w:rStyle w:val="AERtexthighlight"/>
              </w:rPr>
            </w:pPr>
            <w:r w:rsidRPr="00926AF3">
              <w:t>3.18</w:t>
            </w:r>
          </w:p>
        </w:tc>
        <w:tc>
          <w:tcPr>
            <w:tcW w:w="984" w:type="dxa"/>
          </w:tcPr>
          <w:p w:rsidR="00926AF3" w:rsidRPr="00926AF3" w:rsidRDefault="00926AF3" w:rsidP="00926AF3">
            <w:pPr>
              <w:pStyle w:val="BodyText3"/>
              <w:cnfStyle w:val="000000010000" w:firstRow="0" w:lastRow="0" w:firstColumn="0" w:lastColumn="0" w:oddVBand="0" w:evenVBand="0" w:oddHBand="0" w:evenHBand="1" w:firstRowFirstColumn="0" w:firstRowLastColumn="0" w:lastRowFirstColumn="0" w:lastRowLastColumn="0"/>
              <w:rPr>
                <w:rStyle w:val="AERtexthighlight"/>
              </w:rPr>
            </w:pPr>
            <w:r w:rsidRPr="00926AF3">
              <w:t>3.18</w:t>
            </w:r>
          </w:p>
        </w:tc>
        <w:tc>
          <w:tcPr>
            <w:tcW w:w="984" w:type="dxa"/>
          </w:tcPr>
          <w:p w:rsidR="00926AF3" w:rsidRPr="00926AF3" w:rsidRDefault="00926AF3" w:rsidP="00926AF3">
            <w:pPr>
              <w:pStyle w:val="BodyText3"/>
              <w:cnfStyle w:val="000000010000" w:firstRow="0" w:lastRow="0" w:firstColumn="0" w:lastColumn="0" w:oddVBand="0" w:evenVBand="0" w:oddHBand="0" w:evenHBand="1" w:firstRowFirstColumn="0" w:firstRowLastColumn="0" w:lastRowFirstColumn="0" w:lastRowLastColumn="0"/>
              <w:rPr>
                <w:rStyle w:val="AERtexthighlight"/>
              </w:rPr>
            </w:pPr>
            <w:r w:rsidRPr="00926AF3">
              <w:t>3.18</w:t>
            </w:r>
          </w:p>
        </w:tc>
      </w:tr>
      <w:tr w:rsidR="00926AF3" w:rsidRPr="00A02C11" w:rsidTr="00671C6F">
        <w:trPr>
          <w:trHeight w:val="228"/>
        </w:trPr>
        <w:tc>
          <w:tcPr>
            <w:cnfStyle w:val="001000000000" w:firstRow="0" w:lastRow="0" w:firstColumn="1" w:lastColumn="0" w:oddVBand="0" w:evenVBand="0" w:oddHBand="0" w:evenHBand="0" w:firstRowFirstColumn="0" w:firstRowLastColumn="0" w:lastRowFirstColumn="0" w:lastRowLastColumn="0"/>
            <w:tcW w:w="3689" w:type="dxa"/>
          </w:tcPr>
          <w:p w:rsidR="00926AF3" w:rsidRPr="00926AF3" w:rsidRDefault="00926AF3" w:rsidP="00926AF3">
            <w:pPr>
              <w:pStyle w:val="BodyText3"/>
            </w:pPr>
            <w:r w:rsidRPr="00926AF3">
              <w:t>AGN revised proposal</w:t>
            </w:r>
          </w:p>
        </w:tc>
        <w:tc>
          <w:tcPr>
            <w:tcW w:w="984" w:type="dxa"/>
          </w:tcPr>
          <w:p w:rsidR="00926AF3" w:rsidRPr="00926AF3" w:rsidRDefault="00926AF3" w:rsidP="00926AF3">
            <w:pPr>
              <w:pStyle w:val="BodyText3"/>
              <w:cnfStyle w:val="000000000000" w:firstRow="0" w:lastRow="0" w:firstColumn="0" w:lastColumn="0" w:oddVBand="0" w:evenVBand="0" w:oddHBand="0" w:evenHBand="0" w:firstRowFirstColumn="0" w:firstRowLastColumn="0" w:lastRowFirstColumn="0" w:lastRowLastColumn="0"/>
              <w:rPr>
                <w:rStyle w:val="AERtexthighlight"/>
              </w:rPr>
            </w:pPr>
            <w:r>
              <w:t>–</w:t>
            </w:r>
            <w:r w:rsidRPr="00926AF3">
              <w:t>3.21</w:t>
            </w:r>
          </w:p>
        </w:tc>
        <w:tc>
          <w:tcPr>
            <w:tcW w:w="984" w:type="dxa"/>
          </w:tcPr>
          <w:p w:rsidR="00926AF3" w:rsidRPr="00926AF3" w:rsidRDefault="00926AF3" w:rsidP="00926AF3">
            <w:pPr>
              <w:pStyle w:val="BodyText3"/>
              <w:cnfStyle w:val="000000000000" w:firstRow="0" w:lastRow="0" w:firstColumn="0" w:lastColumn="0" w:oddVBand="0" w:evenVBand="0" w:oddHBand="0" w:evenHBand="0" w:firstRowFirstColumn="0" w:firstRowLastColumn="0" w:lastRowFirstColumn="0" w:lastRowLastColumn="0"/>
              <w:rPr>
                <w:rStyle w:val="AERtexthighlight"/>
              </w:rPr>
            </w:pPr>
            <w:r w:rsidRPr="00926AF3">
              <w:t>7.51</w:t>
            </w:r>
          </w:p>
        </w:tc>
        <w:tc>
          <w:tcPr>
            <w:tcW w:w="984" w:type="dxa"/>
          </w:tcPr>
          <w:p w:rsidR="00926AF3" w:rsidRPr="00926AF3" w:rsidRDefault="00926AF3" w:rsidP="00926AF3">
            <w:pPr>
              <w:pStyle w:val="BodyText3"/>
              <w:cnfStyle w:val="000000000000" w:firstRow="0" w:lastRow="0" w:firstColumn="0" w:lastColumn="0" w:oddVBand="0" w:evenVBand="0" w:oddHBand="0" w:evenHBand="0" w:firstRowFirstColumn="0" w:firstRowLastColumn="0" w:lastRowFirstColumn="0" w:lastRowLastColumn="0"/>
              <w:rPr>
                <w:rStyle w:val="AERtexthighlight"/>
              </w:rPr>
            </w:pPr>
            <w:r w:rsidRPr="00926AF3">
              <w:t>7.51</w:t>
            </w:r>
          </w:p>
        </w:tc>
        <w:tc>
          <w:tcPr>
            <w:tcW w:w="984" w:type="dxa"/>
          </w:tcPr>
          <w:p w:rsidR="00926AF3" w:rsidRPr="00926AF3" w:rsidRDefault="00926AF3" w:rsidP="00926AF3">
            <w:pPr>
              <w:pStyle w:val="BodyText3"/>
              <w:cnfStyle w:val="000000000000" w:firstRow="0" w:lastRow="0" w:firstColumn="0" w:lastColumn="0" w:oddVBand="0" w:evenVBand="0" w:oddHBand="0" w:evenHBand="0" w:firstRowFirstColumn="0" w:firstRowLastColumn="0" w:lastRowFirstColumn="0" w:lastRowLastColumn="0"/>
              <w:rPr>
                <w:rStyle w:val="AERtexthighlight"/>
              </w:rPr>
            </w:pPr>
            <w:r w:rsidRPr="00926AF3">
              <w:t>7.51</w:t>
            </w:r>
          </w:p>
        </w:tc>
        <w:tc>
          <w:tcPr>
            <w:tcW w:w="984" w:type="dxa"/>
          </w:tcPr>
          <w:p w:rsidR="00926AF3" w:rsidRPr="00926AF3" w:rsidRDefault="00926AF3" w:rsidP="00926AF3">
            <w:pPr>
              <w:pStyle w:val="BodyText3"/>
              <w:cnfStyle w:val="000000000000" w:firstRow="0" w:lastRow="0" w:firstColumn="0" w:lastColumn="0" w:oddVBand="0" w:evenVBand="0" w:oddHBand="0" w:evenHBand="0" w:firstRowFirstColumn="0" w:firstRowLastColumn="0" w:lastRowFirstColumn="0" w:lastRowLastColumn="0"/>
              <w:rPr>
                <w:rStyle w:val="AERtexthighlight"/>
              </w:rPr>
            </w:pPr>
            <w:r w:rsidRPr="00926AF3">
              <w:t>7.51</w:t>
            </w:r>
          </w:p>
        </w:tc>
      </w:tr>
      <w:tr w:rsidR="00926AF3" w:rsidRPr="00A02C11" w:rsidTr="00671C6F">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689" w:type="dxa"/>
          </w:tcPr>
          <w:p w:rsidR="00926AF3" w:rsidRPr="00926AF3" w:rsidRDefault="00926AF3" w:rsidP="00926AF3">
            <w:pPr>
              <w:pStyle w:val="BodyText3"/>
            </w:pPr>
            <w:r w:rsidRPr="00926AF3">
              <w:t>AER final decision</w:t>
            </w:r>
          </w:p>
        </w:tc>
        <w:tc>
          <w:tcPr>
            <w:tcW w:w="984" w:type="dxa"/>
          </w:tcPr>
          <w:p w:rsidR="00926AF3" w:rsidRPr="00926AF3" w:rsidRDefault="00926AF3" w:rsidP="003867C4">
            <w:pPr>
              <w:pStyle w:val="BodyText3"/>
              <w:cnfStyle w:val="000000010000" w:firstRow="0" w:lastRow="0" w:firstColumn="0" w:lastColumn="0" w:oddVBand="0" w:evenVBand="0" w:oddHBand="0" w:evenHBand="1" w:firstRowFirstColumn="0" w:firstRowLastColumn="0" w:lastRowFirstColumn="0" w:lastRowLastColumn="0"/>
              <w:rPr>
                <w:rStyle w:val="AERtexthighlight"/>
              </w:rPr>
            </w:pPr>
            <w:r>
              <w:t>–</w:t>
            </w:r>
            <w:r w:rsidRPr="00926AF3">
              <w:t>21.5</w:t>
            </w:r>
            <w:r w:rsidR="0034799A">
              <w:t>7</w:t>
            </w:r>
          </w:p>
        </w:tc>
        <w:tc>
          <w:tcPr>
            <w:tcW w:w="984" w:type="dxa"/>
          </w:tcPr>
          <w:p w:rsidR="00926AF3" w:rsidRPr="00926AF3" w:rsidRDefault="00926AF3" w:rsidP="00926AF3">
            <w:pPr>
              <w:pStyle w:val="BodyText3"/>
              <w:cnfStyle w:val="000000010000" w:firstRow="0" w:lastRow="0" w:firstColumn="0" w:lastColumn="0" w:oddVBand="0" w:evenVBand="0" w:oddHBand="0" w:evenHBand="1" w:firstRowFirstColumn="0" w:firstRowLastColumn="0" w:lastRowFirstColumn="0" w:lastRowLastColumn="0"/>
              <w:rPr>
                <w:rStyle w:val="AERtexthighlight"/>
              </w:rPr>
            </w:pPr>
            <w:r w:rsidRPr="00926AF3">
              <w:t>6.28</w:t>
            </w:r>
          </w:p>
        </w:tc>
        <w:tc>
          <w:tcPr>
            <w:tcW w:w="984" w:type="dxa"/>
          </w:tcPr>
          <w:p w:rsidR="00926AF3" w:rsidRPr="00926AF3" w:rsidRDefault="00926AF3" w:rsidP="00926AF3">
            <w:pPr>
              <w:pStyle w:val="BodyText3"/>
              <w:cnfStyle w:val="000000010000" w:firstRow="0" w:lastRow="0" w:firstColumn="0" w:lastColumn="0" w:oddVBand="0" w:evenVBand="0" w:oddHBand="0" w:evenHBand="1" w:firstRowFirstColumn="0" w:firstRowLastColumn="0" w:lastRowFirstColumn="0" w:lastRowLastColumn="0"/>
              <w:rPr>
                <w:rStyle w:val="AERtexthighlight"/>
              </w:rPr>
            </w:pPr>
            <w:r w:rsidRPr="00926AF3">
              <w:t>6.28</w:t>
            </w:r>
          </w:p>
        </w:tc>
        <w:tc>
          <w:tcPr>
            <w:tcW w:w="984" w:type="dxa"/>
          </w:tcPr>
          <w:p w:rsidR="00926AF3" w:rsidRPr="00926AF3" w:rsidRDefault="00926AF3" w:rsidP="00926AF3">
            <w:pPr>
              <w:pStyle w:val="BodyText3"/>
              <w:cnfStyle w:val="000000010000" w:firstRow="0" w:lastRow="0" w:firstColumn="0" w:lastColumn="0" w:oddVBand="0" w:evenVBand="0" w:oddHBand="0" w:evenHBand="1" w:firstRowFirstColumn="0" w:firstRowLastColumn="0" w:lastRowFirstColumn="0" w:lastRowLastColumn="0"/>
              <w:rPr>
                <w:rStyle w:val="AERtexthighlight"/>
              </w:rPr>
            </w:pPr>
            <w:r w:rsidRPr="00926AF3">
              <w:t>6.28</w:t>
            </w:r>
          </w:p>
        </w:tc>
        <w:tc>
          <w:tcPr>
            <w:tcW w:w="984" w:type="dxa"/>
          </w:tcPr>
          <w:p w:rsidR="00926AF3" w:rsidRPr="00926AF3" w:rsidRDefault="00926AF3" w:rsidP="00926AF3">
            <w:pPr>
              <w:pStyle w:val="BodyText3"/>
              <w:cnfStyle w:val="000000010000" w:firstRow="0" w:lastRow="0" w:firstColumn="0" w:lastColumn="0" w:oddVBand="0" w:evenVBand="0" w:oddHBand="0" w:evenHBand="1" w:firstRowFirstColumn="0" w:firstRowLastColumn="0" w:lastRowFirstColumn="0" w:lastRowLastColumn="0"/>
              <w:rPr>
                <w:rStyle w:val="AERtexthighlight"/>
              </w:rPr>
            </w:pPr>
            <w:r w:rsidRPr="00926AF3">
              <w:t>6.28</w:t>
            </w:r>
          </w:p>
        </w:tc>
      </w:tr>
    </w:tbl>
    <w:p w:rsidR="00CF00DE" w:rsidRPr="00422A29" w:rsidRDefault="00CF00DE" w:rsidP="00D9287A">
      <w:pPr>
        <w:pStyle w:val="AERtablesource"/>
        <w:keepNext/>
      </w:pPr>
      <w:r w:rsidRPr="00E570F4">
        <w:rPr>
          <w:rFonts w:eastAsia="Calibri"/>
        </w:rPr>
        <w:t xml:space="preserve">Source: </w:t>
      </w:r>
      <w:r w:rsidRPr="00E570F4">
        <w:rPr>
          <w:rFonts w:eastAsia="Calibri"/>
        </w:rPr>
        <w:tab/>
      </w:r>
      <w:r w:rsidRPr="00930A79">
        <w:rPr>
          <w:rStyle w:val="AERtexthighlight"/>
          <w:rFonts w:eastAsia="Calibri"/>
          <w:shd w:val="clear" w:color="auto" w:fill="auto"/>
        </w:rPr>
        <w:t xml:space="preserve">AGN, </w:t>
      </w:r>
      <w:r w:rsidRPr="00930A79">
        <w:rPr>
          <w:rStyle w:val="AERtextitalic"/>
          <w:rFonts w:eastAsia="Calibri"/>
        </w:rPr>
        <w:t>Access arrangement information</w:t>
      </w:r>
      <w:r w:rsidRPr="00930A79">
        <w:rPr>
          <w:rStyle w:val="AERtexthighlight"/>
          <w:rFonts w:eastAsia="Calibri"/>
          <w:shd w:val="clear" w:color="auto" w:fill="auto"/>
        </w:rPr>
        <w:t>, July 2015, p. 214</w:t>
      </w:r>
      <w:r w:rsidRPr="00E570F4">
        <w:rPr>
          <w:rFonts w:eastAsia="Calibri"/>
        </w:rPr>
        <w:t xml:space="preserve">; </w:t>
      </w:r>
      <w:r w:rsidR="00E570F4" w:rsidRPr="00422A29">
        <w:rPr>
          <w:rFonts w:eastAsia="Calibri"/>
        </w:rPr>
        <w:t xml:space="preserve">AGN, </w:t>
      </w:r>
      <w:r w:rsidR="00E570F4" w:rsidRPr="00930A79">
        <w:rPr>
          <w:rStyle w:val="AERtextitalic"/>
          <w:rFonts w:eastAsia="Calibri"/>
        </w:rPr>
        <w:t>Revised proposed PTRM</w:t>
      </w:r>
      <w:r w:rsidR="00E570F4" w:rsidRPr="00422A29">
        <w:rPr>
          <w:rFonts w:eastAsia="Calibri"/>
        </w:rPr>
        <w:t xml:space="preserve">, January 2016; </w:t>
      </w:r>
      <w:r w:rsidRPr="00422A29">
        <w:t>AER analysis.</w:t>
      </w:r>
    </w:p>
    <w:p w:rsidR="00CF00DE" w:rsidRDefault="00CF00DE" w:rsidP="00D9287A">
      <w:pPr>
        <w:pStyle w:val="AERtablesource"/>
        <w:keepNext/>
      </w:pPr>
      <w:r>
        <w:t>(</w:t>
      </w:r>
      <w:r w:rsidRPr="00CF00DE">
        <w:t>a)</w:t>
      </w:r>
      <w:r w:rsidRPr="00CF00DE">
        <w:tab/>
        <w:t>Under the CPI–X form of control, a positive X factor is a decrease in price (and therefore in revenue). For example, an X factor of –5.00 per cent in 2017–18 means a real price increase of 5.00 per cent that year. After consideration of inflation (assumed at 2.</w:t>
      </w:r>
      <w:r w:rsidR="00926AF3">
        <w:t>39</w:t>
      </w:r>
      <w:r w:rsidRPr="00CF00DE">
        <w:t xml:space="preserve"> per cent) this becomes a nominal price increase of </w:t>
      </w:r>
      <w:r w:rsidR="00926AF3">
        <w:t>7.51</w:t>
      </w:r>
      <w:r w:rsidRPr="00CF00DE">
        <w:t xml:space="preserve"> per cent.</w:t>
      </w:r>
    </w:p>
    <w:p w:rsidR="00B05D8B" w:rsidRPr="00B05D8B" w:rsidRDefault="00B05D8B" w:rsidP="008A20F2">
      <w:pPr>
        <w:pStyle w:val="AERtablesource"/>
      </w:pPr>
      <w:r>
        <w:t>(b)</w:t>
      </w:r>
      <w:r>
        <w:tab/>
        <w:t>The nominal price changes reflect the final decision forecast inflation of 2.39 per cent per year.</w:t>
      </w:r>
    </w:p>
    <w:p w:rsidR="00CF00DE" w:rsidRPr="00A2121F" w:rsidRDefault="00CF00DE" w:rsidP="00CF00DE">
      <w:pPr>
        <w:numPr>
          <w:ilvl w:val="0"/>
          <w:numId w:val="24"/>
        </w:numPr>
        <w:rPr>
          <w:rStyle w:val="AERtexthighlight"/>
        </w:rPr>
      </w:pPr>
      <w:r w:rsidRPr="00671C6F">
        <w:rPr>
          <w:rStyle w:val="AERbody"/>
        </w:rPr>
        <w:fldChar w:fldCharType="begin"/>
      </w:r>
      <w:r w:rsidRPr="00671C6F">
        <w:rPr>
          <w:rStyle w:val="AERbody"/>
        </w:rPr>
        <w:instrText xml:space="preserve"> REF _Ref433876113 \h </w:instrText>
      </w:r>
      <w:r w:rsidR="00A2121F" w:rsidRPr="00671C6F">
        <w:rPr>
          <w:rStyle w:val="AERbody"/>
        </w:rPr>
        <w:instrText xml:space="preserve"> \* MERGEFORMAT </w:instrText>
      </w:r>
      <w:r w:rsidRPr="00671C6F">
        <w:rPr>
          <w:rStyle w:val="AERbody"/>
        </w:rPr>
      </w:r>
      <w:r w:rsidRPr="00671C6F">
        <w:rPr>
          <w:rStyle w:val="AERbody"/>
        </w:rPr>
        <w:fldChar w:fldCharType="separate"/>
      </w:r>
      <w:r w:rsidR="006E1111" w:rsidRPr="006E1111">
        <w:rPr>
          <w:rStyle w:val="AERbody"/>
        </w:rPr>
        <w:t>Figure 6</w:t>
      </w:r>
      <w:r w:rsidRPr="00671C6F">
        <w:rPr>
          <w:rStyle w:val="AERbody"/>
        </w:rPr>
        <w:fldChar w:fldCharType="end"/>
      </w:r>
      <w:r w:rsidRPr="00671C6F">
        <w:rPr>
          <w:rStyle w:val="AERbody"/>
        </w:rPr>
        <w:t xml:space="preserve"> shows indicative tariff paths for AGN's reference services across the 2011–21 period. It compares AGN's proposed tariff path with that approved in the 2011–16 access arrangement, and with this </w:t>
      </w:r>
      <w:r w:rsidR="003C45A6" w:rsidRPr="00671C6F">
        <w:rPr>
          <w:rStyle w:val="AERbody"/>
        </w:rPr>
        <w:t xml:space="preserve">final </w:t>
      </w:r>
      <w:r w:rsidRPr="00671C6F">
        <w:rPr>
          <w:rStyle w:val="AERbody"/>
        </w:rPr>
        <w:t>decision.</w:t>
      </w:r>
      <w:r w:rsidRPr="00BE4BB0">
        <w:rPr>
          <w:rStyle w:val="FootnoteReference"/>
        </w:rPr>
        <w:footnoteReference w:id="18"/>
      </w:r>
      <w:r w:rsidRPr="00671C6F">
        <w:rPr>
          <w:rStyle w:val="AERbody"/>
        </w:rPr>
        <w:t xml:space="preserve"> This provides a broad overall indication of the average movement across this period.</w:t>
      </w:r>
    </w:p>
    <w:p w:rsidR="00CF00DE" w:rsidRPr="0080422F" w:rsidRDefault="00CF00DE" w:rsidP="00CF00DE">
      <w:pPr>
        <w:pStyle w:val="Caption"/>
      </w:pPr>
      <w:bookmarkStart w:id="58" w:name="_Ref433876088"/>
      <w:bookmarkStart w:id="59" w:name="_Ref433876113"/>
      <w:r>
        <w:t>Figure</w:t>
      </w:r>
      <w:bookmarkEnd w:id="58"/>
      <w:r>
        <w:t xml:space="preserve"> </w:t>
      </w:r>
      <w:fldSimple w:instr=" SEQ Figure \* ARABIC ">
        <w:r w:rsidR="006E1111">
          <w:rPr>
            <w:noProof/>
          </w:rPr>
          <w:t>6</w:t>
        </w:r>
      </w:fldSimple>
      <w:bookmarkEnd w:id="59"/>
      <w:r w:rsidRPr="0080422F">
        <w:tab/>
        <w:t xml:space="preserve">Indicative reference tariff paths for </w:t>
      </w:r>
      <w:r>
        <w:t>AGN</w:t>
      </w:r>
      <w:r w:rsidRPr="0080422F">
        <w:t>'s reference services from 201</w:t>
      </w:r>
      <w:r>
        <w:t>1</w:t>
      </w:r>
      <w:r w:rsidRPr="0080422F">
        <w:t xml:space="preserve"> to 202</w:t>
      </w:r>
      <w:r>
        <w:t>1</w:t>
      </w:r>
      <w:r w:rsidRPr="0080422F">
        <w:t xml:space="preserve"> (nominal index)</w:t>
      </w:r>
    </w:p>
    <w:p w:rsidR="00882E8E" w:rsidRPr="008A20F2" w:rsidRDefault="00882E8E" w:rsidP="008A20F2">
      <w:r w:rsidRPr="00882E8E">
        <w:rPr>
          <w:noProof/>
          <w:lang w:eastAsia="en-AU"/>
        </w:rPr>
        <w:drawing>
          <wp:inline distT="0" distB="0" distL="0" distR="0" wp14:anchorId="1C1E2DBA" wp14:editId="4CCCF749">
            <wp:extent cx="5382895" cy="3400088"/>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400088"/>
                    </a:xfrm>
                    <a:prstGeom prst="rect">
                      <a:avLst/>
                    </a:prstGeom>
                    <a:noFill/>
                    <a:ln>
                      <a:noFill/>
                    </a:ln>
                  </pic:spPr>
                </pic:pic>
              </a:graphicData>
            </a:graphic>
          </wp:inline>
        </w:drawing>
      </w:r>
    </w:p>
    <w:p w:rsidR="00CF00DE" w:rsidRPr="00422A29" w:rsidRDefault="00CF00DE" w:rsidP="00422A29">
      <w:pPr>
        <w:pStyle w:val="AERtablesource"/>
        <w:rPr>
          <w:rFonts w:eastAsia="Calibri"/>
        </w:rPr>
      </w:pPr>
      <w:r w:rsidRPr="00CF00DE">
        <w:rPr>
          <w:rFonts w:eastAsia="Calibri"/>
        </w:rPr>
        <w:t xml:space="preserve">Source: </w:t>
      </w:r>
      <w:r w:rsidRPr="00CF00DE">
        <w:rPr>
          <w:rFonts w:eastAsia="Calibri"/>
        </w:rPr>
        <w:tab/>
      </w:r>
      <w:r>
        <w:t xml:space="preserve">AER </w:t>
      </w:r>
      <w:r w:rsidRPr="00422A29">
        <w:t xml:space="preserve">analysis; </w:t>
      </w:r>
      <w:r w:rsidRPr="00B007C7">
        <w:rPr>
          <w:rStyle w:val="AERtexthighlight"/>
          <w:shd w:val="clear" w:color="auto" w:fill="auto"/>
        </w:rPr>
        <w:t xml:space="preserve">AGN, </w:t>
      </w:r>
      <w:r w:rsidRPr="00930A79">
        <w:rPr>
          <w:rStyle w:val="AERtextitalic"/>
        </w:rPr>
        <w:t>Access arrangement information</w:t>
      </w:r>
      <w:r w:rsidRPr="00B007C7">
        <w:rPr>
          <w:rStyle w:val="AERtexthighlight"/>
          <w:shd w:val="clear" w:color="auto" w:fill="auto"/>
        </w:rPr>
        <w:t>, July 2015, p. 214</w:t>
      </w:r>
      <w:r w:rsidR="00024494" w:rsidRPr="00B007C7">
        <w:rPr>
          <w:rStyle w:val="AERtexthighlight"/>
          <w:shd w:val="clear" w:color="auto" w:fill="auto"/>
        </w:rPr>
        <w:t xml:space="preserve">; AGN, </w:t>
      </w:r>
      <w:r w:rsidR="00024494" w:rsidRPr="00930A79">
        <w:rPr>
          <w:rStyle w:val="AERtextitalic"/>
        </w:rPr>
        <w:t>Revised proposed PTRM</w:t>
      </w:r>
      <w:r w:rsidR="00024494" w:rsidRPr="00B007C7">
        <w:rPr>
          <w:rStyle w:val="AERtexthighlight"/>
          <w:shd w:val="clear" w:color="auto" w:fill="auto"/>
        </w:rPr>
        <w:t>, January 2016.</w:t>
      </w:r>
      <w:r w:rsidRPr="00422A29">
        <w:t xml:space="preserve"> </w:t>
      </w:r>
    </w:p>
    <w:p w:rsidR="00CF00DE" w:rsidRPr="00BB2DCC" w:rsidRDefault="002076CD" w:rsidP="00CF00DE">
      <w:pPr>
        <w:numPr>
          <w:ilvl w:val="0"/>
          <w:numId w:val="24"/>
        </w:numPr>
        <w:rPr>
          <w:rStyle w:val="AERbody"/>
        </w:rPr>
      </w:pPr>
      <w:r>
        <w:rPr>
          <w:rStyle w:val="AERbody"/>
        </w:rPr>
        <w:t xml:space="preserve">The tariff path in </w:t>
      </w:r>
      <w:r w:rsidR="00CF00DE" w:rsidRPr="00930A79">
        <w:rPr>
          <w:rStyle w:val="AERbody"/>
        </w:rPr>
        <w:t xml:space="preserve">AGN’s </w:t>
      </w:r>
      <w:r w:rsidR="00046FB1" w:rsidRPr="00930A79">
        <w:rPr>
          <w:rStyle w:val="AERbody"/>
        </w:rPr>
        <w:t xml:space="preserve">revised </w:t>
      </w:r>
      <w:r w:rsidR="00CF00DE" w:rsidRPr="00930A79">
        <w:rPr>
          <w:rStyle w:val="AERbody"/>
        </w:rPr>
        <w:t>propos</w:t>
      </w:r>
      <w:r>
        <w:rPr>
          <w:rStyle w:val="AERbody"/>
        </w:rPr>
        <w:t xml:space="preserve">al was </w:t>
      </w:r>
      <w:r w:rsidR="00CF00DE" w:rsidRPr="00930A79">
        <w:rPr>
          <w:rStyle w:val="AERbody"/>
        </w:rPr>
        <w:t xml:space="preserve">a decrease of </w:t>
      </w:r>
      <w:r w:rsidR="00FB6F5D" w:rsidRPr="00930A79">
        <w:rPr>
          <w:rStyle w:val="AERbody"/>
        </w:rPr>
        <w:t>3.</w:t>
      </w:r>
      <w:r w:rsidR="0034799A">
        <w:rPr>
          <w:rStyle w:val="AERbody"/>
        </w:rPr>
        <w:t>21</w:t>
      </w:r>
      <w:r w:rsidR="0034799A" w:rsidRPr="00930A79">
        <w:rPr>
          <w:rStyle w:val="AERbody"/>
        </w:rPr>
        <w:t xml:space="preserve"> </w:t>
      </w:r>
      <w:r w:rsidR="00CF00DE" w:rsidRPr="00930A79">
        <w:rPr>
          <w:rStyle w:val="AERbody"/>
        </w:rPr>
        <w:t>per cent (in nominal terms) in 2016–17</w:t>
      </w:r>
      <w:r w:rsidR="0034799A">
        <w:rPr>
          <w:rStyle w:val="FootnoteReference"/>
        </w:rPr>
        <w:footnoteReference w:id="19"/>
      </w:r>
      <w:r w:rsidR="00CF00DE" w:rsidRPr="00930A79">
        <w:rPr>
          <w:rStyle w:val="AERbody"/>
        </w:rPr>
        <w:t>, followed by tariffs that increase at 7.</w:t>
      </w:r>
      <w:r w:rsidR="0034799A">
        <w:rPr>
          <w:rStyle w:val="AERbody"/>
        </w:rPr>
        <w:t>51</w:t>
      </w:r>
      <w:r w:rsidR="0034799A" w:rsidRPr="00930A79">
        <w:rPr>
          <w:rStyle w:val="AERbody"/>
        </w:rPr>
        <w:t xml:space="preserve"> </w:t>
      </w:r>
      <w:r w:rsidR="00CF00DE" w:rsidRPr="00930A79">
        <w:rPr>
          <w:rStyle w:val="AERbody"/>
        </w:rPr>
        <w:t>per cent for each subsequent year of the 2016–21 access arrangement period.</w:t>
      </w:r>
      <w:r w:rsidR="0034799A">
        <w:rPr>
          <w:rStyle w:val="FootnoteReference"/>
        </w:rPr>
        <w:footnoteReference w:id="20"/>
      </w:r>
      <w:r>
        <w:rPr>
          <w:rStyle w:val="AERbody"/>
        </w:rPr>
        <w:t xml:space="preserve"> Because o</w:t>
      </w:r>
      <w:r w:rsidR="00CF00DE" w:rsidRPr="00930A79">
        <w:rPr>
          <w:rStyle w:val="AERbody"/>
        </w:rPr>
        <w:t xml:space="preserve">ur </w:t>
      </w:r>
      <w:r w:rsidR="003C45A6" w:rsidRPr="00930A79">
        <w:rPr>
          <w:rStyle w:val="AERbody"/>
        </w:rPr>
        <w:t xml:space="preserve">final </w:t>
      </w:r>
      <w:r w:rsidR="00CF00DE" w:rsidRPr="00930A79">
        <w:rPr>
          <w:rStyle w:val="AERbody"/>
        </w:rPr>
        <w:t xml:space="preserve">decision provides for lower total smoothed </w:t>
      </w:r>
      <w:r>
        <w:rPr>
          <w:rStyle w:val="AERbody"/>
        </w:rPr>
        <w:t xml:space="preserve">and unsmoothed </w:t>
      </w:r>
      <w:r w:rsidR="00CF00DE" w:rsidRPr="00930A79">
        <w:rPr>
          <w:rStyle w:val="AERbody"/>
        </w:rPr>
        <w:t xml:space="preserve">revenue than AGN's </w:t>
      </w:r>
      <w:r w:rsidR="00FB6F5D" w:rsidRPr="00930A79">
        <w:rPr>
          <w:rStyle w:val="AERbody"/>
        </w:rPr>
        <w:t xml:space="preserve">revised </w:t>
      </w:r>
      <w:r w:rsidR="00CF00DE" w:rsidRPr="00930A79">
        <w:rPr>
          <w:rStyle w:val="AERbody"/>
        </w:rPr>
        <w:t xml:space="preserve">proposal, a decrease to the tariff path is required over the 2016–21 access arrangement period to reflect the </w:t>
      </w:r>
      <w:r w:rsidR="00A311A2">
        <w:rPr>
          <w:rStyle w:val="AERbody"/>
        </w:rPr>
        <w:t>change in revenue from</w:t>
      </w:r>
      <w:r w:rsidR="00CF00DE" w:rsidRPr="00930A79">
        <w:rPr>
          <w:rStyle w:val="AERbody"/>
        </w:rPr>
        <w:t xml:space="preserve"> the 2011–16 access arrangement period. Our </w:t>
      </w:r>
      <w:r w:rsidR="003C45A6" w:rsidRPr="00930A79">
        <w:rPr>
          <w:rStyle w:val="AERbody"/>
        </w:rPr>
        <w:t xml:space="preserve">final </w:t>
      </w:r>
      <w:r w:rsidR="00CF00DE" w:rsidRPr="00930A79">
        <w:rPr>
          <w:rStyle w:val="AERbody"/>
        </w:rPr>
        <w:t xml:space="preserve">decision tariff path </w:t>
      </w:r>
      <w:r w:rsidR="00A311A2">
        <w:rPr>
          <w:rStyle w:val="AERbody"/>
        </w:rPr>
        <w:t xml:space="preserve">therefore </w:t>
      </w:r>
      <w:r w:rsidR="00CF00DE" w:rsidRPr="00930A79">
        <w:rPr>
          <w:rStyle w:val="AERbody"/>
        </w:rPr>
        <w:t xml:space="preserve">shows a decrease of </w:t>
      </w:r>
      <w:r w:rsidR="005C349F">
        <w:rPr>
          <w:rStyle w:val="AERbody"/>
        </w:rPr>
        <w:t>21.5</w:t>
      </w:r>
      <w:r w:rsidR="0034799A">
        <w:rPr>
          <w:rStyle w:val="AERbody"/>
        </w:rPr>
        <w:t>7</w:t>
      </w:r>
      <w:r w:rsidR="00CF00DE" w:rsidRPr="00930A79">
        <w:rPr>
          <w:rStyle w:val="AERbody"/>
        </w:rPr>
        <w:t xml:space="preserve"> per cent in tariffs (in nominal terms) in 2016–17, followed by an increase of </w:t>
      </w:r>
      <w:r w:rsidR="005C349F">
        <w:rPr>
          <w:rStyle w:val="AERbody"/>
        </w:rPr>
        <w:t>6.28</w:t>
      </w:r>
      <w:r w:rsidR="00CF00DE" w:rsidRPr="00930A79">
        <w:rPr>
          <w:rStyle w:val="AERbody"/>
        </w:rPr>
        <w:t xml:space="preserve"> per cent for each subsequent year of the 2016–21 access arrangement period.</w:t>
      </w:r>
    </w:p>
    <w:p w:rsidR="00CF00DE" w:rsidRPr="00BB2DCC" w:rsidRDefault="00CF00DE" w:rsidP="00CF00DE">
      <w:pPr>
        <w:rPr>
          <w:rStyle w:val="AERbody"/>
        </w:rPr>
      </w:pPr>
      <w:r w:rsidRPr="00BB2DCC">
        <w:rPr>
          <w:rStyle w:val="AERbody"/>
        </w:rPr>
        <w:t xml:space="preserve">In </w:t>
      </w:r>
      <w:r w:rsidR="00A311A2">
        <w:rPr>
          <w:rStyle w:val="AERbody"/>
        </w:rPr>
        <w:t>determining an appropriate</w:t>
      </w:r>
      <w:r w:rsidRPr="00BB2DCC">
        <w:rPr>
          <w:rStyle w:val="AERbody"/>
        </w:rPr>
        <w:t xml:space="preserve"> smoothing profile for this </w:t>
      </w:r>
      <w:r w:rsidR="003C45A6" w:rsidRPr="00BB2DCC">
        <w:rPr>
          <w:rStyle w:val="AERbody"/>
        </w:rPr>
        <w:t xml:space="preserve">final </w:t>
      </w:r>
      <w:r w:rsidRPr="00BB2DCC">
        <w:rPr>
          <w:rStyle w:val="AERbody"/>
        </w:rPr>
        <w:t>decision we have balanced a number of competing objectives:</w:t>
      </w:r>
    </w:p>
    <w:p w:rsidR="00CF00DE" w:rsidRPr="00BB2DCC" w:rsidRDefault="00CF00DE" w:rsidP="00CF00DE">
      <w:pPr>
        <w:pStyle w:val="AERbulletlistfirststyle"/>
        <w:rPr>
          <w:rStyle w:val="AERbody"/>
        </w:rPr>
      </w:pPr>
      <w:r w:rsidRPr="00BB2DCC">
        <w:rPr>
          <w:rStyle w:val="AERbody"/>
        </w:rPr>
        <w:t>Equalising (in NPV terms) unsmoothed and smoothed revenue</w:t>
      </w:r>
    </w:p>
    <w:p w:rsidR="00CF00DE" w:rsidRPr="00BB2DCC" w:rsidRDefault="00CF00DE" w:rsidP="00CF00DE">
      <w:pPr>
        <w:pStyle w:val="AERbulletlistfirststyle"/>
        <w:rPr>
          <w:rStyle w:val="AERbody"/>
        </w:rPr>
      </w:pPr>
      <w:r w:rsidRPr="00BB2DCC">
        <w:rPr>
          <w:rStyle w:val="AERbody"/>
        </w:rPr>
        <w:t>Providing price signals</w:t>
      </w:r>
      <w:r w:rsidR="00A311A2">
        <w:rPr>
          <w:rStyle w:val="AERbody"/>
        </w:rPr>
        <w:t xml:space="preserve"> through reference tariffs</w:t>
      </w:r>
      <w:r w:rsidRPr="00BB2DCC">
        <w:rPr>
          <w:rStyle w:val="AERbody"/>
        </w:rPr>
        <w:t xml:space="preserve"> that reflect the underlying efficient costs</w:t>
      </w:r>
    </w:p>
    <w:p w:rsidR="00CF00DE" w:rsidRPr="00BB2DCC" w:rsidRDefault="00CF00DE" w:rsidP="00CF00DE">
      <w:pPr>
        <w:pStyle w:val="AERbulletlistfirststyle"/>
        <w:rPr>
          <w:rStyle w:val="AERbody"/>
        </w:rPr>
      </w:pPr>
      <w:r w:rsidRPr="00BB2DCC">
        <w:rPr>
          <w:rStyle w:val="AERbody"/>
        </w:rPr>
        <w:t>Minimising variability in tariffs in 2015–16 and within the 2016–21 access arrangement period</w:t>
      </w:r>
    </w:p>
    <w:p w:rsidR="00CF00DE" w:rsidRPr="00BB2DCC" w:rsidRDefault="00CF00DE" w:rsidP="00CF00DE">
      <w:pPr>
        <w:pStyle w:val="AERbulletlistfirststyle"/>
        <w:rPr>
          <w:rStyle w:val="AERbody"/>
        </w:rPr>
      </w:pPr>
      <w:r w:rsidRPr="00BB2DCC">
        <w:rPr>
          <w:rStyle w:val="AERbody"/>
        </w:rPr>
        <w:t>Minimising the likelihood of variability in tariffs at the start of the 2021–26 access arrangement period.</w:t>
      </w:r>
    </w:p>
    <w:p w:rsidR="00FB6F5D" w:rsidRPr="00BB2DCC" w:rsidRDefault="00FB6F5D" w:rsidP="00422A29">
      <w:pPr>
        <w:pStyle w:val="AERbulletlistfirststyle"/>
        <w:rPr>
          <w:rStyle w:val="AERbody"/>
        </w:rPr>
      </w:pPr>
      <w:r w:rsidRPr="00BB2DCC">
        <w:rPr>
          <w:rStyle w:val="AERbody"/>
        </w:rPr>
        <w:t>Recognising stakeholder preferences for a particular tariff path.</w:t>
      </w:r>
    </w:p>
    <w:p w:rsidR="00CF00DE" w:rsidRPr="00BB2DCC" w:rsidRDefault="00CF00DE" w:rsidP="00CF00DE">
      <w:pPr>
        <w:rPr>
          <w:rStyle w:val="AERbody"/>
        </w:rPr>
      </w:pPr>
      <w:r w:rsidRPr="00BB2DCC">
        <w:rPr>
          <w:rStyle w:val="AERbody"/>
        </w:rPr>
        <w:t>Each of these points is discussed in turn.</w:t>
      </w:r>
    </w:p>
    <w:p w:rsidR="00CF00DE" w:rsidRPr="00BB2DCC" w:rsidRDefault="00CF00DE" w:rsidP="00CF00DE">
      <w:pPr>
        <w:rPr>
          <w:rStyle w:val="AERbody"/>
        </w:rPr>
      </w:pPr>
      <w:r w:rsidRPr="00BB2DCC">
        <w:rPr>
          <w:rStyle w:val="AERbody"/>
        </w:rPr>
        <w:t xml:space="preserve">First, we are satisfied that our </w:t>
      </w:r>
      <w:r w:rsidR="003C45A6" w:rsidRPr="00BB2DCC">
        <w:rPr>
          <w:rStyle w:val="AERbody"/>
        </w:rPr>
        <w:t xml:space="preserve">final </w:t>
      </w:r>
      <w:r w:rsidRPr="00BB2DCC">
        <w:rPr>
          <w:rStyle w:val="AERbody"/>
        </w:rPr>
        <w:t>decision tariff path for AGN's 2016–21 access arrangement period achieves revenue equalisation as required by rule 92(2) of the NGR.</w:t>
      </w:r>
      <w:r w:rsidRPr="00BE4BB0">
        <w:rPr>
          <w:rStyle w:val="FootnoteReference"/>
        </w:rPr>
        <w:footnoteReference w:id="21"/>
      </w:r>
      <w:r w:rsidRPr="00BB2DCC">
        <w:rPr>
          <w:rStyle w:val="AERbody"/>
        </w:rPr>
        <w:t xml:space="preserve"> As set out above, we have made substantial reductions to the unsmoothed revenue proposed by AGN. Accordingly, we set the tariff path so that it adjusts the smoothed revenue downward to better reflect the unsmoothed building block costs. </w:t>
      </w:r>
    </w:p>
    <w:p w:rsidR="00CF00DE" w:rsidRPr="00BB2DCC" w:rsidRDefault="00CF00DE" w:rsidP="00CF00DE">
      <w:pPr>
        <w:rPr>
          <w:rStyle w:val="AERbody"/>
        </w:rPr>
      </w:pPr>
      <w:r w:rsidRPr="00BB2DCC">
        <w:rPr>
          <w:rStyle w:val="AERbody"/>
        </w:rPr>
        <w:t>Second, but closely related to the first point, our smoothing allows closer alignment of tariffs and costs. This aids the achievement of the NGO and the revenue and pricing principles, including through providing a price signal that facilitates efficient use of natural gas services.</w:t>
      </w:r>
      <w:r w:rsidRPr="00BE4BB0">
        <w:rPr>
          <w:rStyle w:val="FootnoteReference"/>
        </w:rPr>
        <w:footnoteReference w:id="22"/>
      </w:r>
      <w:r w:rsidRPr="00BE4BB0">
        <w:rPr>
          <w:rStyle w:val="FootnoteReference"/>
        </w:rPr>
        <w:t xml:space="preserve"> </w:t>
      </w:r>
      <w:r w:rsidRPr="00BB2DCC">
        <w:rPr>
          <w:rStyle w:val="AERbody"/>
        </w:rPr>
        <w:t xml:space="preserve">Our </w:t>
      </w:r>
      <w:r w:rsidR="003C45A6" w:rsidRPr="00BB2DCC">
        <w:rPr>
          <w:rStyle w:val="AERbody"/>
        </w:rPr>
        <w:t xml:space="preserve">final </w:t>
      </w:r>
      <w:r w:rsidRPr="00BB2DCC">
        <w:rPr>
          <w:rStyle w:val="AERbody"/>
        </w:rPr>
        <w:t xml:space="preserve">decision tariff path shows a large decrease in the first year of the 2016–21 access arrangement period reflecting the lower unsmoothed building block costs. </w:t>
      </w:r>
    </w:p>
    <w:p w:rsidR="00CF00DE" w:rsidRPr="00BB2DCC" w:rsidRDefault="00CF00DE" w:rsidP="00CF00DE">
      <w:pPr>
        <w:rPr>
          <w:rStyle w:val="AERbody"/>
        </w:rPr>
      </w:pPr>
      <w:r w:rsidRPr="00BB2DCC">
        <w:rPr>
          <w:rStyle w:val="AERbody"/>
        </w:rPr>
        <w:t xml:space="preserve">Third, in setting the tariff path, we aim to minimise tariff volatility in 2015–16 and within the 2016–21 access arrangement period. Our chosen tariff path reflects this objective, but also reflects the consideration we must give to other competing objectives. For instance, setting a flat tariff path from 2015–16 would better minimise within-period volatility, but would not achieve revenue equalisation. </w:t>
      </w:r>
    </w:p>
    <w:p w:rsidR="00CF00DE" w:rsidRPr="00BB2DCC" w:rsidRDefault="00CF00DE" w:rsidP="00CF00DE">
      <w:pPr>
        <w:rPr>
          <w:rStyle w:val="AERbody"/>
        </w:rPr>
      </w:pPr>
      <w:r w:rsidRPr="00BB2DCC">
        <w:rPr>
          <w:rStyle w:val="AERbody"/>
        </w:rPr>
        <w:t xml:space="preserve">Fourth, in setting the tariff path, we also aim to minimise the likelihood of tariff volatility between this access arrangement period and the next. We do not know what AGN's efficient costs will be in 2021–22, or across the 2021–26 access arrangement period more generally. The unsmoothed building block costs for 2020–21 (the last year of the 2061–21 access arrangement period) are the best available proxy. Hence, this objective requires minimising the divergence between the smoothed and unsmoothed revenues for the last year of the access arrangement period. If there were no significant changes in forecast costs from 2020–21 to 2021–22, this final year divergence gives us an estimate of the size of the tariff change at the start of the 2021–26 access arrangement period. For this </w:t>
      </w:r>
      <w:r w:rsidR="003C45A6" w:rsidRPr="00BB2DCC">
        <w:rPr>
          <w:rStyle w:val="AERbody"/>
        </w:rPr>
        <w:t xml:space="preserve">final </w:t>
      </w:r>
      <w:r w:rsidRPr="00BB2DCC">
        <w:rPr>
          <w:rStyle w:val="AERbody"/>
        </w:rPr>
        <w:t xml:space="preserve">decision, this final year divergence is </w:t>
      </w:r>
      <w:r w:rsidR="0000750C">
        <w:rPr>
          <w:rStyle w:val="AERbody"/>
        </w:rPr>
        <w:t>1.0</w:t>
      </w:r>
      <w:r w:rsidR="00FB6F5D" w:rsidRPr="00BB2DCC">
        <w:rPr>
          <w:rStyle w:val="AERbody"/>
        </w:rPr>
        <w:t xml:space="preserve"> </w:t>
      </w:r>
      <w:r w:rsidRPr="00BB2DCC">
        <w:rPr>
          <w:rStyle w:val="AERbody"/>
        </w:rPr>
        <w:t xml:space="preserve">per cent, which </w:t>
      </w:r>
      <w:r w:rsidR="00BB2DCC">
        <w:rPr>
          <w:rStyle w:val="AERbody"/>
        </w:rPr>
        <w:t xml:space="preserve">is </w:t>
      </w:r>
      <w:r w:rsidRPr="00BB2DCC">
        <w:rPr>
          <w:rStyle w:val="AERbody"/>
        </w:rPr>
        <w:t>with</w:t>
      </w:r>
      <w:r w:rsidR="00FB6F5D" w:rsidRPr="00BB2DCC">
        <w:rPr>
          <w:rStyle w:val="AERbody"/>
        </w:rPr>
        <w:t>in</w:t>
      </w:r>
      <w:r w:rsidRPr="00BB2DCC">
        <w:rPr>
          <w:rStyle w:val="AERbody"/>
        </w:rPr>
        <w:t xml:space="preserve"> our usual target</w:t>
      </w:r>
      <w:r w:rsidR="00FB6F5D" w:rsidRPr="00BB2DCC">
        <w:rPr>
          <w:rStyle w:val="AERbody"/>
        </w:rPr>
        <w:t xml:space="preserve"> of 3 per cent</w:t>
      </w:r>
      <w:r w:rsidRPr="00BB2DCC">
        <w:rPr>
          <w:rStyle w:val="AERbody"/>
        </w:rPr>
        <w:t>. We note that if there are significant changes in costs at the start of the 2021–26 access arrangement period, this might increase or decrease the required tariff change at that time.</w:t>
      </w:r>
    </w:p>
    <w:p w:rsidR="00FB6F5D" w:rsidRPr="00A2121F" w:rsidRDefault="00FB6F5D" w:rsidP="00422A29">
      <w:pPr>
        <w:rPr>
          <w:rStyle w:val="AERtexthighlight"/>
        </w:rPr>
      </w:pPr>
      <w:r w:rsidRPr="00BB2DCC">
        <w:rPr>
          <w:rStyle w:val="AERbody"/>
        </w:rPr>
        <w:t>Finally, we also considered AGN's prefer</w:t>
      </w:r>
      <w:r w:rsidR="00BB2DCC">
        <w:rPr>
          <w:rStyle w:val="AERbody"/>
        </w:rPr>
        <w:t xml:space="preserve">ence for the </w:t>
      </w:r>
      <w:r w:rsidRPr="00BB2DCC">
        <w:rPr>
          <w:rStyle w:val="AERbody"/>
        </w:rPr>
        <w:t>tariff path.</w:t>
      </w:r>
      <w:r w:rsidR="00A4150D">
        <w:rPr>
          <w:rStyle w:val="FootnoteReference"/>
        </w:rPr>
        <w:footnoteReference w:id="23"/>
      </w:r>
      <w:r w:rsidRPr="00BB2DCC">
        <w:rPr>
          <w:rStyle w:val="AERbody"/>
        </w:rPr>
        <w:t xml:space="preserve"> AGN </w:t>
      </w:r>
      <w:r w:rsidR="00BB2DCC">
        <w:rPr>
          <w:rStyle w:val="AERbody"/>
        </w:rPr>
        <w:t xml:space="preserve">noted </w:t>
      </w:r>
      <w:r w:rsidRPr="00BB2DCC">
        <w:rPr>
          <w:rStyle w:val="AERbody"/>
        </w:rPr>
        <w:t>it</w:t>
      </w:r>
      <w:r w:rsidR="00BB2DCC">
        <w:rPr>
          <w:rStyle w:val="AERbody"/>
        </w:rPr>
        <w:t>s</w:t>
      </w:r>
      <w:r w:rsidRPr="00BB2DCC">
        <w:rPr>
          <w:rStyle w:val="AERbody"/>
        </w:rPr>
        <w:t xml:space="preserve"> prefer</w:t>
      </w:r>
      <w:r w:rsidR="00BB2DCC">
        <w:rPr>
          <w:rStyle w:val="AERbody"/>
        </w:rPr>
        <w:t>ence</w:t>
      </w:r>
      <w:r w:rsidRPr="00BB2DCC">
        <w:rPr>
          <w:rStyle w:val="AERbody"/>
        </w:rPr>
        <w:t xml:space="preserve"> </w:t>
      </w:r>
      <w:r w:rsidR="00DE6441" w:rsidRPr="00BB2DCC">
        <w:rPr>
          <w:rStyle w:val="AERbody"/>
        </w:rPr>
        <w:t>that</w:t>
      </w:r>
      <w:r w:rsidRPr="00BB2DCC">
        <w:rPr>
          <w:rStyle w:val="AERbody"/>
        </w:rPr>
        <w:t xml:space="preserve"> </w:t>
      </w:r>
      <w:r w:rsidR="00DE6441" w:rsidRPr="00BB2DCC">
        <w:rPr>
          <w:rStyle w:val="AERbody"/>
        </w:rPr>
        <w:t>the</w:t>
      </w:r>
      <w:r w:rsidRPr="00BB2DCC">
        <w:rPr>
          <w:rStyle w:val="AERbody"/>
        </w:rPr>
        <w:t xml:space="preserve"> tariff path </w:t>
      </w:r>
      <w:r w:rsidR="00DE6441" w:rsidRPr="00BB2DCC">
        <w:rPr>
          <w:rStyle w:val="AERbody"/>
        </w:rPr>
        <w:t>be aligned with the growth in the forecast capital base over the 2016–21 access arrangement period.</w:t>
      </w:r>
      <w:r w:rsidR="008D163A">
        <w:rPr>
          <w:rStyle w:val="FootnoteReference"/>
        </w:rPr>
        <w:footnoteReference w:id="24"/>
      </w:r>
      <w:r w:rsidR="00DE6441" w:rsidRPr="00BB2DCC">
        <w:rPr>
          <w:rStyle w:val="AERbody"/>
        </w:rPr>
        <w:t xml:space="preserve"> </w:t>
      </w:r>
      <w:r w:rsidR="007955AA" w:rsidRPr="00BB2DCC">
        <w:rPr>
          <w:rStyle w:val="AERbody"/>
        </w:rPr>
        <w:t xml:space="preserve">We consider that the final decision tariff path largely reflects this preference. </w:t>
      </w:r>
      <w:r w:rsidR="00DE6441" w:rsidRPr="00BB2DCC">
        <w:rPr>
          <w:rStyle w:val="AERbody"/>
        </w:rPr>
        <w:t xml:space="preserve">We note the average growth in the forecast capital base set in this final decision is about </w:t>
      </w:r>
      <w:r w:rsidR="00C75480">
        <w:rPr>
          <w:rStyle w:val="AERbody"/>
        </w:rPr>
        <w:t>four</w:t>
      </w:r>
      <w:r w:rsidR="00C75480" w:rsidRPr="00BB2DCC">
        <w:rPr>
          <w:rStyle w:val="AERbody"/>
        </w:rPr>
        <w:t xml:space="preserve"> </w:t>
      </w:r>
      <w:r w:rsidR="00DE6441" w:rsidRPr="00BB2DCC">
        <w:rPr>
          <w:rStyle w:val="AERbody"/>
        </w:rPr>
        <w:t>per cent</w:t>
      </w:r>
      <w:r w:rsidR="007955AA" w:rsidRPr="00BB2DCC">
        <w:rPr>
          <w:rStyle w:val="AERbody"/>
        </w:rPr>
        <w:t xml:space="preserve"> per year</w:t>
      </w:r>
      <w:r w:rsidR="00DE6441" w:rsidRPr="00BB2DCC">
        <w:rPr>
          <w:rStyle w:val="AERbody"/>
        </w:rPr>
        <w:t xml:space="preserve">. </w:t>
      </w:r>
      <w:r w:rsidR="007955AA" w:rsidRPr="00BB2DCC">
        <w:rPr>
          <w:rStyle w:val="AERbody"/>
        </w:rPr>
        <w:t>Our</w:t>
      </w:r>
      <w:r w:rsidR="007955AA" w:rsidRPr="003350D8">
        <w:t xml:space="preserve"> tariff path provides for an initial decrease </w:t>
      </w:r>
      <w:r w:rsidR="00BB2DCC">
        <w:t xml:space="preserve">of </w:t>
      </w:r>
      <w:r w:rsidR="00734144">
        <w:t>23.</w:t>
      </w:r>
      <w:r w:rsidR="00A22BFE">
        <w:t>40</w:t>
      </w:r>
      <w:r w:rsidR="00BB2DCC">
        <w:t xml:space="preserve"> per cent </w:t>
      </w:r>
      <w:r w:rsidR="007955AA" w:rsidRPr="003350D8">
        <w:t xml:space="preserve">in 2016–17 and then allows </w:t>
      </w:r>
      <w:r w:rsidR="0000750C">
        <w:t>3.8</w:t>
      </w:r>
      <w:r w:rsidR="00C75480" w:rsidRPr="003350D8">
        <w:t xml:space="preserve"> </w:t>
      </w:r>
      <w:r w:rsidR="007955AA" w:rsidRPr="003350D8">
        <w:t>per cent increase per year (in real terms) in the last four years of the 2016–21 access arrangement period.</w:t>
      </w:r>
      <w:r w:rsidR="007955AA">
        <w:t xml:space="preserve"> </w:t>
      </w:r>
    </w:p>
    <w:p w:rsidR="00166D56" w:rsidRPr="00BB2DCC" w:rsidRDefault="00CF00DE" w:rsidP="00422A29">
      <w:pPr>
        <w:rPr>
          <w:rStyle w:val="AERbody"/>
        </w:rPr>
      </w:pPr>
      <w:r w:rsidRPr="00BB2DCC">
        <w:rPr>
          <w:rStyle w:val="AERbody"/>
        </w:rPr>
        <w:t xml:space="preserve">We are satisfied that our </w:t>
      </w:r>
      <w:r w:rsidR="003C45A6" w:rsidRPr="00BB2DCC">
        <w:rPr>
          <w:rStyle w:val="AERbody"/>
        </w:rPr>
        <w:t xml:space="preserve">final </w:t>
      </w:r>
      <w:r w:rsidRPr="00BB2DCC">
        <w:rPr>
          <w:rStyle w:val="AERbody"/>
        </w:rPr>
        <w:t xml:space="preserve">decision tariff path reflects our balanced consideration of these competing objectives. </w:t>
      </w:r>
    </w:p>
    <w:p w:rsidR="00166D56" w:rsidRPr="00B5370C" w:rsidRDefault="00166D56" w:rsidP="00166D56">
      <w:pPr>
        <w:pStyle w:val="Heading3"/>
      </w:pPr>
      <w:bookmarkStart w:id="60" w:name="_Toc433016428"/>
      <w:bookmarkStart w:id="61" w:name="_Ref433882283"/>
      <w:bookmarkStart w:id="62" w:name="_Toc434486675"/>
      <w:bookmarkStart w:id="63" w:name="_Ref447613911"/>
      <w:bookmarkStart w:id="64" w:name="_Toc451873366"/>
      <w:r>
        <w:t>Indicative impact of distribution charges on annual gas bills</w:t>
      </w:r>
      <w:bookmarkEnd w:id="60"/>
      <w:bookmarkEnd w:id="61"/>
      <w:bookmarkEnd w:id="62"/>
      <w:bookmarkEnd w:id="63"/>
      <w:bookmarkEnd w:id="64"/>
    </w:p>
    <w:p w:rsidR="00166D56" w:rsidRPr="00BB2DCC" w:rsidRDefault="00166D56" w:rsidP="00166D56">
      <w:pPr>
        <w:numPr>
          <w:ilvl w:val="0"/>
          <w:numId w:val="24"/>
        </w:numPr>
        <w:rPr>
          <w:rStyle w:val="AERbody"/>
        </w:rPr>
      </w:pPr>
      <w:r w:rsidRPr="00BB2DCC">
        <w:rPr>
          <w:rStyle w:val="AERbody"/>
        </w:rPr>
        <w:t xml:space="preserve">Our </w:t>
      </w:r>
      <w:r w:rsidR="00816AE5" w:rsidRPr="00BB2DCC">
        <w:rPr>
          <w:rStyle w:val="AERbody"/>
        </w:rPr>
        <w:t>final</w:t>
      </w:r>
      <w:r w:rsidRPr="00BB2DCC">
        <w:rPr>
          <w:rStyle w:val="AERbody"/>
        </w:rPr>
        <w:t xml:space="preserve"> decision on AGN's weighted average tariff cap ultimately affects the prices consumers pay for gas. The weighted average tariff change (X factors) presented above provide the indicative changes (in real terms) in distribution charges.</w:t>
      </w:r>
    </w:p>
    <w:p w:rsidR="00166D56" w:rsidRPr="00BB2DCC" w:rsidRDefault="00166D56" w:rsidP="00BB2DCC">
      <w:pPr>
        <w:rPr>
          <w:rStyle w:val="AERbody"/>
        </w:rPr>
      </w:pPr>
      <w:r w:rsidRPr="00BB2DCC">
        <w:rPr>
          <w:rStyle w:val="AERbody"/>
        </w:rPr>
        <w:t xml:space="preserve">For customers on AGN's network, distribution charges account for approximately 57 per cent of </w:t>
      </w:r>
      <w:r w:rsidR="00A311A2">
        <w:rPr>
          <w:rStyle w:val="AERbody"/>
        </w:rPr>
        <w:t>an</w:t>
      </w:r>
      <w:r w:rsidR="00A311A2" w:rsidRPr="00BB2DCC">
        <w:rPr>
          <w:rStyle w:val="AERbody"/>
        </w:rPr>
        <w:t xml:space="preserve"> </w:t>
      </w:r>
      <w:r w:rsidRPr="00BB2DCC">
        <w:rPr>
          <w:rStyle w:val="AERbody"/>
        </w:rPr>
        <w:t>annual gas bill for a residential customer and 55 per cent of the annual gas bill for a small business customer in South Australia.</w:t>
      </w:r>
      <w:r w:rsidRPr="00BE4BB0">
        <w:rPr>
          <w:rStyle w:val="FootnoteReference"/>
        </w:rPr>
        <w:footnoteReference w:id="25"/>
      </w:r>
      <w:r w:rsidRPr="00BB2DCC">
        <w:rPr>
          <w:rStyle w:val="AERbody"/>
        </w:rPr>
        <w:t xml:space="preserve"> We also note that there are other factors, such as transmission pipeline costs, wholesale and retail costs, which affect gas bills. </w:t>
      </w:r>
    </w:p>
    <w:p w:rsidR="00166D56" w:rsidRPr="00BB2DCC" w:rsidRDefault="00166D56" w:rsidP="00BB2DCC">
      <w:pPr>
        <w:rPr>
          <w:rStyle w:val="AERbody"/>
        </w:rPr>
      </w:pPr>
      <w:r w:rsidRPr="00BB2DCC">
        <w:rPr>
          <w:rStyle w:val="AERbody"/>
        </w:rPr>
        <w:t xml:space="preserve">Our </w:t>
      </w:r>
      <w:r w:rsidR="00816AE5" w:rsidRPr="00BB2DCC">
        <w:rPr>
          <w:rStyle w:val="AERbody"/>
        </w:rPr>
        <w:t>final</w:t>
      </w:r>
      <w:r w:rsidRPr="00BB2DCC">
        <w:rPr>
          <w:rStyle w:val="AERbody"/>
        </w:rPr>
        <w:t xml:space="preserve"> decision would result in lower distribution charges on average over the 2016–21 access arrangement period compared to AGN's</w:t>
      </w:r>
      <w:r w:rsidR="00046FB1" w:rsidRPr="00BB2DCC">
        <w:rPr>
          <w:rStyle w:val="AERbody"/>
        </w:rPr>
        <w:t xml:space="preserve"> revised</w:t>
      </w:r>
      <w:r w:rsidRPr="00BB2DCC">
        <w:rPr>
          <w:rStyle w:val="AERbody"/>
        </w:rPr>
        <w:t xml:space="preserve"> proposal as discussed above. However, it is difficult to predict how these other factors may change over the 2016–21 access arrangement period. </w:t>
      </w:r>
    </w:p>
    <w:p w:rsidR="00166D56" w:rsidRPr="00A2121F" w:rsidRDefault="00166D56" w:rsidP="00BB2DCC">
      <w:pPr>
        <w:rPr>
          <w:rStyle w:val="AERtexthighlight"/>
        </w:rPr>
      </w:pPr>
      <w:r w:rsidRPr="00BB2DCC">
        <w:rPr>
          <w:rStyle w:val="AERbody"/>
        </w:rPr>
        <w:t xml:space="preserve">For illustrative purposes on the bill impact from our </w:t>
      </w:r>
      <w:r w:rsidR="00816AE5" w:rsidRPr="00BB2DCC">
        <w:rPr>
          <w:rStyle w:val="AERbody"/>
        </w:rPr>
        <w:t>final</w:t>
      </w:r>
      <w:r w:rsidRPr="00BB2DCC">
        <w:rPr>
          <w:rStyle w:val="AERbody"/>
        </w:rPr>
        <w:t xml:space="preserve"> decision, we have taken the typical annual gas usage of around 21 GJ per annum for a residential customer in South Australia</w:t>
      </w:r>
      <w:r w:rsidRPr="00BE4BB0">
        <w:rPr>
          <w:rStyle w:val="FootnoteReference"/>
        </w:rPr>
        <w:footnoteReference w:id="26"/>
      </w:r>
      <w:r w:rsidRPr="00BB2DCC">
        <w:rPr>
          <w:rStyle w:val="AERbody"/>
        </w:rPr>
        <w:t>, and an average small business customer using approximately 190 GJ of gas per annum.</w:t>
      </w:r>
      <w:r w:rsidRPr="00BE4BB0">
        <w:rPr>
          <w:rStyle w:val="FootnoteReference"/>
        </w:rPr>
        <w:footnoteReference w:id="27"/>
      </w:r>
    </w:p>
    <w:p w:rsidR="00166D56" w:rsidRPr="00BB2DCC" w:rsidRDefault="00166D56" w:rsidP="00166D56">
      <w:pPr>
        <w:numPr>
          <w:ilvl w:val="0"/>
          <w:numId w:val="24"/>
        </w:numPr>
        <w:rPr>
          <w:rStyle w:val="AERbody"/>
        </w:rPr>
      </w:pPr>
      <w:r w:rsidRPr="00BB2DCC">
        <w:rPr>
          <w:rStyle w:val="AERbody"/>
        </w:rPr>
        <w:t>If we also assume</w:t>
      </w:r>
      <w:r w:rsidR="004106A5">
        <w:rPr>
          <w:rStyle w:val="AERbody"/>
        </w:rPr>
        <w:t>,</w:t>
      </w:r>
      <w:r w:rsidRPr="00BB2DCC">
        <w:rPr>
          <w:rStyle w:val="AERbody"/>
        </w:rPr>
        <w:t xml:space="preserve"> for the sake of illustration</w:t>
      </w:r>
      <w:r w:rsidR="004106A5">
        <w:rPr>
          <w:rStyle w:val="AERbody"/>
        </w:rPr>
        <w:t>,</w:t>
      </w:r>
      <w:r w:rsidRPr="00BB2DCC">
        <w:rPr>
          <w:rStyle w:val="AERbody"/>
        </w:rPr>
        <w:t xml:space="preserve"> that all other components of the bill stay the same, and the lower distribution charges from our </w:t>
      </w:r>
      <w:r w:rsidR="00816AE5" w:rsidRPr="00BB2DCC">
        <w:rPr>
          <w:rStyle w:val="AERbody"/>
        </w:rPr>
        <w:t>final</w:t>
      </w:r>
      <w:r w:rsidRPr="00BB2DCC">
        <w:rPr>
          <w:rStyle w:val="AERbody"/>
        </w:rPr>
        <w:t xml:space="preserve"> decision are passed through to customers, the average annual gas bill for residential customers would be expected to reduce by $</w:t>
      </w:r>
      <w:r w:rsidR="00734144">
        <w:rPr>
          <w:rStyle w:val="AERbody"/>
        </w:rPr>
        <w:t>144</w:t>
      </w:r>
      <w:r w:rsidR="0000750C" w:rsidRPr="00BB2DCC">
        <w:rPr>
          <w:rStyle w:val="AERbody"/>
        </w:rPr>
        <w:t xml:space="preserve"> </w:t>
      </w:r>
      <w:r w:rsidRPr="00BB2DCC">
        <w:rPr>
          <w:rStyle w:val="AERbody"/>
        </w:rPr>
        <w:t>(or 12</w:t>
      </w:r>
      <w:r w:rsidR="007A08A4">
        <w:rPr>
          <w:rStyle w:val="AERbody"/>
        </w:rPr>
        <w:t>.</w:t>
      </w:r>
      <w:r w:rsidR="00734144">
        <w:rPr>
          <w:rStyle w:val="AERbody"/>
        </w:rPr>
        <w:t>4</w:t>
      </w:r>
      <w:r w:rsidRPr="00BB2DCC">
        <w:rPr>
          <w:rStyle w:val="AERbody"/>
        </w:rPr>
        <w:t xml:space="preserve"> per cent) in 2016–17 followed by average increases of $</w:t>
      </w:r>
      <w:r w:rsidR="007A08A4">
        <w:rPr>
          <w:rStyle w:val="AERbody"/>
        </w:rPr>
        <w:t>3</w:t>
      </w:r>
      <w:r w:rsidR="00734144">
        <w:rPr>
          <w:rStyle w:val="AERbody"/>
        </w:rPr>
        <w:t>6</w:t>
      </w:r>
      <w:r w:rsidRPr="00BB2DCC">
        <w:rPr>
          <w:rStyle w:val="AERbody"/>
        </w:rPr>
        <w:t xml:space="preserve"> (</w:t>
      </w:r>
      <w:r w:rsidR="007A08A4">
        <w:rPr>
          <w:rStyle w:val="AERbody"/>
        </w:rPr>
        <w:t>3.</w:t>
      </w:r>
      <w:r w:rsidR="0000750C">
        <w:rPr>
          <w:rStyle w:val="AERbody"/>
        </w:rPr>
        <w:t>4</w:t>
      </w:r>
      <w:r w:rsidRPr="00BB2DCC">
        <w:rPr>
          <w:rStyle w:val="AERbody"/>
        </w:rPr>
        <w:t xml:space="preserve"> per cent) per year over 2017–21 ($nominal). By comparison, had we accepted AGN's </w:t>
      </w:r>
      <w:r w:rsidR="00046FB1" w:rsidRPr="00BB2DCC">
        <w:rPr>
          <w:rStyle w:val="AERbody"/>
        </w:rPr>
        <w:t xml:space="preserve">revised </w:t>
      </w:r>
      <w:r w:rsidRPr="00BB2DCC">
        <w:rPr>
          <w:rStyle w:val="AERbody"/>
        </w:rPr>
        <w:t>proposal, the average annual gas bill for residential customers would reduce by $</w:t>
      </w:r>
      <w:r w:rsidR="007A08A4">
        <w:rPr>
          <w:rStyle w:val="AERbody"/>
        </w:rPr>
        <w:t>21</w:t>
      </w:r>
      <w:r w:rsidR="007A08A4" w:rsidRPr="00BB2DCC">
        <w:rPr>
          <w:rStyle w:val="AERbody"/>
        </w:rPr>
        <w:t xml:space="preserve"> </w:t>
      </w:r>
      <w:r w:rsidRPr="00BB2DCC">
        <w:rPr>
          <w:rStyle w:val="AERbody"/>
        </w:rPr>
        <w:t xml:space="preserve">(or </w:t>
      </w:r>
      <w:r w:rsidR="007A08A4">
        <w:rPr>
          <w:rStyle w:val="AERbody"/>
        </w:rPr>
        <w:t>1.8</w:t>
      </w:r>
      <w:r w:rsidRPr="00BB2DCC">
        <w:rPr>
          <w:rStyle w:val="AERbody"/>
        </w:rPr>
        <w:t xml:space="preserve"> per cent) in 2016–17 followed by average increases of $</w:t>
      </w:r>
      <w:r w:rsidR="007A08A4">
        <w:rPr>
          <w:rStyle w:val="AERbody"/>
        </w:rPr>
        <w:t>5</w:t>
      </w:r>
      <w:r w:rsidR="00734144">
        <w:rPr>
          <w:rStyle w:val="AERbody"/>
        </w:rPr>
        <w:t>4</w:t>
      </w:r>
      <w:r w:rsidR="007A08A4" w:rsidRPr="00BB2DCC">
        <w:rPr>
          <w:rStyle w:val="AERbody"/>
        </w:rPr>
        <w:t xml:space="preserve"> </w:t>
      </w:r>
      <w:r w:rsidRPr="00BB2DCC">
        <w:rPr>
          <w:rStyle w:val="AERbody"/>
        </w:rPr>
        <w:t xml:space="preserve">(or </w:t>
      </w:r>
      <w:r w:rsidR="007A08A4">
        <w:rPr>
          <w:rStyle w:val="AERbody"/>
        </w:rPr>
        <w:t>4.</w:t>
      </w:r>
      <w:r w:rsidR="00734144">
        <w:rPr>
          <w:rStyle w:val="AERbody"/>
        </w:rPr>
        <w:t>4</w:t>
      </w:r>
      <w:r w:rsidRPr="00BB2DCC">
        <w:rPr>
          <w:rStyle w:val="AERbody"/>
        </w:rPr>
        <w:t xml:space="preserve"> per cent) per year over 2017–21. </w:t>
      </w:r>
    </w:p>
    <w:p w:rsidR="006E1111" w:rsidRPr="00BB2DCC" w:rsidRDefault="00166D56" w:rsidP="006E1111">
      <w:pPr>
        <w:numPr>
          <w:ilvl w:val="0"/>
          <w:numId w:val="24"/>
        </w:numPr>
        <w:rPr>
          <w:rStyle w:val="AERbody"/>
        </w:rPr>
      </w:pPr>
      <w:r w:rsidRPr="00BB2DCC">
        <w:rPr>
          <w:rStyle w:val="AERbody"/>
        </w:rPr>
        <w:t xml:space="preserve">Similarly, for an average small business customer in South Australia, our </w:t>
      </w:r>
      <w:r w:rsidR="00816AE5" w:rsidRPr="00BB2DCC">
        <w:rPr>
          <w:rStyle w:val="AERbody"/>
        </w:rPr>
        <w:t>final</w:t>
      </w:r>
      <w:r w:rsidRPr="00BB2DCC">
        <w:rPr>
          <w:rStyle w:val="AERbody"/>
        </w:rPr>
        <w:t xml:space="preserve"> decision for AGN is expected to lead to lower average annual gas bills. We estimate that if the distribution charges from our </w:t>
      </w:r>
      <w:r w:rsidR="00816AE5" w:rsidRPr="00BB2DCC">
        <w:rPr>
          <w:rStyle w:val="AERbody"/>
        </w:rPr>
        <w:t>final</w:t>
      </w:r>
      <w:r w:rsidRPr="00BB2DCC">
        <w:rPr>
          <w:rStyle w:val="AERbody"/>
        </w:rPr>
        <w:t xml:space="preserve"> decision are passed through to customers, the average annual gas bill for small business customers would be expected to reduce by $</w:t>
      </w:r>
      <w:r w:rsidR="007A08A4" w:rsidRPr="00BB2DCC">
        <w:rPr>
          <w:rStyle w:val="AERbody"/>
        </w:rPr>
        <w:t>7</w:t>
      </w:r>
      <w:r w:rsidR="00734144">
        <w:rPr>
          <w:rStyle w:val="AERbody"/>
        </w:rPr>
        <w:t>50</w:t>
      </w:r>
      <w:r w:rsidR="007A08A4" w:rsidRPr="00BB2DCC">
        <w:rPr>
          <w:rStyle w:val="AERbody"/>
        </w:rPr>
        <w:t xml:space="preserve"> </w:t>
      </w:r>
      <w:r w:rsidRPr="00BB2DCC">
        <w:rPr>
          <w:rStyle w:val="AERbody"/>
        </w:rPr>
        <w:t xml:space="preserve">(or </w:t>
      </w:r>
      <w:r w:rsidR="003867C4">
        <w:rPr>
          <w:rStyle w:val="AERbody"/>
        </w:rPr>
        <w:t>12.0</w:t>
      </w:r>
      <w:r w:rsidRPr="00BB2DCC">
        <w:rPr>
          <w:rStyle w:val="AERbody"/>
        </w:rPr>
        <w:t xml:space="preserve"> per cent) in 2016–17 followed by average increases of $</w:t>
      </w:r>
      <w:r w:rsidR="00734144">
        <w:rPr>
          <w:rStyle w:val="AERbody"/>
        </w:rPr>
        <w:t>188</w:t>
      </w:r>
      <w:r w:rsidR="007A08A4" w:rsidRPr="00BB2DCC">
        <w:rPr>
          <w:rStyle w:val="AERbody"/>
        </w:rPr>
        <w:t xml:space="preserve"> </w:t>
      </w:r>
      <w:r w:rsidRPr="00BB2DCC">
        <w:rPr>
          <w:rStyle w:val="AERbody"/>
        </w:rPr>
        <w:t xml:space="preserve">(or </w:t>
      </w:r>
      <w:r w:rsidR="007A08A4">
        <w:rPr>
          <w:rStyle w:val="AERbody"/>
        </w:rPr>
        <w:t>3.</w:t>
      </w:r>
      <w:r w:rsidR="00734144">
        <w:rPr>
          <w:rStyle w:val="AERbody"/>
        </w:rPr>
        <w:t>2</w:t>
      </w:r>
      <w:r w:rsidRPr="00BB2DCC">
        <w:rPr>
          <w:rStyle w:val="AERbody"/>
        </w:rPr>
        <w:t xml:space="preserve"> per cent) per year over 2017–21 ($nominal). Had we accepted AGN's</w:t>
      </w:r>
      <w:r w:rsidR="00046FB1" w:rsidRPr="00BB2DCC">
        <w:rPr>
          <w:rStyle w:val="AERbody"/>
        </w:rPr>
        <w:t xml:space="preserve"> revised</w:t>
      </w:r>
      <w:r w:rsidRPr="00BB2DCC">
        <w:rPr>
          <w:rStyle w:val="AERbody"/>
        </w:rPr>
        <w:t xml:space="preserve"> proposal, the average annual gas bill for small business customers would reduce by $</w:t>
      </w:r>
      <w:r w:rsidR="007A08A4">
        <w:rPr>
          <w:rStyle w:val="AERbody"/>
        </w:rPr>
        <w:t>1</w:t>
      </w:r>
      <w:r w:rsidR="00734144">
        <w:rPr>
          <w:rStyle w:val="AERbody"/>
        </w:rPr>
        <w:t>12</w:t>
      </w:r>
      <w:r w:rsidR="007A08A4" w:rsidRPr="00BB2DCC">
        <w:rPr>
          <w:rStyle w:val="AERbody"/>
        </w:rPr>
        <w:t xml:space="preserve"> </w:t>
      </w:r>
      <w:r w:rsidRPr="00BB2DCC">
        <w:rPr>
          <w:rStyle w:val="AERbody"/>
        </w:rPr>
        <w:t xml:space="preserve">(or </w:t>
      </w:r>
      <w:r w:rsidR="007A08A4">
        <w:rPr>
          <w:rStyle w:val="AERbody"/>
        </w:rPr>
        <w:t>1.</w:t>
      </w:r>
      <w:r w:rsidR="00734144">
        <w:rPr>
          <w:rStyle w:val="AERbody"/>
        </w:rPr>
        <w:t>8</w:t>
      </w:r>
      <w:r w:rsidRPr="00A2121F">
        <w:rPr>
          <w:rStyle w:val="AERtexthighlight"/>
        </w:rPr>
        <w:t xml:space="preserve"> </w:t>
      </w:r>
      <w:r w:rsidRPr="00BB2DCC">
        <w:rPr>
          <w:rStyle w:val="AERbody"/>
        </w:rPr>
        <w:t>per cent) in 2016–17 followed by average increases of $</w:t>
      </w:r>
      <w:r w:rsidR="007A08A4" w:rsidRPr="00BB2DCC">
        <w:rPr>
          <w:rStyle w:val="AERbody"/>
        </w:rPr>
        <w:t>2</w:t>
      </w:r>
      <w:r w:rsidR="007A08A4">
        <w:rPr>
          <w:rStyle w:val="AERbody"/>
        </w:rPr>
        <w:t>8</w:t>
      </w:r>
      <w:r w:rsidR="00734144">
        <w:rPr>
          <w:rStyle w:val="AERbody"/>
        </w:rPr>
        <w:t>3</w:t>
      </w:r>
      <w:r w:rsidR="007A08A4" w:rsidRPr="00BB2DCC">
        <w:rPr>
          <w:rStyle w:val="AERbody"/>
        </w:rPr>
        <w:t xml:space="preserve"> </w:t>
      </w:r>
      <w:r w:rsidRPr="00BB2DCC">
        <w:rPr>
          <w:rStyle w:val="AERbody"/>
        </w:rPr>
        <w:t>(or 4.</w:t>
      </w:r>
      <w:r w:rsidR="00734144">
        <w:rPr>
          <w:rStyle w:val="AERbody"/>
        </w:rPr>
        <w:t>3</w:t>
      </w:r>
      <w:r w:rsidRPr="00BB2DCC">
        <w:rPr>
          <w:rStyle w:val="AERbody"/>
        </w:rPr>
        <w:t xml:space="preserve"> per cent) per year over 2017–21. </w:t>
      </w:r>
      <w:r w:rsidRPr="00BB2DCC">
        <w:rPr>
          <w:rStyle w:val="AERbody"/>
        </w:rPr>
        <w:fldChar w:fldCharType="begin"/>
      </w:r>
      <w:r w:rsidRPr="00BB2DCC">
        <w:rPr>
          <w:rStyle w:val="AERbody"/>
        </w:rPr>
        <w:instrText xml:space="preserve"> REF _Ref433877452 \h  \* MERGEFORMAT </w:instrText>
      </w:r>
      <w:r w:rsidRPr="00BB2DCC">
        <w:rPr>
          <w:rStyle w:val="AERbody"/>
        </w:rPr>
      </w:r>
      <w:r w:rsidRPr="00BB2DCC">
        <w:rPr>
          <w:rStyle w:val="AERbody"/>
        </w:rPr>
        <w:fldChar w:fldCharType="separate"/>
      </w:r>
    </w:p>
    <w:p w:rsidR="00166D56" w:rsidRPr="00BB2DCC" w:rsidRDefault="006E1111" w:rsidP="00166D56">
      <w:pPr>
        <w:rPr>
          <w:rStyle w:val="AERbody"/>
        </w:rPr>
      </w:pPr>
      <w:r w:rsidRPr="006E1111">
        <w:rPr>
          <w:rStyle w:val="AERbody"/>
        </w:rPr>
        <w:t>Table 3</w:t>
      </w:r>
      <w:r w:rsidR="00166D56" w:rsidRPr="00BB2DCC">
        <w:rPr>
          <w:rStyle w:val="AERbody"/>
        </w:rPr>
        <w:fldChar w:fldCharType="end"/>
      </w:r>
      <w:r w:rsidR="00166D56" w:rsidRPr="00BB2DCC">
        <w:rPr>
          <w:rStyle w:val="AERbody"/>
        </w:rPr>
        <w:t xml:space="preserve"> summarises the estimated annual average impacts of our </w:t>
      </w:r>
      <w:r w:rsidR="00816AE5" w:rsidRPr="00BB2DCC">
        <w:rPr>
          <w:rStyle w:val="AERbody"/>
        </w:rPr>
        <w:t>final</w:t>
      </w:r>
      <w:r w:rsidR="00166D56" w:rsidRPr="00BB2DCC">
        <w:rPr>
          <w:rStyle w:val="AERbody"/>
        </w:rPr>
        <w:t xml:space="preserve"> decision and AGN's </w:t>
      </w:r>
      <w:r w:rsidR="00046FB1" w:rsidRPr="00BB2DCC">
        <w:rPr>
          <w:rStyle w:val="AERbody"/>
        </w:rPr>
        <w:t xml:space="preserve">revised </w:t>
      </w:r>
      <w:r w:rsidR="00166D56" w:rsidRPr="00BB2DCC">
        <w:rPr>
          <w:rStyle w:val="AERbody"/>
        </w:rPr>
        <w:t xml:space="preserve">proposal on the average residential customer and small business customers' annual gas bills, based on the assumptions above. </w:t>
      </w:r>
      <w:bookmarkStart w:id="65" w:name="_Ref433877452"/>
    </w:p>
    <w:p w:rsidR="00166D56" w:rsidRPr="00166D56" w:rsidRDefault="00166D56" w:rsidP="00D9287A">
      <w:pPr>
        <w:pStyle w:val="Caption"/>
        <w:rPr>
          <w:rStyle w:val="AERtexthighlight"/>
        </w:rPr>
      </w:pPr>
      <w:r>
        <w:t xml:space="preserve">Table </w:t>
      </w:r>
      <w:fldSimple w:instr=" SEQ Table \* ARABIC ">
        <w:r w:rsidR="006E1111">
          <w:rPr>
            <w:noProof/>
          </w:rPr>
          <w:t>3</w:t>
        </w:r>
      </w:fldSimple>
      <w:bookmarkEnd w:id="65"/>
      <w:r w:rsidRPr="00FA1641">
        <w:tab/>
      </w:r>
      <w:r w:rsidRPr="00B007C7">
        <w:rPr>
          <w:rStyle w:val="AERtexthighlight"/>
          <w:shd w:val="clear" w:color="auto" w:fill="auto"/>
        </w:rPr>
        <w:t>Estimated impact of AGN's</w:t>
      </w:r>
      <w:r w:rsidR="00046FB1" w:rsidRPr="00B007C7">
        <w:rPr>
          <w:rStyle w:val="AERtexthighlight"/>
          <w:shd w:val="clear" w:color="auto" w:fill="auto"/>
        </w:rPr>
        <w:t xml:space="preserve"> revised</w:t>
      </w:r>
      <w:r w:rsidRPr="00B007C7">
        <w:rPr>
          <w:rStyle w:val="AERtexthighlight"/>
          <w:shd w:val="clear" w:color="auto" w:fill="auto"/>
        </w:rPr>
        <w:t xml:space="preserve"> proposal and the AER's </w:t>
      </w:r>
      <w:r w:rsidR="00816AE5" w:rsidRPr="00B007C7">
        <w:rPr>
          <w:rStyle w:val="AERtexthighlight"/>
          <w:shd w:val="clear" w:color="auto" w:fill="auto"/>
        </w:rPr>
        <w:t>final</w:t>
      </w:r>
      <w:r w:rsidRPr="00B007C7">
        <w:rPr>
          <w:rStyle w:val="AERtexthighlight"/>
          <w:shd w:val="clear" w:color="auto" w:fill="auto"/>
        </w:rPr>
        <w:t xml:space="preserve"> decision on annual gas bills for the 2016–21 access arrangement period ($nominal)</w:t>
      </w:r>
    </w:p>
    <w:tbl>
      <w:tblPr>
        <w:tblStyle w:val="AERtable-numbers"/>
        <w:tblW w:w="8737" w:type="dxa"/>
        <w:tblLayout w:type="fixed"/>
        <w:tblLook w:val="04A0" w:firstRow="1" w:lastRow="0" w:firstColumn="1" w:lastColumn="0" w:noHBand="0" w:noVBand="1"/>
      </w:tblPr>
      <w:tblGrid>
        <w:gridCol w:w="2518"/>
        <w:gridCol w:w="851"/>
        <w:gridCol w:w="1316"/>
        <w:gridCol w:w="1013"/>
        <w:gridCol w:w="1013"/>
        <w:gridCol w:w="1013"/>
        <w:gridCol w:w="1013"/>
      </w:tblGrid>
      <w:tr w:rsidR="00166D56" w:rsidRPr="003A6A58" w:rsidTr="00784385">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518" w:type="dxa"/>
            <w:noWrap/>
            <w:hideMark/>
          </w:tcPr>
          <w:p w:rsidR="00166D56" w:rsidRPr="00166D56" w:rsidRDefault="00166D56" w:rsidP="00D9287A">
            <w:pPr>
              <w:keepNext/>
            </w:pPr>
            <w:r w:rsidRPr="003A6A58">
              <w:t> </w:t>
            </w:r>
          </w:p>
        </w:tc>
        <w:tc>
          <w:tcPr>
            <w:tcW w:w="851" w:type="dxa"/>
          </w:tcPr>
          <w:p w:rsidR="00166D56" w:rsidRPr="00166D56" w:rsidRDefault="00166D56" w:rsidP="00D9287A">
            <w:pPr>
              <w:keepNext/>
              <w:cnfStyle w:val="100000000000" w:firstRow="1" w:lastRow="0" w:firstColumn="0" w:lastColumn="0" w:oddVBand="0" w:evenVBand="0" w:oddHBand="0" w:evenHBand="0" w:firstRowFirstColumn="0" w:firstRowLastColumn="0" w:lastRowFirstColumn="0" w:lastRowLastColumn="0"/>
            </w:pPr>
            <w:r w:rsidRPr="003A6A58">
              <w:t>2015–16</w:t>
            </w:r>
          </w:p>
        </w:tc>
        <w:tc>
          <w:tcPr>
            <w:tcW w:w="1316" w:type="dxa"/>
            <w:noWrap/>
            <w:hideMark/>
          </w:tcPr>
          <w:p w:rsidR="00166D56" w:rsidRPr="00166D56" w:rsidRDefault="00166D56" w:rsidP="00D9287A">
            <w:pPr>
              <w:keepNext/>
              <w:cnfStyle w:val="100000000000" w:firstRow="1" w:lastRow="0" w:firstColumn="0" w:lastColumn="0" w:oddVBand="0" w:evenVBand="0" w:oddHBand="0" w:evenHBand="0" w:firstRowFirstColumn="0" w:firstRowLastColumn="0" w:lastRowFirstColumn="0" w:lastRowLastColumn="0"/>
            </w:pPr>
            <w:r w:rsidRPr="003A6A58">
              <w:t>2016–17</w:t>
            </w:r>
          </w:p>
        </w:tc>
        <w:tc>
          <w:tcPr>
            <w:tcW w:w="1013" w:type="dxa"/>
            <w:noWrap/>
            <w:hideMark/>
          </w:tcPr>
          <w:p w:rsidR="00166D56" w:rsidRPr="00166D56" w:rsidRDefault="00166D56" w:rsidP="00D9287A">
            <w:pPr>
              <w:keepNext/>
              <w:cnfStyle w:val="100000000000" w:firstRow="1" w:lastRow="0" w:firstColumn="0" w:lastColumn="0" w:oddVBand="0" w:evenVBand="0" w:oddHBand="0" w:evenHBand="0" w:firstRowFirstColumn="0" w:firstRowLastColumn="0" w:lastRowFirstColumn="0" w:lastRowLastColumn="0"/>
            </w:pPr>
            <w:r w:rsidRPr="003A6A58">
              <w:t>2017–18</w:t>
            </w:r>
          </w:p>
        </w:tc>
        <w:tc>
          <w:tcPr>
            <w:tcW w:w="1013" w:type="dxa"/>
            <w:noWrap/>
            <w:hideMark/>
          </w:tcPr>
          <w:p w:rsidR="00166D56" w:rsidRPr="00166D56" w:rsidRDefault="00166D56" w:rsidP="00D9287A">
            <w:pPr>
              <w:keepNext/>
              <w:cnfStyle w:val="100000000000" w:firstRow="1" w:lastRow="0" w:firstColumn="0" w:lastColumn="0" w:oddVBand="0" w:evenVBand="0" w:oddHBand="0" w:evenHBand="0" w:firstRowFirstColumn="0" w:firstRowLastColumn="0" w:lastRowFirstColumn="0" w:lastRowLastColumn="0"/>
            </w:pPr>
            <w:r w:rsidRPr="003A6A58">
              <w:t>2018–19</w:t>
            </w:r>
          </w:p>
        </w:tc>
        <w:tc>
          <w:tcPr>
            <w:tcW w:w="1013" w:type="dxa"/>
            <w:noWrap/>
            <w:hideMark/>
          </w:tcPr>
          <w:p w:rsidR="00166D56" w:rsidRPr="00166D56" w:rsidRDefault="00166D56" w:rsidP="00D9287A">
            <w:pPr>
              <w:keepNext/>
              <w:cnfStyle w:val="100000000000" w:firstRow="1" w:lastRow="0" w:firstColumn="0" w:lastColumn="0" w:oddVBand="0" w:evenVBand="0" w:oddHBand="0" w:evenHBand="0" w:firstRowFirstColumn="0" w:firstRowLastColumn="0" w:lastRowFirstColumn="0" w:lastRowLastColumn="0"/>
            </w:pPr>
            <w:r w:rsidRPr="003A6A58">
              <w:t>2019–20</w:t>
            </w:r>
          </w:p>
        </w:tc>
        <w:tc>
          <w:tcPr>
            <w:tcW w:w="1013" w:type="dxa"/>
            <w:noWrap/>
            <w:hideMark/>
          </w:tcPr>
          <w:p w:rsidR="00166D56" w:rsidRPr="00166D56" w:rsidRDefault="00166D56" w:rsidP="00D9287A">
            <w:pPr>
              <w:keepNext/>
              <w:cnfStyle w:val="100000000000" w:firstRow="1" w:lastRow="0" w:firstColumn="0" w:lastColumn="0" w:oddVBand="0" w:evenVBand="0" w:oddHBand="0" w:evenHBand="0" w:firstRowFirstColumn="0" w:firstRowLastColumn="0" w:lastRowFirstColumn="0" w:lastRowLastColumn="0"/>
            </w:pPr>
            <w:r w:rsidRPr="003A6A58">
              <w:t>2020–21</w:t>
            </w:r>
          </w:p>
        </w:tc>
      </w:tr>
      <w:tr w:rsidR="00166D56" w:rsidRPr="003A6A58" w:rsidTr="00784385">
        <w:trPr>
          <w:trHeight w:val="254"/>
        </w:trPr>
        <w:tc>
          <w:tcPr>
            <w:cnfStyle w:val="001000000000" w:firstRow="0" w:lastRow="0" w:firstColumn="1" w:lastColumn="0" w:oddVBand="0" w:evenVBand="0" w:oddHBand="0" w:evenHBand="0" w:firstRowFirstColumn="0" w:firstRowLastColumn="0" w:lastRowFirstColumn="0" w:lastRowLastColumn="0"/>
            <w:tcW w:w="2518" w:type="dxa"/>
            <w:noWrap/>
            <w:hideMark/>
          </w:tcPr>
          <w:p w:rsidR="00166D56" w:rsidRPr="00166D56" w:rsidRDefault="00166D56" w:rsidP="00D9287A">
            <w:pPr>
              <w:keepNext/>
              <w:rPr>
                <w:rStyle w:val="Strong"/>
              </w:rPr>
            </w:pPr>
            <w:r w:rsidRPr="003A6A58">
              <w:rPr>
                <w:rStyle w:val="Strong"/>
              </w:rPr>
              <w:t xml:space="preserve">AER </w:t>
            </w:r>
            <w:r w:rsidR="00816AE5">
              <w:rPr>
                <w:rStyle w:val="Strong"/>
              </w:rPr>
              <w:t>final</w:t>
            </w:r>
            <w:r w:rsidRPr="003A6A58">
              <w:rPr>
                <w:rStyle w:val="Strong"/>
              </w:rPr>
              <w:t xml:space="preserve"> decision</w:t>
            </w:r>
          </w:p>
        </w:tc>
        <w:tc>
          <w:tcPr>
            <w:tcW w:w="851" w:type="dxa"/>
          </w:tcPr>
          <w:p w:rsidR="00166D56" w:rsidRPr="003A6A58" w:rsidRDefault="00166D56" w:rsidP="00D9287A">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316" w:type="dxa"/>
            <w:noWrap/>
          </w:tcPr>
          <w:p w:rsidR="00166D56" w:rsidRPr="003A6A58" w:rsidRDefault="00166D56" w:rsidP="00D9287A">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013" w:type="dxa"/>
            <w:noWrap/>
          </w:tcPr>
          <w:p w:rsidR="00166D56" w:rsidRPr="003A6A58" w:rsidRDefault="00166D56" w:rsidP="00D9287A">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013" w:type="dxa"/>
            <w:noWrap/>
          </w:tcPr>
          <w:p w:rsidR="00166D56" w:rsidRPr="003A6A58" w:rsidRDefault="00166D56" w:rsidP="00D9287A">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013" w:type="dxa"/>
            <w:noWrap/>
          </w:tcPr>
          <w:p w:rsidR="00166D56" w:rsidRPr="003A6A58" w:rsidRDefault="00166D56" w:rsidP="00D9287A">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013" w:type="dxa"/>
            <w:noWrap/>
          </w:tcPr>
          <w:p w:rsidR="00166D56" w:rsidRPr="003A6A58" w:rsidRDefault="00166D56" w:rsidP="00D9287A">
            <w:pPr>
              <w:keepNext/>
              <w:cnfStyle w:val="000000000000" w:firstRow="0" w:lastRow="0" w:firstColumn="0" w:lastColumn="0" w:oddVBand="0" w:evenVBand="0" w:oddHBand="0" w:evenHBand="0" w:firstRowFirstColumn="0" w:firstRowLastColumn="0" w:lastRowFirstColumn="0" w:lastRowLastColumn="0"/>
              <w:rPr>
                <w:rStyle w:val="Strong"/>
              </w:rPr>
            </w:pPr>
          </w:p>
        </w:tc>
      </w:tr>
      <w:tr w:rsidR="003867C4" w:rsidRPr="003A6A58" w:rsidTr="00784385">
        <w:trPr>
          <w:cnfStyle w:val="000000010000" w:firstRow="0" w:lastRow="0" w:firstColumn="0" w:lastColumn="0" w:oddVBand="0" w:evenVBand="0" w:oddHBand="0" w:evenHBand="1"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518" w:type="dxa"/>
            <w:noWrap/>
            <w:hideMark/>
          </w:tcPr>
          <w:p w:rsidR="003867C4" w:rsidRPr="003867C4" w:rsidRDefault="003867C4" w:rsidP="003867C4">
            <w:r w:rsidRPr="003867C4">
              <w:t>Residential annual gas bill</w:t>
            </w:r>
            <w:r w:rsidRPr="003867C4">
              <w:rPr>
                <w:rStyle w:val="AERsuperscript"/>
              </w:rPr>
              <w:t>a</w:t>
            </w:r>
          </w:p>
        </w:tc>
        <w:tc>
          <w:tcPr>
            <w:tcW w:w="851" w:type="dxa"/>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rsidRPr="003867C4">
              <w:t>1166</w:t>
            </w:r>
          </w:p>
        </w:tc>
        <w:tc>
          <w:tcPr>
            <w:tcW w:w="1316" w:type="dxa"/>
            <w:noWrap/>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rsidRPr="003867C4">
              <w:t>1022</w:t>
            </w:r>
          </w:p>
        </w:tc>
        <w:tc>
          <w:tcPr>
            <w:tcW w:w="1013" w:type="dxa"/>
            <w:noWrap/>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rsidRPr="003867C4">
              <w:t>1055</w:t>
            </w:r>
          </w:p>
        </w:tc>
        <w:tc>
          <w:tcPr>
            <w:tcW w:w="1013" w:type="dxa"/>
            <w:noWrap/>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rsidRPr="003867C4">
              <w:t>1090</w:t>
            </w:r>
          </w:p>
        </w:tc>
        <w:tc>
          <w:tcPr>
            <w:tcW w:w="1013" w:type="dxa"/>
            <w:noWrap/>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rsidRPr="003867C4">
              <w:t>1127</w:t>
            </w:r>
          </w:p>
        </w:tc>
        <w:tc>
          <w:tcPr>
            <w:tcW w:w="1013" w:type="dxa"/>
            <w:noWrap/>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rsidRPr="003867C4">
              <w:t>1167</w:t>
            </w:r>
          </w:p>
        </w:tc>
      </w:tr>
      <w:tr w:rsidR="003867C4" w:rsidRPr="003A6A58" w:rsidTr="00784385">
        <w:trPr>
          <w:trHeight w:val="254"/>
        </w:trPr>
        <w:tc>
          <w:tcPr>
            <w:cnfStyle w:val="001000000000" w:firstRow="0" w:lastRow="0" w:firstColumn="1" w:lastColumn="0" w:oddVBand="0" w:evenVBand="0" w:oddHBand="0" w:evenHBand="0" w:firstRowFirstColumn="0" w:firstRowLastColumn="0" w:lastRowFirstColumn="0" w:lastRowLastColumn="0"/>
            <w:tcW w:w="2518" w:type="dxa"/>
            <w:noWrap/>
            <w:hideMark/>
          </w:tcPr>
          <w:p w:rsidR="003867C4" w:rsidRPr="003867C4" w:rsidRDefault="003867C4" w:rsidP="003867C4">
            <w:r w:rsidRPr="003867C4">
              <w:t>Annual change</w:t>
            </w:r>
          </w:p>
        </w:tc>
        <w:tc>
          <w:tcPr>
            <w:tcW w:w="851" w:type="dxa"/>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 </w:t>
            </w:r>
          </w:p>
        </w:tc>
        <w:tc>
          <w:tcPr>
            <w:tcW w:w="1316" w:type="dxa"/>
            <w:noWrap/>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t>–144 (–</w:t>
            </w:r>
            <w:r w:rsidRPr="003867C4">
              <w:t>12.4%)</w:t>
            </w:r>
          </w:p>
        </w:tc>
        <w:tc>
          <w:tcPr>
            <w:tcW w:w="1013" w:type="dxa"/>
            <w:noWrap/>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33 (3.2%)</w:t>
            </w:r>
          </w:p>
        </w:tc>
        <w:tc>
          <w:tcPr>
            <w:tcW w:w="1013" w:type="dxa"/>
            <w:noWrap/>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35 (3.3%)</w:t>
            </w:r>
          </w:p>
        </w:tc>
        <w:tc>
          <w:tcPr>
            <w:tcW w:w="1013" w:type="dxa"/>
            <w:noWrap/>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37 (3.4%)</w:t>
            </w:r>
          </w:p>
        </w:tc>
        <w:tc>
          <w:tcPr>
            <w:tcW w:w="1013" w:type="dxa"/>
            <w:noWrap/>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40 (3.5%)</w:t>
            </w:r>
          </w:p>
        </w:tc>
      </w:tr>
      <w:tr w:rsidR="003867C4" w:rsidRPr="003A6A58" w:rsidTr="00784385">
        <w:trPr>
          <w:cnfStyle w:val="000000010000" w:firstRow="0" w:lastRow="0" w:firstColumn="0" w:lastColumn="0" w:oddVBand="0" w:evenVBand="0" w:oddHBand="0" w:evenHBand="1"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518" w:type="dxa"/>
            <w:noWrap/>
            <w:hideMark/>
          </w:tcPr>
          <w:p w:rsidR="003867C4" w:rsidRPr="003867C4" w:rsidRDefault="003867C4" w:rsidP="003867C4">
            <w:r w:rsidRPr="003867C4">
              <w:t>Small business annual gas bill</w:t>
            </w:r>
            <w:r w:rsidRPr="003867C4">
              <w:rPr>
                <w:rStyle w:val="AERsuperscript"/>
              </w:rPr>
              <w:t>b</w:t>
            </w:r>
          </w:p>
        </w:tc>
        <w:tc>
          <w:tcPr>
            <w:tcW w:w="851" w:type="dxa"/>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rsidRPr="003867C4">
              <w:t>6275</w:t>
            </w:r>
          </w:p>
        </w:tc>
        <w:tc>
          <w:tcPr>
            <w:tcW w:w="1316" w:type="dxa"/>
            <w:noWrap/>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rsidRPr="003867C4">
              <w:t>5525</w:t>
            </w:r>
          </w:p>
        </w:tc>
        <w:tc>
          <w:tcPr>
            <w:tcW w:w="1013" w:type="dxa"/>
            <w:noWrap/>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rsidRPr="003867C4">
              <w:t>5696</w:t>
            </w:r>
          </w:p>
        </w:tc>
        <w:tc>
          <w:tcPr>
            <w:tcW w:w="1013" w:type="dxa"/>
            <w:noWrap/>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rsidRPr="003867C4">
              <w:t>5879</w:t>
            </w:r>
          </w:p>
        </w:tc>
        <w:tc>
          <w:tcPr>
            <w:tcW w:w="1013" w:type="dxa"/>
            <w:noWrap/>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rsidRPr="003867C4">
              <w:t>6072</w:t>
            </w:r>
          </w:p>
        </w:tc>
        <w:tc>
          <w:tcPr>
            <w:tcW w:w="1013" w:type="dxa"/>
            <w:noWrap/>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rsidRPr="003867C4">
              <w:t>6278</w:t>
            </w:r>
          </w:p>
        </w:tc>
      </w:tr>
      <w:tr w:rsidR="003867C4" w:rsidRPr="003A6A58" w:rsidTr="00784385">
        <w:trPr>
          <w:trHeight w:val="269"/>
        </w:trPr>
        <w:tc>
          <w:tcPr>
            <w:cnfStyle w:val="001000000000" w:firstRow="0" w:lastRow="0" w:firstColumn="1" w:lastColumn="0" w:oddVBand="0" w:evenVBand="0" w:oddHBand="0" w:evenHBand="0" w:firstRowFirstColumn="0" w:firstRowLastColumn="0" w:lastRowFirstColumn="0" w:lastRowLastColumn="0"/>
            <w:tcW w:w="2518" w:type="dxa"/>
            <w:noWrap/>
            <w:hideMark/>
          </w:tcPr>
          <w:p w:rsidR="003867C4" w:rsidRPr="003867C4" w:rsidRDefault="003867C4" w:rsidP="003867C4">
            <w:r w:rsidRPr="003867C4">
              <w:t>Annual change</w:t>
            </w:r>
          </w:p>
        </w:tc>
        <w:tc>
          <w:tcPr>
            <w:tcW w:w="851" w:type="dxa"/>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 </w:t>
            </w:r>
          </w:p>
        </w:tc>
        <w:tc>
          <w:tcPr>
            <w:tcW w:w="1316" w:type="dxa"/>
            <w:noWrap/>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t>–750 (–</w:t>
            </w:r>
            <w:r w:rsidRPr="003867C4">
              <w:t>12</w:t>
            </w:r>
            <w:r w:rsidR="00763602">
              <w:t>.0</w:t>
            </w:r>
            <w:r w:rsidRPr="003867C4">
              <w:t>%)</w:t>
            </w:r>
          </w:p>
        </w:tc>
        <w:tc>
          <w:tcPr>
            <w:tcW w:w="1013" w:type="dxa"/>
            <w:noWrap/>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171 (3.1%)</w:t>
            </w:r>
          </w:p>
        </w:tc>
        <w:tc>
          <w:tcPr>
            <w:tcW w:w="1013" w:type="dxa"/>
            <w:noWrap/>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182 (3.2%)</w:t>
            </w:r>
          </w:p>
        </w:tc>
        <w:tc>
          <w:tcPr>
            <w:tcW w:w="1013" w:type="dxa"/>
            <w:noWrap/>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194 (3.3%)</w:t>
            </w:r>
          </w:p>
        </w:tc>
        <w:tc>
          <w:tcPr>
            <w:tcW w:w="1013" w:type="dxa"/>
            <w:noWrap/>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206 (3.4%)</w:t>
            </w:r>
          </w:p>
        </w:tc>
      </w:tr>
      <w:tr w:rsidR="00166D56" w:rsidRPr="003A6A58" w:rsidTr="00784385">
        <w:trPr>
          <w:cnfStyle w:val="000000010000" w:firstRow="0" w:lastRow="0" w:firstColumn="0" w:lastColumn="0" w:oddVBand="0" w:evenVBand="0" w:oddHBand="0" w:evenHBand="1"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518" w:type="dxa"/>
            <w:noWrap/>
            <w:hideMark/>
          </w:tcPr>
          <w:p w:rsidR="00166D56" w:rsidRPr="00166D56" w:rsidRDefault="00166D56" w:rsidP="00D9287A">
            <w:pPr>
              <w:keepNext/>
              <w:rPr>
                <w:rStyle w:val="Strong"/>
              </w:rPr>
            </w:pPr>
            <w:r w:rsidRPr="003A6A58">
              <w:rPr>
                <w:rStyle w:val="Strong"/>
              </w:rPr>
              <w:t xml:space="preserve">AGN </w:t>
            </w:r>
            <w:r w:rsidR="00046FB1">
              <w:rPr>
                <w:rStyle w:val="Strong"/>
              </w:rPr>
              <w:t xml:space="preserve">revised </w:t>
            </w:r>
            <w:r w:rsidRPr="003A6A58">
              <w:rPr>
                <w:rStyle w:val="Strong"/>
              </w:rPr>
              <w:t>proposal</w:t>
            </w:r>
          </w:p>
        </w:tc>
        <w:tc>
          <w:tcPr>
            <w:tcW w:w="851" w:type="dxa"/>
          </w:tcPr>
          <w:p w:rsidR="00166D56" w:rsidRPr="00816AE5" w:rsidRDefault="00166D56" w:rsidP="00D9287A">
            <w:pPr>
              <w:keepNext/>
              <w:cnfStyle w:val="000000010000" w:firstRow="0" w:lastRow="0" w:firstColumn="0" w:lastColumn="0" w:oddVBand="0" w:evenVBand="0" w:oddHBand="0" w:evenHBand="1" w:firstRowFirstColumn="0" w:firstRowLastColumn="0" w:lastRowFirstColumn="0" w:lastRowLastColumn="0"/>
              <w:rPr>
                <w:rStyle w:val="AERtexthighlight"/>
              </w:rPr>
            </w:pPr>
          </w:p>
        </w:tc>
        <w:tc>
          <w:tcPr>
            <w:tcW w:w="1316" w:type="dxa"/>
            <w:noWrap/>
            <w:hideMark/>
          </w:tcPr>
          <w:p w:rsidR="00166D56" w:rsidRPr="00816AE5" w:rsidRDefault="00166D56" w:rsidP="00D9287A">
            <w:pPr>
              <w:keepNext/>
              <w:cnfStyle w:val="000000010000" w:firstRow="0" w:lastRow="0" w:firstColumn="0" w:lastColumn="0" w:oddVBand="0" w:evenVBand="0" w:oddHBand="0" w:evenHBand="1" w:firstRowFirstColumn="0" w:firstRowLastColumn="0" w:lastRowFirstColumn="0" w:lastRowLastColumn="0"/>
              <w:rPr>
                <w:rStyle w:val="AERtexthighlight"/>
              </w:rPr>
            </w:pPr>
          </w:p>
        </w:tc>
        <w:tc>
          <w:tcPr>
            <w:tcW w:w="1013" w:type="dxa"/>
            <w:noWrap/>
            <w:hideMark/>
          </w:tcPr>
          <w:p w:rsidR="00166D56" w:rsidRPr="00816AE5" w:rsidRDefault="00166D56" w:rsidP="00D9287A">
            <w:pPr>
              <w:keepNext/>
              <w:cnfStyle w:val="000000010000" w:firstRow="0" w:lastRow="0" w:firstColumn="0" w:lastColumn="0" w:oddVBand="0" w:evenVBand="0" w:oddHBand="0" w:evenHBand="1" w:firstRowFirstColumn="0" w:firstRowLastColumn="0" w:lastRowFirstColumn="0" w:lastRowLastColumn="0"/>
              <w:rPr>
                <w:rStyle w:val="AERtexthighlight"/>
              </w:rPr>
            </w:pPr>
          </w:p>
        </w:tc>
        <w:tc>
          <w:tcPr>
            <w:tcW w:w="1013" w:type="dxa"/>
            <w:noWrap/>
            <w:hideMark/>
          </w:tcPr>
          <w:p w:rsidR="00166D56" w:rsidRPr="00816AE5" w:rsidRDefault="00166D56" w:rsidP="00D9287A">
            <w:pPr>
              <w:keepNext/>
              <w:cnfStyle w:val="000000010000" w:firstRow="0" w:lastRow="0" w:firstColumn="0" w:lastColumn="0" w:oddVBand="0" w:evenVBand="0" w:oddHBand="0" w:evenHBand="1" w:firstRowFirstColumn="0" w:firstRowLastColumn="0" w:lastRowFirstColumn="0" w:lastRowLastColumn="0"/>
              <w:rPr>
                <w:rStyle w:val="AERtexthighlight"/>
              </w:rPr>
            </w:pPr>
          </w:p>
        </w:tc>
        <w:tc>
          <w:tcPr>
            <w:tcW w:w="1013" w:type="dxa"/>
            <w:noWrap/>
            <w:hideMark/>
          </w:tcPr>
          <w:p w:rsidR="00166D56" w:rsidRPr="00816AE5" w:rsidRDefault="00166D56" w:rsidP="00D9287A">
            <w:pPr>
              <w:keepNext/>
              <w:cnfStyle w:val="000000010000" w:firstRow="0" w:lastRow="0" w:firstColumn="0" w:lastColumn="0" w:oddVBand="0" w:evenVBand="0" w:oddHBand="0" w:evenHBand="1" w:firstRowFirstColumn="0" w:firstRowLastColumn="0" w:lastRowFirstColumn="0" w:lastRowLastColumn="0"/>
              <w:rPr>
                <w:rStyle w:val="AERtexthighlight"/>
              </w:rPr>
            </w:pPr>
          </w:p>
        </w:tc>
        <w:tc>
          <w:tcPr>
            <w:tcW w:w="1013" w:type="dxa"/>
            <w:noWrap/>
            <w:hideMark/>
          </w:tcPr>
          <w:p w:rsidR="00166D56" w:rsidRPr="00816AE5" w:rsidRDefault="00166D56" w:rsidP="00D9287A">
            <w:pPr>
              <w:keepNext/>
              <w:cnfStyle w:val="000000010000" w:firstRow="0" w:lastRow="0" w:firstColumn="0" w:lastColumn="0" w:oddVBand="0" w:evenVBand="0" w:oddHBand="0" w:evenHBand="1" w:firstRowFirstColumn="0" w:firstRowLastColumn="0" w:lastRowFirstColumn="0" w:lastRowLastColumn="0"/>
              <w:rPr>
                <w:rStyle w:val="AERtexthighlight"/>
              </w:rPr>
            </w:pPr>
          </w:p>
        </w:tc>
      </w:tr>
      <w:tr w:rsidR="003867C4" w:rsidRPr="003A6A58" w:rsidTr="00784385">
        <w:trPr>
          <w:trHeight w:val="254"/>
        </w:trPr>
        <w:tc>
          <w:tcPr>
            <w:cnfStyle w:val="001000000000" w:firstRow="0" w:lastRow="0" w:firstColumn="1" w:lastColumn="0" w:oddVBand="0" w:evenVBand="0" w:oddHBand="0" w:evenHBand="0" w:firstRowFirstColumn="0" w:firstRowLastColumn="0" w:lastRowFirstColumn="0" w:lastRowLastColumn="0"/>
            <w:tcW w:w="2518" w:type="dxa"/>
            <w:noWrap/>
            <w:hideMark/>
          </w:tcPr>
          <w:p w:rsidR="003867C4" w:rsidRPr="003867C4" w:rsidRDefault="003867C4" w:rsidP="003867C4">
            <w:r w:rsidRPr="003867C4">
              <w:t>Residential annual gas bill</w:t>
            </w:r>
            <w:r w:rsidRPr="003867C4">
              <w:rPr>
                <w:rStyle w:val="AERsuperscript"/>
              </w:rPr>
              <w:t>a</w:t>
            </w:r>
          </w:p>
        </w:tc>
        <w:tc>
          <w:tcPr>
            <w:tcW w:w="851" w:type="dxa"/>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1166</w:t>
            </w:r>
          </w:p>
        </w:tc>
        <w:tc>
          <w:tcPr>
            <w:tcW w:w="1316" w:type="dxa"/>
            <w:noWrap/>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1145</w:t>
            </w:r>
          </w:p>
        </w:tc>
        <w:tc>
          <w:tcPr>
            <w:tcW w:w="1013" w:type="dxa"/>
            <w:noWrap/>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1193</w:t>
            </w:r>
          </w:p>
        </w:tc>
        <w:tc>
          <w:tcPr>
            <w:tcW w:w="1013" w:type="dxa"/>
            <w:noWrap/>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1246</w:t>
            </w:r>
          </w:p>
        </w:tc>
        <w:tc>
          <w:tcPr>
            <w:tcW w:w="1013" w:type="dxa"/>
            <w:noWrap/>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1302</w:t>
            </w:r>
          </w:p>
        </w:tc>
        <w:tc>
          <w:tcPr>
            <w:tcW w:w="1013" w:type="dxa"/>
            <w:noWrap/>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1362</w:t>
            </w:r>
          </w:p>
        </w:tc>
      </w:tr>
      <w:tr w:rsidR="003867C4" w:rsidRPr="003A6A58" w:rsidTr="00784385">
        <w:trPr>
          <w:cnfStyle w:val="000000010000" w:firstRow="0" w:lastRow="0" w:firstColumn="0" w:lastColumn="0" w:oddVBand="0" w:evenVBand="0" w:oddHBand="0" w:evenHBand="1"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518" w:type="dxa"/>
            <w:noWrap/>
            <w:hideMark/>
          </w:tcPr>
          <w:p w:rsidR="003867C4" w:rsidRPr="003867C4" w:rsidRDefault="003867C4" w:rsidP="003867C4">
            <w:r w:rsidRPr="003867C4">
              <w:t>Annual change</w:t>
            </w:r>
          </w:p>
        </w:tc>
        <w:tc>
          <w:tcPr>
            <w:tcW w:w="851" w:type="dxa"/>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p>
        </w:tc>
        <w:tc>
          <w:tcPr>
            <w:tcW w:w="1316" w:type="dxa"/>
            <w:noWrap/>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t>–21 (–</w:t>
            </w:r>
            <w:r w:rsidRPr="003867C4">
              <w:t>1.8%)</w:t>
            </w:r>
          </w:p>
        </w:tc>
        <w:tc>
          <w:tcPr>
            <w:tcW w:w="1013" w:type="dxa"/>
            <w:noWrap/>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rsidRPr="003867C4">
              <w:t>49 (4.3%)</w:t>
            </w:r>
          </w:p>
        </w:tc>
        <w:tc>
          <w:tcPr>
            <w:tcW w:w="1013" w:type="dxa"/>
            <w:noWrap/>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rsidRPr="003867C4">
              <w:t>52 (4.4%)</w:t>
            </w:r>
          </w:p>
        </w:tc>
        <w:tc>
          <w:tcPr>
            <w:tcW w:w="1013" w:type="dxa"/>
            <w:noWrap/>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rsidRPr="003867C4">
              <w:t>56 (4.5%)</w:t>
            </w:r>
          </w:p>
        </w:tc>
        <w:tc>
          <w:tcPr>
            <w:tcW w:w="1013" w:type="dxa"/>
            <w:noWrap/>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rsidRPr="003867C4">
              <w:t>60 (4.6%)</w:t>
            </w:r>
          </w:p>
        </w:tc>
      </w:tr>
      <w:tr w:rsidR="003867C4" w:rsidRPr="003A6A58" w:rsidTr="00784385">
        <w:trPr>
          <w:trHeight w:val="254"/>
        </w:trPr>
        <w:tc>
          <w:tcPr>
            <w:cnfStyle w:val="001000000000" w:firstRow="0" w:lastRow="0" w:firstColumn="1" w:lastColumn="0" w:oddVBand="0" w:evenVBand="0" w:oddHBand="0" w:evenHBand="0" w:firstRowFirstColumn="0" w:firstRowLastColumn="0" w:lastRowFirstColumn="0" w:lastRowLastColumn="0"/>
            <w:tcW w:w="2518" w:type="dxa"/>
            <w:noWrap/>
            <w:hideMark/>
          </w:tcPr>
          <w:p w:rsidR="003867C4" w:rsidRPr="003867C4" w:rsidRDefault="003867C4" w:rsidP="003867C4">
            <w:r w:rsidRPr="003867C4">
              <w:t>Small business annual gas bill</w:t>
            </w:r>
            <w:r w:rsidRPr="003867C4">
              <w:rPr>
                <w:rStyle w:val="AERsuperscript"/>
              </w:rPr>
              <w:t>b</w:t>
            </w:r>
          </w:p>
        </w:tc>
        <w:tc>
          <w:tcPr>
            <w:tcW w:w="851" w:type="dxa"/>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6275</w:t>
            </w:r>
          </w:p>
        </w:tc>
        <w:tc>
          <w:tcPr>
            <w:tcW w:w="1316" w:type="dxa"/>
            <w:noWrap/>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6163</w:t>
            </w:r>
          </w:p>
        </w:tc>
        <w:tc>
          <w:tcPr>
            <w:tcW w:w="1013" w:type="dxa"/>
            <w:noWrap/>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6416</w:t>
            </w:r>
          </w:p>
        </w:tc>
        <w:tc>
          <w:tcPr>
            <w:tcW w:w="1013" w:type="dxa"/>
            <w:noWrap/>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6688</w:t>
            </w:r>
          </w:p>
        </w:tc>
        <w:tc>
          <w:tcPr>
            <w:tcW w:w="1013" w:type="dxa"/>
            <w:noWrap/>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6980</w:t>
            </w:r>
          </w:p>
        </w:tc>
        <w:tc>
          <w:tcPr>
            <w:tcW w:w="1013" w:type="dxa"/>
            <w:noWrap/>
          </w:tcPr>
          <w:p w:rsidR="003867C4" w:rsidRPr="003867C4" w:rsidRDefault="003867C4" w:rsidP="003867C4">
            <w:pPr>
              <w:cnfStyle w:val="000000000000" w:firstRow="0" w:lastRow="0" w:firstColumn="0" w:lastColumn="0" w:oddVBand="0" w:evenVBand="0" w:oddHBand="0" w:evenHBand="0" w:firstRowFirstColumn="0" w:firstRowLastColumn="0" w:lastRowFirstColumn="0" w:lastRowLastColumn="0"/>
              <w:rPr>
                <w:rStyle w:val="AERtexthighlight"/>
              </w:rPr>
            </w:pPr>
            <w:r w:rsidRPr="003867C4">
              <w:t>7294</w:t>
            </w:r>
          </w:p>
        </w:tc>
      </w:tr>
      <w:tr w:rsidR="003867C4" w:rsidRPr="003A6A58" w:rsidTr="00784385">
        <w:trPr>
          <w:cnfStyle w:val="000000010000" w:firstRow="0" w:lastRow="0" w:firstColumn="0" w:lastColumn="0" w:oddVBand="0" w:evenVBand="0" w:oddHBand="0" w:evenHBand="1"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518" w:type="dxa"/>
            <w:noWrap/>
            <w:hideMark/>
          </w:tcPr>
          <w:p w:rsidR="003867C4" w:rsidRPr="003867C4" w:rsidRDefault="003867C4" w:rsidP="003867C4">
            <w:r w:rsidRPr="003867C4">
              <w:t>Annual change</w:t>
            </w:r>
          </w:p>
        </w:tc>
        <w:tc>
          <w:tcPr>
            <w:tcW w:w="851" w:type="dxa"/>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p>
        </w:tc>
        <w:tc>
          <w:tcPr>
            <w:tcW w:w="1316" w:type="dxa"/>
            <w:noWrap/>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t>–112 (–</w:t>
            </w:r>
            <w:r w:rsidRPr="003867C4">
              <w:t>1.8%)</w:t>
            </w:r>
          </w:p>
        </w:tc>
        <w:tc>
          <w:tcPr>
            <w:tcW w:w="1013" w:type="dxa"/>
            <w:noWrap/>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rsidRPr="003867C4">
              <w:t>253 (4.1%)</w:t>
            </w:r>
          </w:p>
        </w:tc>
        <w:tc>
          <w:tcPr>
            <w:tcW w:w="1013" w:type="dxa"/>
            <w:noWrap/>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rsidRPr="003867C4">
              <w:t>272 (4.2%)</w:t>
            </w:r>
          </w:p>
        </w:tc>
        <w:tc>
          <w:tcPr>
            <w:tcW w:w="1013" w:type="dxa"/>
            <w:noWrap/>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rsidRPr="003867C4">
              <w:t>292 (4.4%)</w:t>
            </w:r>
          </w:p>
        </w:tc>
        <w:tc>
          <w:tcPr>
            <w:tcW w:w="1013" w:type="dxa"/>
            <w:noWrap/>
          </w:tcPr>
          <w:p w:rsidR="003867C4" w:rsidRPr="003867C4" w:rsidRDefault="003867C4" w:rsidP="003867C4">
            <w:pPr>
              <w:cnfStyle w:val="000000010000" w:firstRow="0" w:lastRow="0" w:firstColumn="0" w:lastColumn="0" w:oddVBand="0" w:evenVBand="0" w:oddHBand="0" w:evenHBand="1" w:firstRowFirstColumn="0" w:firstRowLastColumn="0" w:lastRowFirstColumn="0" w:lastRowLastColumn="0"/>
              <w:rPr>
                <w:rStyle w:val="AERtexthighlight"/>
              </w:rPr>
            </w:pPr>
            <w:r w:rsidRPr="003867C4">
              <w:t>314 (4.5%)</w:t>
            </w:r>
          </w:p>
        </w:tc>
      </w:tr>
    </w:tbl>
    <w:p w:rsidR="00166D56" w:rsidRPr="00166D56" w:rsidRDefault="00166D56" w:rsidP="00D9287A">
      <w:pPr>
        <w:pStyle w:val="AERtablesource"/>
        <w:keepNext/>
      </w:pPr>
      <w:r w:rsidRPr="00BB62E8">
        <w:t>Source:</w:t>
      </w:r>
      <w:r w:rsidRPr="00BB62E8">
        <w:tab/>
        <w:t>AER analysis</w:t>
      </w:r>
      <w:r w:rsidRPr="00166D56">
        <w:t xml:space="preserve">. </w:t>
      </w:r>
    </w:p>
    <w:p w:rsidR="00166D56" w:rsidRPr="00A2121F" w:rsidRDefault="00166D56" w:rsidP="00D9287A">
      <w:pPr>
        <w:pStyle w:val="AERtablesource"/>
        <w:keepNext/>
      </w:pPr>
      <w:r w:rsidRPr="00A2121F">
        <w:t>(a)</w:t>
      </w:r>
      <w:r w:rsidRPr="00A2121F">
        <w:tab/>
        <w:t xml:space="preserve">AER, </w:t>
      </w:r>
      <w:hyperlink r:id="rId16" w:history="1">
        <w:r w:rsidR="00046FB1" w:rsidRPr="001A4EC4">
          <w:rPr>
            <w:rStyle w:val="Hyperlink"/>
            <w:sz w:val="16"/>
          </w:rPr>
          <w:t>Energy made easy</w:t>
        </w:r>
      </w:hyperlink>
      <w:r w:rsidRPr="00A2121F">
        <w:t xml:space="preserve">; 2015–16 annual bill is based on an average annual consumption of 21GJ. ESCOSA, </w:t>
      </w:r>
      <w:r w:rsidRPr="007A08A4">
        <w:rPr>
          <w:rStyle w:val="AERtextitalic"/>
        </w:rPr>
        <w:t>South Australian energy retail offer prices ministerial report 2015</w:t>
      </w:r>
      <w:r w:rsidRPr="00A2121F">
        <w:t>, August 2015, p. 30</w:t>
      </w:r>
      <w:r w:rsidR="00BB7D0C">
        <w:t>; The estimated bill impact reflects the final decision inflation forecast of 2.39 per cent per year.</w:t>
      </w:r>
    </w:p>
    <w:p w:rsidR="00166D56" w:rsidRPr="00166D56" w:rsidRDefault="00166D56" w:rsidP="00534E0B">
      <w:pPr>
        <w:pStyle w:val="AERtablesource"/>
      </w:pPr>
      <w:r w:rsidRPr="00A2121F">
        <w:t>(b)</w:t>
      </w:r>
      <w:r w:rsidRPr="00A2121F">
        <w:tab/>
        <w:t xml:space="preserve">AER, </w:t>
      </w:r>
      <w:hyperlink r:id="rId17" w:history="1">
        <w:r w:rsidR="00046FB1" w:rsidRPr="001A4EC4">
          <w:rPr>
            <w:rStyle w:val="Hyperlink"/>
            <w:sz w:val="16"/>
          </w:rPr>
          <w:t>Energy made easy</w:t>
        </w:r>
      </w:hyperlink>
      <w:r w:rsidRPr="00A2121F">
        <w:t>; 2015–16 annual bill is based on an average annual consumption of 190GJ.</w:t>
      </w:r>
      <w:r w:rsidRPr="00166D56">
        <w:t xml:space="preserve"> ESCOSA, </w:t>
      </w:r>
      <w:r w:rsidRPr="00166D56">
        <w:rPr>
          <w:rStyle w:val="AERtextitalic"/>
        </w:rPr>
        <w:t>South Australian energy retail offer prices ministerial report 2015</w:t>
      </w:r>
      <w:r w:rsidRPr="00166D56">
        <w:t>, August 2015, p. 30</w:t>
      </w:r>
      <w:r w:rsidR="00BB7D0C">
        <w:t xml:space="preserve">; </w:t>
      </w:r>
      <w:r w:rsidR="00BB7D0C" w:rsidRPr="00BB7D0C">
        <w:t>The estimated bill impact reflects the final decision inflation forecast of 2.39 per cent per year.</w:t>
      </w:r>
    </w:p>
    <w:p w:rsidR="00CF00DE" w:rsidRDefault="00CF00DE" w:rsidP="00CF00DE">
      <w:pPr>
        <w:pStyle w:val="Heading1"/>
      </w:pPr>
      <w:bookmarkStart w:id="66" w:name="_Toc435706075"/>
      <w:bookmarkStart w:id="67" w:name="_Toc435706076"/>
      <w:bookmarkStart w:id="68" w:name="_Toc435706077"/>
      <w:bookmarkStart w:id="69" w:name="_Toc435706078"/>
      <w:bookmarkStart w:id="70" w:name="_Toc435706079"/>
      <w:bookmarkStart w:id="71" w:name="_Toc435706080"/>
      <w:bookmarkStart w:id="72" w:name="_Toc435706081"/>
      <w:bookmarkStart w:id="73" w:name="_Toc435706082"/>
      <w:bookmarkStart w:id="74" w:name="_Toc435706084"/>
      <w:bookmarkStart w:id="75" w:name="_Toc435706085"/>
      <w:bookmarkStart w:id="76" w:name="_Toc435706174"/>
      <w:bookmarkStart w:id="77" w:name="_Toc435706175"/>
      <w:bookmarkStart w:id="78" w:name="_Toc435706176"/>
      <w:bookmarkStart w:id="79" w:name="_Toc435706177"/>
      <w:bookmarkStart w:id="80" w:name="_Toc435706178"/>
      <w:bookmarkStart w:id="81" w:name="_Toc430002787"/>
      <w:bookmarkStart w:id="82" w:name="_Ref433877518"/>
      <w:bookmarkStart w:id="83" w:name="_Ref434479216"/>
      <w:bookmarkStart w:id="84" w:name="_Toc436037695"/>
      <w:bookmarkStart w:id="85" w:name="_Ref447611214"/>
      <w:bookmarkStart w:id="86" w:name="_Ref451523407"/>
      <w:bookmarkStart w:id="87" w:name="_Toc45187336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t>Key elements of decision on AGN's revenue</w:t>
      </w:r>
      <w:bookmarkEnd w:id="81"/>
      <w:bookmarkEnd w:id="82"/>
      <w:bookmarkEnd w:id="83"/>
      <w:bookmarkEnd w:id="84"/>
      <w:bookmarkEnd w:id="85"/>
      <w:bookmarkEnd w:id="86"/>
      <w:bookmarkEnd w:id="87"/>
    </w:p>
    <w:p w:rsidR="00CF00DE" w:rsidRDefault="00CF00DE" w:rsidP="00CF00DE">
      <w:bookmarkStart w:id="88" w:name="_Toc404437125"/>
      <w:bookmarkStart w:id="89" w:name="_Toc411428025"/>
      <w:r>
        <w:t>The components of our decision include the building blocks we use to determine the revenue AGN may recover from its customers.</w:t>
      </w:r>
    </w:p>
    <w:p w:rsidR="00CF00DE" w:rsidRDefault="00816AE5" w:rsidP="00CF00DE">
      <w:r>
        <w:t>To determine the</w:t>
      </w:r>
      <w:r w:rsidR="00CF00DE" w:rsidRPr="00DA7CB3">
        <w:rPr>
          <w:rStyle w:val="AERbody"/>
        </w:rPr>
        <w:t xml:space="preserve"> </w:t>
      </w:r>
      <w:r w:rsidR="00CF00DE">
        <w:rPr>
          <w:rStyle w:val="AERbody"/>
        </w:rPr>
        <w:t>overall total revenue</w:t>
      </w:r>
      <w:r w:rsidR="00CF00DE" w:rsidRPr="00DA7CB3">
        <w:rPr>
          <w:rStyle w:val="AERbody"/>
        </w:rPr>
        <w:t xml:space="preserve"> </w:t>
      </w:r>
      <w:r w:rsidR="00CF00DE">
        <w:rPr>
          <w:rStyle w:val="AERbody"/>
        </w:rPr>
        <w:t xml:space="preserve">requirement </w:t>
      </w:r>
      <w:r w:rsidR="00CF00DE" w:rsidRPr="00DA7CB3">
        <w:rPr>
          <w:rStyle w:val="AERbody"/>
        </w:rPr>
        <w:t>of $</w:t>
      </w:r>
      <w:r w:rsidR="00E43A6B">
        <w:rPr>
          <w:rStyle w:val="AERbody"/>
        </w:rPr>
        <w:t>98</w:t>
      </w:r>
      <w:r w:rsidR="00763602">
        <w:rPr>
          <w:rStyle w:val="AERbody"/>
        </w:rPr>
        <w:t>6</w:t>
      </w:r>
      <w:r w:rsidR="00E43A6B">
        <w:rPr>
          <w:rStyle w:val="AERbody"/>
        </w:rPr>
        <w:t>.</w:t>
      </w:r>
      <w:r w:rsidR="00763602">
        <w:rPr>
          <w:rStyle w:val="AERbody"/>
        </w:rPr>
        <w:t>7</w:t>
      </w:r>
      <w:r w:rsidR="00CF00DE">
        <w:rPr>
          <w:rStyle w:val="AERbody"/>
        </w:rPr>
        <w:t> </w:t>
      </w:r>
      <w:r w:rsidR="00CF00DE">
        <w:t>million ($nominal, unsmoothed) for the 2016–21 access arrangement period, we:</w:t>
      </w:r>
    </w:p>
    <w:p w:rsidR="00CF00DE" w:rsidRDefault="00CF00DE" w:rsidP="00CF00DE">
      <w:pPr>
        <w:pStyle w:val="AERbulletlistfirststyle"/>
        <w:rPr>
          <w:rStyle w:val="AERbody"/>
        </w:rPr>
      </w:pPr>
      <w:r w:rsidRPr="00EE5F0C">
        <w:rPr>
          <w:rStyle w:val="AERbody"/>
        </w:rPr>
        <w:t>apply relevant tests under the N</w:t>
      </w:r>
      <w:r>
        <w:rPr>
          <w:rStyle w:val="AERbody"/>
        </w:rPr>
        <w:t>G</w:t>
      </w:r>
      <w:r w:rsidRPr="00EE5F0C">
        <w:rPr>
          <w:rStyle w:val="AERbody"/>
        </w:rPr>
        <w:t>R, the assessment methods and tools developed as part of our Better Regulation guidelines</w:t>
      </w:r>
      <w:r w:rsidR="004106A5">
        <w:rPr>
          <w:rStyle w:val="AERbody"/>
        </w:rPr>
        <w:t>.</w:t>
      </w:r>
      <w:r>
        <w:rPr>
          <w:rStyle w:val="FootnoteReference"/>
        </w:rPr>
        <w:footnoteReference w:id="28"/>
      </w:r>
      <w:r>
        <w:rPr>
          <w:rStyle w:val="AERbody"/>
        </w:rPr>
        <w:t xml:space="preserve"> </w:t>
      </w:r>
    </w:p>
    <w:p w:rsidR="00CF00DE" w:rsidRPr="007C4B82" w:rsidRDefault="00CF00DE" w:rsidP="00CF00DE">
      <w:pPr>
        <w:pStyle w:val="AERbulletlistfirststyle"/>
        <w:rPr>
          <w:rStyle w:val="AERbody"/>
        </w:rPr>
      </w:pPr>
      <w:r w:rsidRPr="007C4B82">
        <w:rPr>
          <w:rStyle w:val="AERbody"/>
        </w:rPr>
        <w:t xml:space="preserve">consider information provided by </w:t>
      </w:r>
      <w:r>
        <w:rPr>
          <w:rStyle w:val="AERbody"/>
        </w:rPr>
        <w:t>AGN</w:t>
      </w:r>
      <w:r w:rsidRPr="007C4B82">
        <w:rPr>
          <w:rStyle w:val="AERbody"/>
        </w:rPr>
        <w:t xml:space="preserve">, the </w:t>
      </w:r>
      <w:r>
        <w:rPr>
          <w:rStyle w:val="AERbody"/>
        </w:rPr>
        <w:t>Consumer Challenge Panel (</w:t>
      </w:r>
      <w:r w:rsidRPr="007C4B82">
        <w:rPr>
          <w:rStyle w:val="AERbody"/>
        </w:rPr>
        <w:t>CCP</w:t>
      </w:r>
      <w:r>
        <w:rPr>
          <w:rStyle w:val="AERbody"/>
        </w:rPr>
        <w:t>)</w:t>
      </w:r>
      <w:r w:rsidRPr="007C4B82">
        <w:rPr>
          <w:rStyle w:val="AERbody"/>
        </w:rPr>
        <w:t xml:space="preserve">, </w:t>
      </w:r>
      <w:r w:rsidR="00816AE5">
        <w:rPr>
          <w:rStyle w:val="AERbody"/>
        </w:rPr>
        <w:t xml:space="preserve">our </w:t>
      </w:r>
      <w:r w:rsidRPr="007C4B82">
        <w:rPr>
          <w:rStyle w:val="AERbody"/>
        </w:rPr>
        <w:t>consultants and stakeholder submissions</w:t>
      </w:r>
      <w:r>
        <w:rPr>
          <w:rStyle w:val="AERbody"/>
        </w:rPr>
        <w:t>.</w:t>
      </w:r>
    </w:p>
    <w:p w:rsidR="00CF00DE" w:rsidRDefault="00CF00DE" w:rsidP="00CF00DE">
      <w:pPr>
        <w:pStyle w:val="AERbulletlistfirststyle"/>
        <w:rPr>
          <w:rStyle w:val="AERbody"/>
        </w:rPr>
      </w:pPr>
      <w:r w:rsidRPr="00EE5F0C">
        <w:rPr>
          <w:rStyle w:val="AERbody"/>
        </w:rPr>
        <w:t xml:space="preserve">consider our </w:t>
      </w:r>
      <w:r>
        <w:rPr>
          <w:rStyle w:val="AERbody"/>
        </w:rPr>
        <w:t>overall revenue</w:t>
      </w:r>
      <w:r w:rsidRPr="00EE5F0C">
        <w:rPr>
          <w:rStyle w:val="AERbody"/>
        </w:rPr>
        <w:t xml:space="preserve"> </w:t>
      </w:r>
      <w:r>
        <w:rPr>
          <w:rStyle w:val="AERbody"/>
        </w:rPr>
        <w:t xml:space="preserve">decision </w:t>
      </w:r>
      <w:r w:rsidRPr="00EE5F0C">
        <w:rPr>
          <w:rStyle w:val="AERbody"/>
        </w:rPr>
        <w:t xml:space="preserve">against section </w:t>
      </w:r>
      <w:r>
        <w:rPr>
          <w:rStyle w:val="AERbody"/>
        </w:rPr>
        <w:t>23</w:t>
      </w:r>
      <w:r w:rsidRPr="00EE5F0C">
        <w:rPr>
          <w:rStyle w:val="AERbody"/>
        </w:rPr>
        <w:t xml:space="preserve"> of the N</w:t>
      </w:r>
      <w:r>
        <w:rPr>
          <w:rStyle w:val="AERbody"/>
        </w:rPr>
        <w:t>G</w:t>
      </w:r>
      <w:r w:rsidRPr="00EE5F0C">
        <w:rPr>
          <w:rStyle w:val="AERbody"/>
        </w:rPr>
        <w:t xml:space="preserve">L, including the </w:t>
      </w:r>
      <w:r>
        <w:rPr>
          <w:rStyle w:val="AERbody"/>
        </w:rPr>
        <w:t>components of our</w:t>
      </w:r>
      <w:r w:rsidRPr="00EE5F0C">
        <w:rPr>
          <w:rStyle w:val="AERbody"/>
        </w:rPr>
        <w:t xml:space="preserve"> </w:t>
      </w:r>
      <w:r w:rsidRPr="007C4B82">
        <w:rPr>
          <w:rStyle w:val="AERbody"/>
        </w:rPr>
        <w:t>decision and the interrelationships we discuss in section</w:t>
      </w:r>
      <w:r>
        <w:rPr>
          <w:rStyle w:val="AERbody"/>
        </w:rPr>
        <w:t>s</w:t>
      </w:r>
      <w:r w:rsidR="00534E0B">
        <w:rPr>
          <w:rStyle w:val="AERbody"/>
        </w:rPr>
        <w:t xml:space="preserve"> </w:t>
      </w:r>
      <w:r w:rsidR="00534E0B">
        <w:rPr>
          <w:rStyle w:val="AERbody"/>
        </w:rPr>
        <w:fldChar w:fldCharType="begin"/>
      </w:r>
      <w:r w:rsidR="00534E0B">
        <w:rPr>
          <w:rStyle w:val="AERbody"/>
        </w:rPr>
        <w:instrText xml:space="preserve"> REF _Ref451523407 \r \h </w:instrText>
      </w:r>
      <w:r w:rsidR="00534E0B">
        <w:rPr>
          <w:rStyle w:val="AERbody"/>
        </w:rPr>
      </w:r>
      <w:r w:rsidR="00534E0B">
        <w:rPr>
          <w:rStyle w:val="AERbody"/>
        </w:rPr>
        <w:fldChar w:fldCharType="separate"/>
      </w:r>
      <w:r w:rsidR="006E1111">
        <w:rPr>
          <w:rStyle w:val="AERbody"/>
        </w:rPr>
        <w:t>4</w:t>
      </w:r>
      <w:r w:rsidR="00534E0B">
        <w:rPr>
          <w:rStyle w:val="AERbody"/>
        </w:rPr>
        <w:fldChar w:fldCharType="end"/>
      </w:r>
      <w:r>
        <w:rPr>
          <w:rStyle w:val="AERbody"/>
        </w:rPr>
        <w:t xml:space="preserve"> </w:t>
      </w:r>
      <w:r w:rsidR="00534E0B">
        <w:rPr>
          <w:rStyle w:val="AERbody"/>
        </w:rPr>
        <w:t xml:space="preserve">and </w:t>
      </w:r>
      <w:r>
        <w:rPr>
          <w:rStyle w:val="AERbody"/>
        </w:rPr>
        <w:fldChar w:fldCharType="begin"/>
      </w:r>
      <w:r>
        <w:rPr>
          <w:rStyle w:val="AERbody"/>
        </w:rPr>
        <w:instrText xml:space="preserve"> REF _Ref434235701 \r \h </w:instrText>
      </w:r>
      <w:r>
        <w:rPr>
          <w:rStyle w:val="AERbody"/>
        </w:rPr>
      </w:r>
      <w:r>
        <w:rPr>
          <w:rStyle w:val="AERbody"/>
        </w:rPr>
        <w:fldChar w:fldCharType="separate"/>
      </w:r>
      <w:r w:rsidR="006E1111">
        <w:rPr>
          <w:rStyle w:val="AERbody"/>
        </w:rPr>
        <w:t>7.1.1</w:t>
      </w:r>
      <w:r>
        <w:rPr>
          <w:rStyle w:val="AERbody"/>
        </w:rPr>
        <w:fldChar w:fldCharType="end"/>
      </w:r>
      <w:r w:rsidR="00534E0B">
        <w:rPr>
          <w:rStyle w:val="AERbody"/>
        </w:rPr>
        <w:t>.</w:t>
      </w:r>
    </w:p>
    <w:p w:rsidR="00CF00DE" w:rsidRPr="007C4B82" w:rsidRDefault="00CF00DE" w:rsidP="00CF00DE">
      <w:pPr>
        <w:pStyle w:val="ListParagraph"/>
        <w:numPr>
          <w:ilvl w:val="0"/>
          <w:numId w:val="24"/>
        </w:numPr>
      </w:pPr>
      <w:bookmarkStart w:id="90" w:name="_Toc416278251"/>
      <w:bookmarkStart w:id="91" w:name="_Toc416278315"/>
      <w:bookmarkStart w:id="92" w:name="_Toc416278317"/>
      <w:bookmarkEnd w:id="88"/>
      <w:bookmarkEnd w:id="89"/>
      <w:bookmarkEnd w:id="90"/>
      <w:bookmarkEnd w:id="91"/>
      <w:bookmarkEnd w:id="92"/>
      <w:r w:rsidRPr="007C4B82">
        <w:t>The following section</w:t>
      </w:r>
      <w:r w:rsidR="004106A5">
        <w:t>s</w:t>
      </w:r>
      <w:r w:rsidRPr="007C4B82">
        <w:t xml:space="preserve"> summarises our </w:t>
      </w:r>
      <w:r w:rsidR="00816AE5">
        <w:t xml:space="preserve">revenue </w:t>
      </w:r>
      <w:r w:rsidRPr="007C4B82">
        <w:t xml:space="preserve">decision by building block. </w:t>
      </w:r>
      <w:r>
        <w:t>The attachments provide the detailed explanation of our analysis and findings.</w:t>
      </w:r>
    </w:p>
    <w:p w:rsidR="00CF00DE" w:rsidRDefault="00CF00DE" w:rsidP="00CF00DE">
      <w:pPr>
        <w:pStyle w:val="Heading2"/>
      </w:pPr>
      <w:bookmarkStart w:id="93" w:name="_Toc430002789"/>
      <w:bookmarkStart w:id="94" w:name="_Ref433713640"/>
      <w:bookmarkStart w:id="95" w:name="_Ref433713804"/>
      <w:bookmarkStart w:id="96" w:name="_Toc436037696"/>
      <w:bookmarkStart w:id="97" w:name="_Toc451873368"/>
      <w:r>
        <w:t>Capital base</w:t>
      </w:r>
      <w:bookmarkEnd w:id="93"/>
      <w:bookmarkEnd w:id="94"/>
      <w:bookmarkEnd w:id="95"/>
      <w:bookmarkEnd w:id="96"/>
      <w:bookmarkEnd w:id="97"/>
    </w:p>
    <w:p w:rsidR="00CF00DE" w:rsidRDefault="00CF00DE" w:rsidP="00CF00DE">
      <w:r w:rsidRPr="004F0EB4">
        <w:rPr>
          <w:rStyle w:val="AERbody"/>
        </w:rPr>
        <w:t xml:space="preserve">We are required to make a decision on AGN's opening capital base as at 1 July 2016 for the 2016–21 access arrangement period. We are also required to make a decision on AGN's projected capital base for the 2016–21 access arrangement period. </w:t>
      </w:r>
    </w:p>
    <w:p w:rsidR="00CF00DE" w:rsidRDefault="00CF00DE" w:rsidP="00CF00DE">
      <w:r w:rsidRPr="004F0EB4">
        <w:rPr>
          <w:rStyle w:val="AERbody"/>
        </w:rPr>
        <w:t xml:space="preserve">The capital base roll forward accounts for the value of AGN's regulated assets over the access arrangement period. </w:t>
      </w:r>
      <w:r>
        <w:t xml:space="preserve">The </w:t>
      </w:r>
      <w:r w:rsidR="00D1561B">
        <w:t>size</w:t>
      </w:r>
      <w:r>
        <w:t xml:space="preserve"> of the capital base substantially impacts the service provider's revenue and the price consumers ultimately pay. It is an input into the determination of the return on capital and depreciation (return of capital)</w:t>
      </w:r>
      <w:r w:rsidR="00D1561B">
        <w:t xml:space="preserve"> building blocks</w:t>
      </w:r>
      <w:r>
        <w:t>.</w:t>
      </w:r>
      <w:r>
        <w:rPr>
          <w:rStyle w:val="FootnoteReference"/>
        </w:rPr>
        <w:footnoteReference w:id="29"/>
      </w:r>
      <w:r>
        <w:t xml:space="preserve"> Other things being equal, a higher capital base increases both the return on capital and depreciation allowances. In turn, </w:t>
      </w:r>
      <w:r w:rsidR="004106A5">
        <w:t xml:space="preserve">those </w:t>
      </w:r>
      <w:r>
        <w:t>increase the service provider's revenue, and prices for services.</w:t>
      </w:r>
    </w:p>
    <w:p w:rsidR="00466253" w:rsidRDefault="00466253" w:rsidP="00466253">
      <w:bookmarkStart w:id="98" w:name="_Toc430002790"/>
      <w:bookmarkStart w:id="99" w:name="_Ref433373979"/>
      <w:bookmarkStart w:id="100" w:name="_Ref433375587"/>
      <w:r>
        <w:t xml:space="preserve">We </w:t>
      </w:r>
      <w:r w:rsidRPr="009656AB">
        <w:t xml:space="preserve">determine an opening capital base </w:t>
      </w:r>
      <w:r w:rsidR="00DB5002">
        <w:t>for AGN</w:t>
      </w:r>
      <w:r w:rsidR="00DB5002" w:rsidRPr="009656AB">
        <w:t xml:space="preserve"> </w:t>
      </w:r>
      <w:r w:rsidRPr="009656AB">
        <w:t xml:space="preserve">of </w:t>
      </w:r>
      <w:r w:rsidRPr="009656AB">
        <w:rPr>
          <w:rStyle w:val="AERbody"/>
        </w:rPr>
        <w:t>$</w:t>
      </w:r>
      <w:r w:rsidR="00B757C1">
        <w:rPr>
          <w:rStyle w:val="AERbody"/>
        </w:rPr>
        <w:t>1385.6</w:t>
      </w:r>
      <w:r w:rsidRPr="009656AB">
        <w:rPr>
          <w:rStyle w:val="AERbody"/>
        </w:rPr>
        <w:t xml:space="preserve"> million</w:t>
      </w:r>
      <w:r w:rsidRPr="009656AB">
        <w:t xml:space="preserve"> ($nominal) as at 1 July 2016</w:t>
      </w:r>
      <w:r>
        <w:t xml:space="preserve">. This </w:t>
      </w:r>
      <w:r w:rsidRPr="009656AB">
        <w:t>is $</w:t>
      </w:r>
      <w:r w:rsidR="00B757C1">
        <w:t>15.7</w:t>
      </w:r>
      <w:r w:rsidRPr="009656AB">
        <w:t xml:space="preserve"> million </w:t>
      </w:r>
      <w:r>
        <w:t xml:space="preserve">(or </w:t>
      </w:r>
      <w:r w:rsidR="00E43A6B">
        <w:t>1.1</w:t>
      </w:r>
      <w:r>
        <w:t xml:space="preserve"> per cent) </w:t>
      </w:r>
      <w:r w:rsidR="00B757C1">
        <w:t xml:space="preserve">lower </w:t>
      </w:r>
      <w:r>
        <w:t>than AGN's revised proposed value of $</w:t>
      </w:r>
      <w:r w:rsidR="000F6A71">
        <w:t>1401.3</w:t>
      </w:r>
      <w:r>
        <w:t xml:space="preserve"> million</w:t>
      </w:r>
      <w:r w:rsidRPr="009656AB">
        <w:t>. This is because</w:t>
      </w:r>
      <w:r>
        <w:t xml:space="preserve"> we have updated the capital base roll forward for the 2015–16 actual inflation input</w:t>
      </w:r>
      <w:r w:rsidR="00D1561B">
        <w:t xml:space="preserve"> </w:t>
      </w:r>
      <w:r>
        <w:t xml:space="preserve">and </w:t>
      </w:r>
      <w:r w:rsidR="00E2523C">
        <w:t>our final decision on</w:t>
      </w:r>
      <w:r>
        <w:t xml:space="preserve"> conforming capex for 2013–14, 2014–15 and 2015–16</w:t>
      </w:r>
      <w:r w:rsidR="00D1561B">
        <w:t xml:space="preserve"> (which were not available at the time of AGN’s revised proposal)</w:t>
      </w:r>
      <w:r>
        <w:t>.</w:t>
      </w:r>
      <w:r w:rsidRPr="009656AB">
        <w:t xml:space="preserve"> </w:t>
      </w:r>
    </w:p>
    <w:p w:rsidR="00466253" w:rsidRPr="004F0EB4" w:rsidRDefault="00466253" w:rsidP="00466253">
      <w:r>
        <w:fldChar w:fldCharType="begin"/>
      </w:r>
      <w:r>
        <w:instrText xml:space="preserve"> REF _Ref447530656 \h </w:instrText>
      </w:r>
      <w:r>
        <w:fldChar w:fldCharType="separate"/>
      </w:r>
      <w:r w:rsidR="006E1111">
        <w:t xml:space="preserve">Table </w:t>
      </w:r>
      <w:r w:rsidR="006E1111">
        <w:rPr>
          <w:noProof/>
        </w:rPr>
        <w:t>4</w:t>
      </w:r>
      <w:r>
        <w:fldChar w:fldCharType="end"/>
      </w:r>
      <w:r>
        <w:t xml:space="preserve"> </w:t>
      </w:r>
      <w:r w:rsidRPr="004F0EB4">
        <w:t xml:space="preserve">summarises our </w:t>
      </w:r>
      <w:r>
        <w:t>final</w:t>
      </w:r>
      <w:r w:rsidRPr="004F0EB4">
        <w:t xml:space="preserve"> decision on the roll forward of AGN's capital base </w:t>
      </w:r>
      <w:r w:rsidR="00D1561B">
        <w:t>over</w:t>
      </w:r>
      <w:r w:rsidRPr="004F0EB4">
        <w:t xml:space="preserve"> the </w:t>
      </w:r>
      <w:r w:rsidR="00D1561B">
        <w:t xml:space="preserve">current </w:t>
      </w:r>
      <w:r w:rsidRPr="004F0EB4">
        <w:t xml:space="preserve">2011–16 access arrangement period. </w:t>
      </w:r>
    </w:p>
    <w:p w:rsidR="00466253" w:rsidRPr="009656AB" w:rsidRDefault="00466253" w:rsidP="00DB5002">
      <w:pPr>
        <w:pStyle w:val="Caption"/>
        <w:keepLines/>
      </w:pPr>
      <w:bookmarkStart w:id="101" w:name="_Ref447530656"/>
      <w:bookmarkStart w:id="102" w:name="_Ref328756976"/>
      <w:r>
        <w:t xml:space="preserve">Table </w:t>
      </w:r>
      <w:fldSimple w:instr=" SEQ Table \* ARABIC ">
        <w:r w:rsidR="006E1111">
          <w:rPr>
            <w:noProof/>
          </w:rPr>
          <w:t>4</w:t>
        </w:r>
      </w:fldSimple>
      <w:bookmarkEnd w:id="101"/>
      <w:r>
        <w:t xml:space="preserve"> </w:t>
      </w:r>
      <w:r w:rsidRPr="009656AB">
        <w:t xml:space="preserve">AER’s </w:t>
      </w:r>
      <w:r>
        <w:t>final</w:t>
      </w:r>
      <w:r w:rsidRPr="009656AB">
        <w:t xml:space="preserve"> decision on AGN’s capital base roll forward for the 2011–16 access arrangement period ($million, nominal)</w:t>
      </w:r>
    </w:p>
    <w:tbl>
      <w:tblPr>
        <w:tblStyle w:val="AERtable-numbers"/>
        <w:tblW w:w="8743" w:type="dxa"/>
        <w:tblLayout w:type="fixed"/>
        <w:tblLook w:val="04A0" w:firstRow="1" w:lastRow="0" w:firstColumn="1" w:lastColumn="0" w:noHBand="0" w:noVBand="1"/>
      </w:tblPr>
      <w:tblGrid>
        <w:gridCol w:w="3652"/>
        <w:gridCol w:w="811"/>
        <w:gridCol w:w="207"/>
        <w:gridCol w:w="863"/>
        <w:gridCol w:w="155"/>
        <w:gridCol w:w="915"/>
        <w:gridCol w:w="103"/>
        <w:gridCol w:w="967"/>
        <w:gridCol w:w="51"/>
        <w:gridCol w:w="1019"/>
      </w:tblGrid>
      <w:tr w:rsidR="00466253" w:rsidRPr="00AC15AE" w:rsidTr="00575D02">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652" w:type="dxa"/>
            <w:noWrap/>
          </w:tcPr>
          <w:p w:rsidR="00466253" w:rsidRPr="00AC15AE" w:rsidRDefault="00466253" w:rsidP="00DB5002">
            <w:pPr>
              <w:keepNext/>
              <w:keepLines/>
            </w:pPr>
          </w:p>
        </w:tc>
        <w:tc>
          <w:tcPr>
            <w:tcW w:w="1018" w:type="dxa"/>
            <w:gridSpan w:val="2"/>
            <w:noWrap/>
            <w:hideMark/>
          </w:tcPr>
          <w:p w:rsidR="00466253" w:rsidRPr="00466253" w:rsidRDefault="00466253" w:rsidP="00DB5002">
            <w:pPr>
              <w:keepNext/>
              <w:keepLines/>
              <w:cnfStyle w:val="100000000000" w:firstRow="1" w:lastRow="0" w:firstColumn="0" w:lastColumn="0" w:oddVBand="0" w:evenVBand="0" w:oddHBand="0" w:evenHBand="0" w:firstRowFirstColumn="0" w:firstRowLastColumn="0" w:lastRowFirstColumn="0" w:lastRowLastColumn="0"/>
            </w:pPr>
            <w:r w:rsidRPr="00AC15AE">
              <w:t>2011–12</w:t>
            </w:r>
          </w:p>
        </w:tc>
        <w:tc>
          <w:tcPr>
            <w:tcW w:w="1018" w:type="dxa"/>
            <w:gridSpan w:val="2"/>
            <w:noWrap/>
            <w:hideMark/>
          </w:tcPr>
          <w:p w:rsidR="00466253" w:rsidRPr="00466253" w:rsidRDefault="00466253" w:rsidP="00DB5002">
            <w:pPr>
              <w:keepNext/>
              <w:keepLines/>
              <w:cnfStyle w:val="100000000000" w:firstRow="1" w:lastRow="0" w:firstColumn="0" w:lastColumn="0" w:oddVBand="0" w:evenVBand="0" w:oddHBand="0" w:evenHBand="0" w:firstRowFirstColumn="0" w:firstRowLastColumn="0" w:lastRowFirstColumn="0" w:lastRowLastColumn="0"/>
            </w:pPr>
            <w:r w:rsidRPr="00AC15AE">
              <w:t>2012–13</w:t>
            </w:r>
          </w:p>
        </w:tc>
        <w:tc>
          <w:tcPr>
            <w:tcW w:w="1018" w:type="dxa"/>
            <w:gridSpan w:val="2"/>
            <w:noWrap/>
            <w:hideMark/>
          </w:tcPr>
          <w:p w:rsidR="00466253" w:rsidRPr="00466253" w:rsidRDefault="00466253" w:rsidP="00DB5002">
            <w:pPr>
              <w:keepNext/>
              <w:keepLines/>
              <w:cnfStyle w:val="100000000000" w:firstRow="1" w:lastRow="0" w:firstColumn="0" w:lastColumn="0" w:oddVBand="0" w:evenVBand="0" w:oddHBand="0" w:evenHBand="0" w:firstRowFirstColumn="0" w:firstRowLastColumn="0" w:lastRowFirstColumn="0" w:lastRowLastColumn="0"/>
            </w:pPr>
            <w:r w:rsidRPr="00AC15AE">
              <w:t>2013–14</w:t>
            </w:r>
          </w:p>
        </w:tc>
        <w:tc>
          <w:tcPr>
            <w:tcW w:w="1018" w:type="dxa"/>
            <w:gridSpan w:val="2"/>
            <w:noWrap/>
            <w:hideMark/>
          </w:tcPr>
          <w:p w:rsidR="00466253" w:rsidRPr="00466253" w:rsidRDefault="00466253" w:rsidP="00DB5002">
            <w:pPr>
              <w:keepNext/>
              <w:keepLines/>
              <w:cnfStyle w:val="100000000000" w:firstRow="1" w:lastRow="0" w:firstColumn="0" w:lastColumn="0" w:oddVBand="0" w:evenVBand="0" w:oddHBand="0" w:evenHBand="0" w:firstRowFirstColumn="0" w:firstRowLastColumn="0" w:lastRowFirstColumn="0" w:lastRowLastColumn="0"/>
            </w:pPr>
            <w:r w:rsidRPr="00AC15AE">
              <w:t>2014–15</w:t>
            </w:r>
          </w:p>
        </w:tc>
        <w:tc>
          <w:tcPr>
            <w:tcW w:w="1019" w:type="dxa"/>
            <w:noWrap/>
            <w:hideMark/>
          </w:tcPr>
          <w:p w:rsidR="00466253" w:rsidRPr="00466253" w:rsidRDefault="00466253" w:rsidP="00DB5002">
            <w:pPr>
              <w:keepNext/>
              <w:keepLines/>
              <w:cnfStyle w:val="100000000000" w:firstRow="1" w:lastRow="0" w:firstColumn="0" w:lastColumn="0" w:oddVBand="0" w:evenVBand="0" w:oddHBand="0" w:evenHBand="0" w:firstRowFirstColumn="0" w:firstRowLastColumn="0" w:lastRowFirstColumn="0" w:lastRowLastColumn="0"/>
            </w:pPr>
            <w:r w:rsidRPr="00AC15AE">
              <w:t>2015–16</w:t>
            </w:r>
          </w:p>
        </w:tc>
      </w:tr>
      <w:tr w:rsidR="00B007C7" w:rsidRPr="00AC15AE" w:rsidTr="00575D02">
        <w:trPr>
          <w:trHeight w:val="393"/>
        </w:trPr>
        <w:tc>
          <w:tcPr>
            <w:cnfStyle w:val="001000000000" w:firstRow="0" w:lastRow="0" w:firstColumn="1" w:lastColumn="0" w:oddVBand="0" w:evenVBand="0" w:oddHBand="0" w:evenHBand="0" w:firstRowFirstColumn="0" w:firstRowLastColumn="0" w:lastRowFirstColumn="0" w:lastRowLastColumn="0"/>
            <w:tcW w:w="3652" w:type="dxa"/>
            <w:noWrap/>
            <w:hideMark/>
          </w:tcPr>
          <w:p w:rsidR="00B007C7" w:rsidRPr="00B007C7" w:rsidRDefault="00B007C7" w:rsidP="00DB5002">
            <w:pPr>
              <w:keepNext/>
            </w:pPr>
            <w:r w:rsidRPr="00B007C7">
              <w:t>Opening capital base</w:t>
            </w:r>
          </w:p>
        </w:tc>
        <w:tc>
          <w:tcPr>
            <w:tcW w:w="1018" w:type="dxa"/>
            <w:gridSpan w:val="2"/>
            <w:noWrap/>
          </w:tcPr>
          <w:p w:rsidR="00B007C7" w:rsidRPr="00B007C7" w:rsidRDefault="00B007C7" w:rsidP="00DB5002">
            <w:pPr>
              <w:keepNext/>
              <w:cnfStyle w:val="000000000000" w:firstRow="0" w:lastRow="0" w:firstColumn="0" w:lastColumn="0" w:oddVBand="0" w:evenVBand="0" w:oddHBand="0" w:evenHBand="0" w:firstRowFirstColumn="0" w:firstRowLastColumn="0" w:lastRowFirstColumn="0" w:lastRowLastColumn="0"/>
            </w:pPr>
            <w:r w:rsidRPr="00B007C7">
              <w:t>1023.9</w:t>
            </w:r>
          </w:p>
        </w:tc>
        <w:tc>
          <w:tcPr>
            <w:tcW w:w="1018" w:type="dxa"/>
            <w:gridSpan w:val="2"/>
            <w:noWrap/>
          </w:tcPr>
          <w:p w:rsidR="00B007C7" w:rsidRPr="00B007C7" w:rsidRDefault="00B007C7" w:rsidP="00DB5002">
            <w:pPr>
              <w:keepNext/>
              <w:cnfStyle w:val="000000000000" w:firstRow="0" w:lastRow="0" w:firstColumn="0" w:lastColumn="0" w:oddVBand="0" w:evenVBand="0" w:oddHBand="0" w:evenHBand="0" w:firstRowFirstColumn="0" w:firstRowLastColumn="0" w:lastRowFirstColumn="0" w:lastRowLastColumn="0"/>
            </w:pPr>
            <w:r w:rsidRPr="00B007C7">
              <w:t>1070.7</w:t>
            </w:r>
          </w:p>
        </w:tc>
        <w:tc>
          <w:tcPr>
            <w:tcW w:w="1018" w:type="dxa"/>
            <w:gridSpan w:val="2"/>
            <w:noWrap/>
          </w:tcPr>
          <w:p w:rsidR="00B007C7" w:rsidRPr="00B007C7" w:rsidRDefault="00B007C7" w:rsidP="00DB5002">
            <w:pPr>
              <w:keepNext/>
              <w:cnfStyle w:val="000000000000" w:firstRow="0" w:lastRow="0" w:firstColumn="0" w:lastColumn="0" w:oddVBand="0" w:evenVBand="0" w:oddHBand="0" w:evenHBand="0" w:firstRowFirstColumn="0" w:firstRowLastColumn="0" w:lastRowFirstColumn="0" w:lastRowLastColumn="0"/>
            </w:pPr>
            <w:r w:rsidRPr="00B007C7">
              <w:t>1140.0</w:t>
            </w:r>
          </w:p>
        </w:tc>
        <w:tc>
          <w:tcPr>
            <w:tcW w:w="1018" w:type="dxa"/>
            <w:gridSpan w:val="2"/>
            <w:noWrap/>
          </w:tcPr>
          <w:p w:rsidR="00B007C7" w:rsidRPr="00B007C7" w:rsidRDefault="00B007C7" w:rsidP="00DB5002">
            <w:pPr>
              <w:keepNext/>
              <w:cnfStyle w:val="000000000000" w:firstRow="0" w:lastRow="0" w:firstColumn="0" w:lastColumn="0" w:oddVBand="0" w:evenVBand="0" w:oddHBand="0" w:evenHBand="0" w:firstRowFirstColumn="0" w:firstRowLastColumn="0" w:lastRowFirstColumn="0" w:lastRowLastColumn="0"/>
            </w:pPr>
            <w:r w:rsidRPr="00B007C7">
              <w:t>1230.8</w:t>
            </w:r>
          </w:p>
        </w:tc>
        <w:tc>
          <w:tcPr>
            <w:tcW w:w="1019" w:type="dxa"/>
            <w:noWrap/>
          </w:tcPr>
          <w:p w:rsidR="00B007C7" w:rsidRPr="00B007C7" w:rsidRDefault="00B007C7" w:rsidP="00DB5002">
            <w:pPr>
              <w:keepNext/>
              <w:cnfStyle w:val="000000000000" w:firstRow="0" w:lastRow="0" w:firstColumn="0" w:lastColumn="0" w:oddVBand="0" w:evenVBand="0" w:oddHBand="0" w:evenHBand="0" w:firstRowFirstColumn="0" w:firstRowLastColumn="0" w:lastRowFirstColumn="0" w:lastRowLastColumn="0"/>
            </w:pPr>
            <w:r w:rsidRPr="00B007C7">
              <w:t>1303.7</w:t>
            </w:r>
          </w:p>
        </w:tc>
      </w:tr>
      <w:tr w:rsidR="00B007C7" w:rsidRPr="00AC15AE" w:rsidTr="00575D02">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652" w:type="dxa"/>
            <w:noWrap/>
            <w:hideMark/>
          </w:tcPr>
          <w:p w:rsidR="00B007C7" w:rsidRPr="00B007C7" w:rsidRDefault="00B007C7" w:rsidP="00DB5002">
            <w:pPr>
              <w:keepNext/>
            </w:pPr>
            <w:r w:rsidRPr="00B007C7">
              <w:t>Net capex</w:t>
            </w:r>
          </w:p>
        </w:tc>
        <w:tc>
          <w:tcPr>
            <w:tcW w:w="1018" w:type="dxa"/>
            <w:gridSpan w:val="2"/>
            <w:noWrap/>
          </w:tcPr>
          <w:p w:rsidR="00B007C7" w:rsidRPr="00B007C7" w:rsidRDefault="00B007C7" w:rsidP="00DB5002">
            <w:pPr>
              <w:keepNext/>
              <w:cnfStyle w:val="000000010000" w:firstRow="0" w:lastRow="0" w:firstColumn="0" w:lastColumn="0" w:oddVBand="0" w:evenVBand="0" w:oddHBand="0" w:evenHBand="1" w:firstRowFirstColumn="0" w:firstRowLastColumn="0" w:lastRowFirstColumn="0" w:lastRowLastColumn="0"/>
            </w:pPr>
            <w:r w:rsidRPr="00B007C7">
              <w:t>58.0</w:t>
            </w:r>
          </w:p>
        </w:tc>
        <w:tc>
          <w:tcPr>
            <w:tcW w:w="1018" w:type="dxa"/>
            <w:gridSpan w:val="2"/>
            <w:noWrap/>
          </w:tcPr>
          <w:p w:rsidR="00B007C7" w:rsidRPr="00B007C7" w:rsidRDefault="00B007C7" w:rsidP="00DB5002">
            <w:pPr>
              <w:keepNext/>
              <w:cnfStyle w:val="000000010000" w:firstRow="0" w:lastRow="0" w:firstColumn="0" w:lastColumn="0" w:oddVBand="0" w:evenVBand="0" w:oddHBand="0" w:evenHBand="1" w:firstRowFirstColumn="0" w:firstRowLastColumn="0" w:lastRowFirstColumn="0" w:lastRowLastColumn="0"/>
            </w:pPr>
            <w:r w:rsidRPr="00B007C7">
              <w:t>83.9</w:t>
            </w:r>
          </w:p>
        </w:tc>
        <w:tc>
          <w:tcPr>
            <w:tcW w:w="1018" w:type="dxa"/>
            <w:gridSpan w:val="2"/>
            <w:noWrap/>
          </w:tcPr>
          <w:p w:rsidR="00B007C7" w:rsidRPr="00B007C7" w:rsidRDefault="00B007C7" w:rsidP="00DB5002">
            <w:pPr>
              <w:keepNext/>
              <w:cnfStyle w:val="000000010000" w:firstRow="0" w:lastRow="0" w:firstColumn="0" w:lastColumn="0" w:oddVBand="0" w:evenVBand="0" w:oddHBand="0" w:evenHBand="1" w:firstRowFirstColumn="0" w:firstRowLastColumn="0" w:lastRowFirstColumn="0" w:lastRowLastColumn="0"/>
            </w:pPr>
            <w:r w:rsidRPr="00B007C7">
              <w:t>102.9</w:t>
            </w:r>
          </w:p>
        </w:tc>
        <w:tc>
          <w:tcPr>
            <w:tcW w:w="1018" w:type="dxa"/>
            <w:gridSpan w:val="2"/>
            <w:noWrap/>
          </w:tcPr>
          <w:p w:rsidR="00B007C7" w:rsidRPr="00B007C7" w:rsidRDefault="00B007C7" w:rsidP="00DB5002">
            <w:pPr>
              <w:keepNext/>
              <w:cnfStyle w:val="000000010000" w:firstRow="0" w:lastRow="0" w:firstColumn="0" w:lastColumn="0" w:oddVBand="0" w:evenVBand="0" w:oddHBand="0" w:evenHBand="1" w:firstRowFirstColumn="0" w:firstRowLastColumn="0" w:lastRowFirstColumn="0" w:lastRowLastColumn="0"/>
            </w:pPr>
            <w:r w:rsidRPr="00B007C7">
              <w:t>106.4</w:t>
            </w:r>
          </w:p>
        </w:tc>
        <w:tc>
          <w:tcPr>
            <w:tcW w:w="1019" w:type="dxa"/>
            <w:noWrap/>
          </w:tcPr>
          <w:p w:rsidR="00B007C7" w:rsidRPr="00B007C7" w:rsidRDefault="00B757C1" w:rsidP="00DB5002">
            <w:pPr>
              <w:keepNext/>
              <w:cnfStyle w:val="000000010000" w:firstRow="0" w:lastRow="0" w:firstColumn="0" w:lastColumn="0" w:oddVBand="0" w:evenVBand="0" w:oddHBand="0" w:evenHBand="1" w:firstRowFirstColumn="0" w:firstRowLastColumn="0" w:lastRowFirstColumn="0" w:lastRowLastColumn="0"/>
            </w:pPr>
            <w:r>
              <w:t>123.4</w:t>
            </w:r>
          </w:p>
        </w:tc>
      </w:tr>
      <w:tr w:rsidR="00B007C7" w:rsidRPr="00AC15AE" w:rsidTr="00575D02">
        <w:trPr>
          <w:trHeight w:val="391"/>
        </w:trPr>
        <w:tc>
          <w:tcPr>
            <w:cnfStyle w:val="001000000000" w:firstRow="0" w:lastRow="0" w:firstColumn="1" w:lastColumn="0" w:oddVBand="0" w:evenVBand="0" w:oddHBand="0" w:evenHBand="0" w:firstRowFirstColumn="0" w:firstRowLastColumn="0" w:lastRowFirstColumn="0" w:lastRowLastColumn="0"/>
            <w:tcW w:w="3652" w:type="dxa"/>
            <w:noWrap/>
            <w:hideMark/>
          </w:tcPr>
          <w:p w:rsidR="00B007C7" w:rsidRPr="00B007C7" w:rsidRDefault="00B007C7" w:rsidP="00DB5002">
            <w:pPr>
              <w:keepNext/>
            </w:pPr>
            <w:r w:rsidRPr="00B007C7">
              <w:t>Indexation of capital base</w:t>
            </w:r>
          </w:p>
        </w:tc>
        <w:tc>
          <w:tcPr>
            <w:tcW w:w="1018" w:type="dxa"/>
            <w:gridSpan w:val="2"/>
            <w:noWrap/>
          </w:tcPr>
          <w:p w:rsidR="00B007C7" w:rsidRPr="00B007C7" w:rsidRDefault="00B007C7" w:rsidP="00DB5002">
            <w:pPr>
              <w:keepNext/>
              <w:cnfStyle w:val="000000000000" w:firstRow="0" w:lastRow="0" w:firstColumn="0" w:lastColumn="0" w:oddVBand="0" w:evenVBand="0" w:oddHBand="0" w:evenHBand="0" w:firstRowFirstColumn="0" w:firstRowLastColumn="0" w:lastRowFirstColumn="0" w:lastRowLastColumn="0"/>
            </w:pPr>
            <w:r w:rsidRPr="00B007C7">
              <w:t>16.2</w:t>
            </w:r>
          </w:p>
        </w:tc>
        <w:tc>
          <w:tcPr>
            <w:tcW w:w="1018" w:type="dxa"/>
            <w:gridSpan w:val="2"/>
            <w:noWrap/>
          </w:tcPr>
          <w:p w:rsidR="00B007C7" w:rsidRPr="00B007C7" w:rsidRDefault="00B007C7" w:rsidP="00DB5002">
            <w:pPr>
              <w:keepNext/>
              <w:cnfStyle w:val="000000000000" w:firstRow="0" w:lastRow="0" w:firstColumn="0" w:lastColumn="0" w:oddVBand="0" w:evenVBand="0" w:oddHBand="0" w:evenHBand="0" w:firstRowFirstColumn="0" w:firstRowLastColumn="0" w:lastRowFirstColumn="0" w:lastRowLastColumn="0"/>
            </w:pPr>
            <w:r w:rsidRPr="00B007C7">
              <w:t>26.8</w:t>
            </w:r>
          </w:p>
        </w:tc>
        <w:tc>
          <w:tcPr>
            <w:tcW w:w="1018" w:type="dxa"/>
            <w:gridSpan w:val="2"/>
            <w:noWrap/>
          </w:tcPr>
          <w:p w:rsidR="00B007C7" w:rsidRPr="00B007C7" w:rsidRDefault="00B007C7" w:rsidP="00DB5002">
            <w:pPr>
              <w:keepNext/>
              <w:cnfStyle w:val="000000000000" w:firstRow="0" w:lastRow="0" w:firstColumn="0" w:lastColumn="0" w:oddVBand="0" w:evenVBand="0" w:oddHBand="0" w:evenHBand="0" w:firstRowFirstColumn="0" w:firstRowLastColumn="0" w:lastRowFirstColumn="0" w:lastRowLastColumn="0"/>
            </w:pPr>
            <w:r w:rsidRPr="00B007C7">
              <w:t>33.4</w:t>
            </w:r>
          </w:p>
        </w:tc>
        <w:tc>
          <w:tcPr>
            <w:tcW w:w="1018" w:type="dxa"/>
            <w:gridSpan w:val="2"/>
            <w:noWrap/>
          </w:tcPr>
          <w:p w:rsidR="00B007C7" w:rsidRPr="00B007C7" w:rsidRDefault="00B007C7" w:rsidP="00DB5002">
            <w:pPr>
              <w:keepNext/>
              <w:cnfStyle w:val="000000000000" w:firstRow="0" w:lastRow="0" w:firstColumn="0" w:lastColumn="0" w:oddVBand="0" w:evenVBand="0" w:oddHBand="0" w:evenHBand="0" w:firstRowFirstColumn="0" w:firstRowLastColumn="0" w:lastRowFirstColumn="0" w:lastRowLastColumn="0"/>
            </w:pPr>
            <w:r w:rsidRPr="00B007C7">
              <w:t>16.3</w:t>
            </w:r>
          </w:p>
        </w:tc>
        <w:tc>
          <w:tcPr>
            <w:tcW w:w="1019" w:type="dxa"/>
            <w:noWrap/>
          </w:tcPr>
          <w:p w:rsidR="00B007C7" w:rsidRPr="00B007C7" w:rsidRDefault="00B757C1" w:rsidP="00DB5002">
            <w:pPr>
              <w:keepNext/>
              <w:cnfStyle w:val="000000000000" w:firstRow="0" w:lastRow="0" w:firstColumn="0" w:lastColumn="0" w:oddVBand="0" w:evenVBand="0" w:oddHBand="0" w:evenHBand="0" w:firstRowFirstColumn="0" w:firstRowLastColumn="0" w:lastRowFirstColumn="0" w:lastRowLastColumn="0"/>
            </w:pPr>
            <w:r>
              <w:t>17.1</w:t>
            </w:r>
          </w:p>
        </w:tc>
      </w:tr>
      <w:tr w:rsidR="00B007C7" w:rsidRPr="00AC15AE" w:rsidTr="00575D02">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652" w:type="dxa"/>
            <w:noWrap/>
            <w:hideMark/>
          </w:tcPr>
          <w:p w:rsidR="00B007C7" w:rsidRPr="00B007C7" w:rsidRDefault="00B007C7" w:rsidP="00DB5002">
            <w:pPr>
              <w:keepNext/>
            </w:pPr>
            <w:r w:rsidRPr="00B007C7">
              <w:t>Depreciation</w:t>
            </w:r>
          </w:p>
        </w:tc>
        <w:tc>
          <w:tcPr>
            <w:tcW w:w="1018" w:type="dxa"/>
            <w:gridSpan w:val="2"/>
            <w:noWrap/>
          </w:tcPr>
          <w:p w:rsidR="00B007C7" w:rsidRPr="00B007C7" w:rsidRDefault="00BB2DCC" w:rsidP="00DB5002">
            <w:pPr>
              <w:keepNext/>
              <w:cnfStyle w:val="000000010000" w:firstRow="0" w:lastRow="0" w:firstColumn="0" w:lastColumn="0" w:oddVBand="0" w:evenVBand="0" w:oddHBand="0" w:evenHBand="1" w:firstRowFirstColumn="0" w:firstRowLastColumn="0" w:lastRowFirstColumn="0" w:lastRowLastColumn="0"/>
            </w:pPr>
            <w:r>
              <w:t>–</w:t>
            </w:r>
            <w:r w:rsidR="00B007C7" w:rsidRPr="00B007C7">
              <w:t>27.5</w:t>
            </w:r>
          </w:p>
        </w:tc>
        <w:tc>
          <w:tcPr>
            <w:tcW w:w="1018" w:type="dxa"/>
            <w:gridSpan w:val="2"/>
            <w:noWrap/>
          </w:tcPr>
          <w:p w:rsidR="00B007C7" w:rsidRPr="00B007C7" w:rsidRDefault="00BB2DCC" w:rsidP="00DB5002">
            <w:pPr>
              <w:keepNext/>
              <w:cnfStyle w:val="000000010000" w:firstRow="0" w:lastRow="0" w:firstColumn="0" w:lastColumn="0" w:oddVBand="0" w:evenVBand="0" w:oddHBand="0" w:evenHBand="1" w:firstRowFirstColumn="0" w:firstRowLastColumn="0" w:lastRowFirstColumn="0" w:lastRowLastColumn="0"/>
            </w:pPr>
            <w:r>
              <w:t>–</w:t>
            </w:r>
            <w:r w:rsidR="00B007C7" w:rsidRPr="00B007C7">
              <w:t>41.4</w:t>
            </w:r>
          </w:p>
        </w:tc>
        <w:tc>
          <w:tcPr>
            <w:tcW w:w="1018" w:type="dxa"/>
            <w:gridSpan w:val="2"/>
            <w:noWrap/>
          </w:tcPr>
          <w:p w:rsidR="00B007C7" w:rsidRPr="00B007C7" w:rsidRDefault="00BB2DCC" w:rsidP="00DB5002">
            <w:pPr>
              <w:keepNext/>
              <w:cnfStyle w:val="000000010000" w:firstRow="0" w:lastRow="0" w:firstColumn="0" w:lastColumn="0" w:oddVBand="0" w:evenVBand="0" w:oddHBand="0" w:evenHBand="1" w:firstRowFirstColumn="0" w:firstRowLastColumn="0" w:lastRowFirstColumn="0" w:lastRowLastColumn="0"/>
            </w:pPr>
            <w:r>
              <w:t>–</w:t>
            </w:r>
            <w:r w:rsidR="00B007C7" w:rsidRPr="00B007C7">
              <w:t>45.4</w:t>
            </w:r>
          </w:p>
        </w:tc>
        <w:tc>
          <w:tcPr>
            <w:tcW w:w="1018" w:type="dxa"/>
            <w:gridSpan w:val="2"/>
            <w:noWrap/>
          </w:tcPr>
          <w:p w:rsidR="00B007C7" w:rsidRPr="00B007C7" w:rsidRDefault="00BB2DCC" w:rsidP="00DB5002">
            <w:pPr>
              <w:keepNext/>
              <w:cnfStyle w:val="000000010000" w:firstRow="0" w:lastRow="0" w:firstColumn="0" w:lastColumn="0" w:oddVBand="0" w:evenVBand="0" w:oddHBand="0" w:evenHBand="1" w:firstRowFirstColumn="0" w:firstRowLastColumn="0" w:lastRowFirstColumn="0" w:lastRowLastColumn="0"/>
            </w:pPr>
            <w:r>
              <w:t>–</w:t>
            </w:r>
            <w:r w:rsidR="00B007C7" w:rsidRPr="00B007C7">
              <w:t>49.9</w:t>
            </w:r>
          </w:p>
        </w:tc>
        <w:tc>
          <w:tcPr>
            <w:tcW w:w="1019" w:type="dxa"/>
            <w:noWrap/>
          </w:tcPr>
          <w:p w:rsidR="00B007C7" w:rsidRPr="00B007C7" w:rsidRDefault="00BB2DCC" w:rsidP="00DB5002">
            <w:pPr>
              <w:keepNext/>
              <w:cnfStyle w:val="000000010000" w:firstRow="0" w:lastRow="0" w:firstColumn="0" w:lastColumn="0" w:oddVBand="0" w:evenVBand="0" w:oddHBand="0" w:evenHBand="1" w:firstRowFirstColumn="0" w:firstRowLastColumn="0" w:lastRowFirstColumn="0" w:lastRowLastColumn="0"/>
            </w:pPr>
            <w:r>
              <w:t>–</w:t>
            </w:r>
            <w:r w:rsidR="00B007C7" w:rsidRPr="00B007C7">
              <w:t>51.9</w:t>
            </w:r>
          </w:p>
        </w:tc>
      </w:tr>
      <w:tr w:rsidR="00B007C7" w:rsidRPr="00AC15AE" w:rsidTr="00575D02">
        <w:trPr>
          <w:trHeight w:val="429"/>
        </w:trPr>
        <w:tc>
          <w:tcPr>
            <w:cnfStyle w:val="001000000000" w:firstRow="0" w:lastRow="0" w:firstColumn="1" w:lastColumn="0" w:oddVBand="0" w:evenVBand="0" w:oddHBand="0" w:evenHBand="0" w:firstRowFirstColumn="0" w:firstRowLastColumn="0" w:lastRowFirstColumn="0" w:lastRowLastColumn="0"/>
            <w:tcW w:w="3652" w:type="dxa"/>
            <w:noWrap/>
            <w:hideMark/>
          </w:tcPr>
          <w:p w:rsidR="00B007C7" w:rsidRPr="00B007C7" w:rsidRDefault="00B007C7" w:rsidP="00DB5002">
            <w:pPr>
              <w:keepNext/>
            </w:pPr>
            <w:r w:rsidRPr="00B007C7">
              <w:t xml:space="preserve">Closing capital base </w:t>
            </w:r>
          </w:p>
        </w:tc>
        <w:tc>
          <w:tcPr>
            <w:tcW w:w="1018" w:type="dxa"/>
            <w:gridSpan w:val="2"/>
            <w:noWrap/>
          </w:tcPr>
          <w:p w:rsidR="00B007C7" w:rsidRPr="00B007C7" w:rsidRDefault="00B007C7" w:rsidP="00DB5002">
            <w:pPr>
              <w:keepNext/>
              <w:cnfStyle w:val="000000000000" w:firstRow="0" w:lastRow="0" w:firstColumn="0" w:lastColumn="0" w:oddVBand="0" w:evenVBand="0" w:oddHBand="0" w:evenHBand="0" w:firstRowFirstColumn="0" w:firstRowLastColumn="0" w:lastRowFirstColumn="0" w:lastRowLastColumn="0"/>
            </w:pPr>
            <w:r w:rsidRPr="00B007C7">
              <w:t>1070.7</w:t>
            </w:r>
          </w:p>
        </w:tc>
        <w:tc>
          <w:tcPr>
            <w:tcW w:w="1018" w:type="dxa"/>
            <w:gridSpan w:val="2"/>
            <w:noWrap/>
          </w:tcPr>
          <w:p w:rsidR="00B007C7" w:rsidRPr="00B007C7" w:rsidRDefault="00B007C7" w:rsidP="00DB5002">
            <w:pPr>
              <w:keepNext/>
              <w:cnfStyle w:val="000000000000" w:firstRow="0" w:lastRow="0" w:firstColumn="0" w:lastColumn="0" w:oddVBand="0" w:evenVBand="0" w:oddHBand="0" w:evenHBand="0" w:firstRowFirstColumn="0" w:firstRowLastColumn="0" w:lastRowFirstColumn="0" w:lastRowLastColumn="0"/>
            </w:pPr>
            <w:r w:rsidRPr="00B007C7">
              <w:t>1140.0</w:t>
            </w:r>
          </w:p>
        </w:tc>
        <w:tc>
          <w:tcPr>
            <w:tcW w:w="1018" w:type="dxa"/>
            <w:gridSpan w:val="2"/>
            <w:noWrap/>
          </w:tcPr>
          <w:p w:rsidR="00B007C7" w:rsidRPr="00B007C7" w:rsidRDefault="00B007C7" w:rsidP="00DB5002">
            <w:pPr>
              <w:keepNext/>
              <w:cnfStyle w:val="000000000000" w:firstRow="0" w:lastRow="0" w:firstColumn="0" w:lastColumn="0" w:oddVBand="0" w:evenVBand="0" w:oddHBand="0" w:evenHBand="0" w:firstRowFirstColumn="0" w:firstRowLastColumn="0" w:lastRowFirstColumn="0" w:lastRowLastColumn="0"/>
            </w:pPr>
            <w:r w:rsidRPr="00B007C7">
              <w:t>1230.8</w:t>
            </w:r>
          </w:p>
        </w:tc>
        <w:tc>
          <w:tcPr>
            <w:tcW w:w="1018" w:type="dxa"/>
            <w:gridSpan w:val="2"/>
            <w:noWrap/>
          </w:tcPr>
          <w:p w:rsidR="00B007C7" w:rsidRPr="00B007C7" w:rsidRDefault="00B007C7" w:rsidP="00DB5002">
            <w:pPr>
              <w:keepNext/>
              <w:cnfStyle w:val="000000000000" w:firstRow="0" w:lastRow="0" w:firstColumn="0" w:lastColumn="0" w:oddVBand="0" w:evenVBand="0" w:oddHBand="0" w:evenHBand="0" w:firstRowFirstColumn="0" w:firstRowLastColumn="0" w:lastRowFirstColumn="0" w:lastRowLastColumn="0"/>
            </w:pPr>
            <w:r w:rsidRPr="00B007C7">
              <w:t>1303.7</w:t>
            </w:r>
          </w:p>
        </w:tc>
        <w:tc>
          <w:tcPr>
            <w:tcW w:w="1019" w:type="dxa"/>
            <w:noWrap/>
          </w:tcPr>
          <w:p w:rsidR="00B007C7" w:rsidRPr="00B007C7" w:rsidRDefault="00B757C1" w:rsidP="00DB5002">
            <w:pPr>
              <w:keepNext/>
              <w:cnfStyle w:val="000000000000" w:firstRow="0" w:lastRow="0" w:firstColumn="0" w:lastColumn="0" w:oddVBand="0" w:evenVBand="0" w:oddHBand="0" w:evenHBand="0" w:firstRowFirstColumn="0" w:firstRowLastColumn="0" w:lastRowFirstColumn="0" w:lastRowLastColumn="0"/>
            </w:pPr>
            <w:r>
              <w:t>1392.3</w:t>
            </w:r>
          </w:p>
        </w:tc>
      </w:tr>
      <w:tr w:rsidR="00B007C7" w:rsidRPr="00AC15AE" w:rsidTr="00575D02">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3652" w:type="dxa"/>
            <w:noWrap/>
            <w:hideMark/>
          </w:tcPr>
          <w:p w:rsidR="00B007C7" w:rsidRPr="00B007C7" w:rsidRDefault="00B007C7" w:rsidP="00DB5002">
            <w:pPr>
              <w:keepNext/>
            </w:pPr>
            <w:r w:rsidRPr="00B007C7">
              <w:t>Adjustment for difference between estimated and actual capital expenditure in 2010–11</w:t>
            </w:r>
            <w:r w:rsidRPr="00B007C7">
              <w:rPr>
                <w:rStyle w:val="AERsuperscript"/>
              </w:rPr>
              <w:t>a</w:t>
            </w:r>
          </w:p>
        </w:tc>
        <w:tc>
          <w:tcPr>
            <w:tcW w:w="1018" w:type="dxa"/>
            <w:gridSpan w:val="2"/>
            <w:noWrap/>
          </w:tcPr>
          <w:p w:rsidR="00B007C7" w:rsidRPr="00B007C7" w:rsidRDefault="00B007C7" w:rsidP="00DB5002">
            <w:pPr>
              <w:keepNext/>
              <w:cnfStyle w:val="000000010000" w:firstRow="0" w:lastRow="0" w:firstColumn="0" w:lastColumn="0" w:oddVBand="0" w:evenVBand="0" w:oddHBand="0" w:evenHBand="1" w:firstRowFirstColumn="0" w:firstRowLastColumn="0" w:lastRowFirstColumn="0" w:lastRowLastColumn="0"/>
            </w:pPr>
            <w:r w:rsidRPr="00B007C7">
              <w:t> </w:t>
            </w:r>
          </w:p>
        </w:tc>
        <w:tc>
          <w:tcPr>
            <w:tcW w:w="1018" w:type="dxa"/>
            <w:gridSpan w:val="2"/>
            <w:noWrap/>
          </w:tcPr>
          <w:p w:rsidR="00B007C7" w:rsidRPr="00B007C7" w:rsidRDefault="00B007C7" w:rsidP="00DB5002">
            <w:pPr>
              <w:keepNext/>
              <w:cnfStyle w:val="000000010000" w:firstRow="0" w:lastRow="0" w:firstColumn="0" w:lastColumn="0" w:oddVBand="0" w:evenVBand="0" w:oddHBand="0" w:evenHBand="1" w:firstRowFirstColumn="0" w:firstRowLastColumn="0" w:lastRowFirstColumn="0" w:lastRowLastColumn="0"/>
            </w:pPr>
            <w:r w:rsidRPr="00B007C7">
              <w:t> </w:t>
            </w:r>
          </w:p>
        </w:tc>
        <w:tc>
          <w:tcPr>
            <w:tcW w:w="1018" w:type="dxa"/>
            <w:gridSpan w:val="2"/>
            <w:noWrap/>
          </w:tcPr>
          <w:p w:rsidR="00B007C7" w:rsidRPr="00B007C7" w:rsidRDefault="00B007C7" w:rsidP="00DB5002">
            <w:pPr>
              <w:keepNext/>
              <w:cnfStyle w:val="000000010000" w:firstRow="0" w:lastRow="0" w:firstColumn="0" w:lastColumn="0" w:oddVBand="0" w:evenVBand="0" w:oddHBand="0" w:evenHBand="1" w:firstRowFirstColumn="0" w:firstRowLastColumn="0" w:lastRowFirstColumn="0" w:lastRowLastColumn="0"/>
            </w:pPr>
            <w:r w:rsidRPr="00B007C7">
              <w:t> </w:t>
            </w:r>
          </w:p>
        </w:tc>
        <w:tc>
          <w:tcPr>
            <w:tcW w:w="1018" w:type="dxa"/>
            <w:gridSpan w:val="2"/>
            <w:noWrap/>
          </w:tcPr>
          <w:p w:rsidR="00B007C7" w:rsidRPr="00B007C7" w:rsidRDefault="00B007C7" w:rsidP="00DB5002">
            <w:pPr>
              <w:keepNext/>
              <w:cnfStyle w:val="000000010000" w:firstRow="0" w:lastRow="0" w:firstColumn="0" w:lastColumn="0" w:oddVBand="0" w:evenVBand="0" w:oddHBand="0" w:evenHBand="1" w:firstRowFirstColumn="0" w:firstRowLastColumn="0" w:lastRowFirstColumn="0" w:lastRowLastColumn="0"/>
            </w:pPr>
            <w:r w:rsidRPr="00B007C7">
              <w:t> </w:t>
            </w:r>
          </w:p>
        </w:tc>
        <w:tc>
          <w:tcPr>
            <w:tcW w:w="1019" w:type="dxa"/>
            <w:noWrap/>
          </w:tcPr>
          <w:p w:rsidR="00B007C7" w:rsidRPr="00B007C7" w:rsidRDefault="00BB2DCC" w:rsidP="00DB5002">
            <w:pPr>
              <w:keepNext/>
              <w:cnfStyle w:val="000000010000" w:firstRow="0" w:lastRow="0" w:firstColumn="0" w:lastColumn="0" w:oddVBand="0" w:evenVBand="0" w:oddHBand="0" w:evenHBand="1" w:firstRowFirstColumn="0" w:firstRowLastColumn="0" w:lastRowFirstColumn="0" w:lastRowLastColumn="0"/>
            </w:pPr>
            <w:r>
              <w:t>–</w:t>
            </w:r>
            <w:r w:rsidR="00B007C7" w:rsidRPr="00B007C7">
              <w:t>6.7</w:t>
            </w:r>
          </w:p>
        </w:tc>
      </w:tr>
      <w:tr w:rsidR="00B007C7" w:rsidRPr="00B007C7" w:rsidTr="00575D02">
        <w:trPr>
          <w:trHeight w:val="303"/>
        </w:trPr>
        <w:tc>
          <w:tcPr>
            <w:cnfStyle w:val="001000000000" w:firstRow="0" w:lastRow="0" w:firstColumn="1" w:lastColumn="0" w:oddVBand="0" w:evenVBand="0" w:oddHBand="0" w:evenHBand="0" w:firstRowFirstColumn="0" w:firstRowLastColumn="0" w:lastRowFirstColumn="0" w:lastRowLastColumn="0"/>
            <w:tcW w:w="3652" w:type="dxa"/>
            <w:noWrap/>
            <w:hideMark/>
          </w:tcPr>
          <w:p w:rsidR="00B007C7" w:rsidRPr="00B007C7" w:rsidRDefault="00B007C7" w:rsidP="00DB5002">
            <w:pPr>
              <w:keepNext/>
              <w:rPr>
                <w:rStyle w:val="Strong"/>
              </w:rPr>
            </w:pPr>
            <w:r w:rsidRPr="00B007C7">
              <w:rPr>
                <w:rStyle w:val="Strong"/>
              </w:rPr>
              <w:t>Opening capital base at 1 July 2016</w:t>
            </w:r>
          </w:p>
        </w:tc>
        <w:tc>
          <w:tcPr>
            <w:tcW w:w="811" w:type="dxa"/>
            <w:noWrap/>
          </w:tcPr>
          <w:p w:rsidR="00B007C7" w:rsidRPr="00B007C7" w:rsidRDefault="00B007C7" w:rsidP="00DB5002">
            <w:pPr>
              <w:keepNext/>
              <w:cnfStyle w:val="000000000000" w:firstRow="0" w:lastRow="0" w:firstColumn="0" w:lastColumn="0" w:oddVBand="0" w:evenVBand="0" w:oddHBand="0" w:evenHBand="0" w:firstRowFirstColumn="0" w:firstRowLastColumn="0" w:lastRowFirstColumn="0" w:lastRowLastColumn="0"/>
              <w:rPr>
                <w:rStyle w:val="Strong"/>
              </w:rPr>
            </w:pPr>
            <w:r w:rsidRPr="00B007C7">
              <w:t> </w:t>
            </w:r>
          </w:p>
        </w:tc>
        <w:tc>
          <w:tcPr>
            <w:tcW w:w="1070" w:type="dxa"/>
            <w:gridSpan w:val="2"/>
            <w:noWrap/>
          </w:tcPr>
          <w:p w:rsidR="00B007C7" w:rsidRPr="00B007C7" w:rsidRDefault="00B007C7" w:rsidP="00DB5002">
            <w:pPr>
              <w:keepNext/>
              <w:cnfStyle w:val="000000000000" w:firstRow="0" w:lastRow="0" w:firstColumn="0" w:lastColumn="0" w:oddVBand="0" w:evenVBand="0" w:oddHBand="0" w:evenHBand="0" w:firstRowFirstColumn="0" w:firstRowLastColumn="0" w:lastRowFirstColumn="0" w:lastRowLastColumn="0"/>
              <w:rPr>
                <w:rStyle w:val="Strong"/>
              </w:rPr>
            </w:pPr>
            <w:r w:rsidRPr="00B007C7">
              <w:t> </w:t>
            </w:r>
          </w:p>
        </w:tc>
        <w:tc>
          <w:tcPr>
            <w:tcW w:w="1070" w:type="dxa"/>
            <w:gridSpan w:val="2"/>
            <w:noWrap/>
          </w:tcPr>
          <w:p w:rsidR="00B007C7" w:rsidRPr="00B007C7" w:rsidRDefault="00B007C7" w:rsidP="00DB5002">
            <w:pPr>
              <w:keepNext/>
              <w:cnfStyle w:val="000000000000" w:firstRow="0" w:lastRow="0" w:firstColumn="0" w:lastColumn="0" w:oddVBand="0" w:evenVBand="0" w:oddHBand="0" w:evenHBand="0" w:firstRowFirstColumn="0" w:firstRowLastColumn="0" w:lastRowFirstColumn="0" w:lastRowLastColumn="0"/>
              <w:rPr>
                <w:rStyle w:val="Strong"/>
              </w:rPr>
            </w:pPr>
            <w:r w:rsidRPr="00B007C7">
              <w:t> </w:t>
            </w:r>
          </w:p>
        </w:tc>
        <w:tc>
          <w:tcPr>
            <w:tcW w:w="1070" w:type="dxa"/>
            <w:gridSpan w:val="2"/>
            <w:noWrap/>
          </w:tcPr>
          <w:p w:rsidR="00B007C7" w:rsidRPr="00B007C7" w:rsidRDefault="00B007C7" w:rsidP="00DB5002">
            <w:pPr>
              <w:keepNext/>
              <w:cnfStyle w:val="000000000000" w:firstRow="0" w:lastRow="0" w:firstColumn="0" w:lastColumn="0" w:oddVBand="0" w:evenVBand="0" w:oddHBand="0" w:evenHBand="0" w:firstRowFirstColumn="0" w:firstRowLastColumn="0" w:lastRowFirstColumn="0" w:lastRowLastColumn="0"/>
              <w:rPr>
                <w:rStyle w:val="Strong"/>
              </w:rPr>
            </w:pPr>
            <w:r w:rsidRPr="00B007C7">
              <w:t> </w:t>
            </w:r>
          </w:p>
        </w:tc>
        <w:tc>
          <w:tcPr>
            <w:tcW w:w="1070" w:type="dxa"/>
            <w:gridSpan w:val="2"/>
            <w:noWrap/>
          </w:tcPr>
          <w:p w:rsidR="00B007C7" w:rsidRPr="00B007C7" w:rsidRDefault="00B757C1" w:rsidP="00DB5002">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1385.6</w:t>
            </w:r>
          </w:p>
        </w:tc>
      </w:tr>
    </w:tbl>
    <w:bookmarkEnd w:id="102"/>
    <w:p w:rsidR="00466253" w:rsidRPr="00466253" w:rsidRDefault="00466253" w:rsidP="00DB5002">
      <w:pPr>
        <w:pStyle w:val="AERtablesource"/>
        <w:keepNext/>
        <w:keepLines/>
        <w:rPr>
          <w:rFonts w:eastAsia="Calibri"/>
        </w:rPr>
      </w:pPr>
      <w:r w:rsidRPr="00466253">
        <w:rPr>
          <w:rFonts w:eastAsia="Calibri"/>
        </w:rPr>
        <w:t xml:space="preserve">Source: </w:t>
      </w:r>
      <w:r w:rsidRPr="00466253">
        <w:rPr>
          <w:rFonts w:eastAsia="Calibri"/>
        </w:rPr>
        <w:tab/>
        <w:t>AER analysis.</w:t>
      </w:r>
    </w:p>
    <w:p w:rsidR="00466253" w:rsidRPr="00466253" w:rsidRDefault="00466253" w:rsidP="00DB5002">
      <w:pPr>
        <w:pStyle w:val="AERtablesource"/>
        <w:keepNext/>
        <w:keepLines/>
        <w:rPr>
          <w:rFonts w:eastAsia="Calibri"/>
        </w:rPr>
      </w:pPr>
      <w:r w:rsidRPr="00466253">
        <w:rPr>
          <w:rFonts w:eastAsia="Calibri"/>
        </w:rPr>
        <w:t>(a)</w:t>
      </w:r>
      <w:r w:rsidRPr="00466253">
        <w:rPr>
          <w:rFonts w:eastAsia="Calibri"/>
        </w:rPr>
        <w:tab/>
        <w:t xml:space="preserve">Comprising the difference </w:t>
      </w:r>
      <w:r>
        <w:t xml:space="preserve">between the actual and estimated capex for 2010–11 </w:t>
      </w:r>
      <w:r w:rsidRPr="00466253">
        <w:rPr>
          <w:rFonts w:eastAsia="Calibri"/>
        </w:rPr>
        <w:t xml:space="preserve">and the return on that </w:t>
      </w:r>
      <w:r>
        <w:t>difference</w:t>
      </w:r>
      <w:r w:rsidRPr="00466253">
        <w:rPr>
          <w:rFonts w:eastAsia="Calibri"/>
        </w:rPr>
        <w:t>.</w:t>
      </w:r>
    </w:p>
    <w:p w:rsidR="00E2523C" w:rsidRPr="009656AB" w:rsidRDefault="00466253" w:rsidP="00E2523C">
      <w:pPr>
        <w:rPr>
          <w:rStyle w:val="AERbody"/>
        </w:rPr>
      </w:pPr>
      <w:bookmarkStart w:id="103" w:name="_Ref398891994"/>
      <w:r>
        <w:t>We determine a closing capital base of $</w:t>
      </w:r>
      <w:r w:rsidR="00B757C1">
        <w:t>19</w:t>
      </w:r>
      <w:r w:rsidR="00E43A6B">
        <w:t>0</w:t>
      </w:r>
      <w:r w:rsidR="00B757C1">
        <w:t>1</w:t>
      </w:r>
      <w:r w:rsidR="00E43A6B">
        <w:t>.9</w:t>
      </w:r>
      <w:r w:rsidR="00B007C7">
        <w:t xml:space="preserve"> </w:t>
      </w:r>
      <w:r>
        <w:t>million ($nominal) as at 30 June 2021. This is $</w:t>
      </w:r>
      <w:r w:rsidR="00E43A6B">
        <w:t>78.9</w:t>
      </w:r>
      <w:r w:rsidR="00B007C7">
        <w:t xml:space="preserve"> </w:t>
      </w:r>
      <w:r>
        <w:t xml:space="preserve">million (or </w:t>
      </w:r>
      <w:r w:rsidR="00E43A6B">
        <w:t>4.0</w:t>
      </w:r>
      <w:r w:rsidR="00B007C7">
        <w:t xml:space="preserve"> </w:t>
      </w:r>
      <w:r>
        <w:t>per cent) lower than AGN's revised proposal of $</w:t>
      </w:r>
      <w:r w:rsidR="00B007C7">
        <w:t xml:space="preserve">1980.8 </w:t>
      </w:r>
      <w:r>
        <w:t xml:space="preserve">million. </w:t>
      </w:r>
      <w:r w:rsidR="00E2523C" w:rsidRPr="009656AB">
        <w:rPr>
          <w:rStyle w:val="AERbody"/>
        </w:rPr>
        <w:t xml:space="preserve">This </w:t>
      </w:r>
      <w:r w:rsidR="00D1561B">
        <w:rPr>
          <w:rStyle w:val="AERbody"/>
        </w:rPr>
        <w:t xml:space="preserve">difference </w:t>
      </w:r>
      <w:r w:rsidR="00E2523C" w:rsidRPr="009656AB">
        <w:rPr>
          <w:rStyle w:val="AERbody"/>
        </w:rPr>
        <w:t xml:space="preserve">results from our </w:t>
      </w:r>
      <w:r w:rsidR="00E2523C">
        <w:t>final decision</w:t>
      </w:r>
      <w:r w:rsidR="00D1561B">
        <w:t>s</w:t>
      </w:r>
      <w:r w:rsidR="00E2523C">
        <w:t xml:space="preserve"> on other elements of AGN's revised proposal, which have:</w:t>
      </w:r>
    </w:p>
    <w:p w:rsidR="00E2523C" w:rsidRDefault="00B757C1" w:rsidP="00E2523C">
      <w:pPr>
        <w:pStyle w:val="AERbulletlistfirststyle"/>
        <w:rPr>
          <w:rStyle w:val="AERbody"/>
        </w:rPr>
      </w:pPr>
      <w:r>
        <w:rPr>
          <w:rStyle w:val="AERbody"/>
        </w:rPr>
        <w:t>reduced</w:t>
      </w:r>
      <w:r w:rsidR="00B007C7" w:rsidRPr="003C0C11">
        <w:rPr>
          <w:rStyle w:val="AERbody"/>
        </w:rPr>
        <w:t xml:space="preserve"> </w:t>
      </w:r>
      <w:r w:rsidR="00E2523C" w:rsidRPr="003C0C11">
        <w:rPr>
          <w:rStyle w:val="AERbody"/>
        </w:rPr>
        <w:t xml:space="preserve">AGN's </w:t>
      </w:r>
      <w:r w:rsidR="00E2523C">
        <w:rPr>
          <w:rStyle w:val="AERbody"/>
        </w:rPr>
        <w:t xml:space="preserve">revised proposed </w:t>
      </w:r>
      <w:r w:rsidR="00E2523C" w:rsidRPr="003C0C11">
        <w:rPr>
          <w:rStyle w:val="AERbody"/>
        </w:rPr>
        <w:t xml:space="preserve">opening capital base as at 1 July 2016 </w:t>
      </w:r>
      <w:r w:rsidR="00E2523C" w:rsidRPr="009656AB">
        <w:rPr>
          <w:rStyle w:val="AERbody"/>
        </w:rPr>
        <w:t>by $</w:t>
      </w:r>
      <w:r>
        <w:rPr>
          <w:rStyle w:val="AERbody"/>
        </w:rPr>
        <w:t>15.7</w:t>
      </w:r>
      <w:r w:rsidR="00E2523C" w:rsidRPr="009656AB">
        <w:rPr>
          <w:rStyle w:val="AERbody"/>
        </w:rPr>
        <w:t xml:space="preserve"> million ($nominal) or </w:t>
      </w:r>
      <w:r w:rsidR="00E43A6B">
        <w:rPr>
          <w:rStyle w:val="AERbody"/>
        </w:rPr>
        <w:t>1.1</w:t>
      </w:r>
      <w:r w:rsidR="00E2523C" w:rsidRPr="009656AB">
        <w:rPr>
          <w:rStyle w:val="AERbody"/>
        </w:rPr>
        <w:t xml:space="preserve"> per cent</w:t>
      </w:r>
      <w:r w:rsidR="00D1561B">
        <w:rPr>
          <w:rStyle w:val="AERbody"/>
        </w:rPr>
        <w:t>, as we discussed above</w:t>
      </w:r>
    </w:p>
    <w:p w:rsidR="00E2523C" w:rsidRPr="009656AB" w:rsidRDefault="00E2523C" w:rsidP="00E2523C">
      <w:pPr>
        <w:pStyle w:val="AERbulletlistfirststyle"/>
        <w:rPr>
          <w:rStyle w:val="AERbody"/>
        </w:rPr>
      </w:pPr>
      <w:r>
        <w:rPr>
          <w:rStyle w:val="AERbody"/>
        </w:rPr>
        <w:t xml:space="preserve">increased AGN's revised proposed forecast inflation </w:t>
      </w:r>
      <w:r w:rsidR="00D1561B">
        <w:rPr>
          <w:rStyle w:val="AERbody"/>
        </w:rPr>
        <w:t>for the 2016–21 access arrangement</w:t>
      </w:r>
      <w:r w:rsidR="00C96EA5">
        <w:rPr>
          <w:rStyle w:val="AERbody"/>
        </w:rPr>
        <w:t xml:space="preserve"> period</w:t>
      </w:r>
      <w:r w:rsidR="00D1561B">
        <w:rPr>
          <w:rStyle w:val="AERbody"/>
        </w:rPr>
        <w:t xml:space="preserve"> from </w:t>
      </w:r>
      <w:r w:rsidR="00B007C7">
        <w:rPr>
          <w:rStyle w:val="AERbody"/>
        </w:rPr>
        <w:t xml:space="preserve">2.01 </w:t>
      </w:r>
      <w:r w:rsidR="00D1561B">
        <w:rPr>
          <w:rStyle w:val="AERbody"/>
        </w:rPr>
        <w:t xml:space="preserve">per cent per annum </w:t>
      </w:r>
      <w:r>
        <w:rPr>
          <w:rStyle w:val="AERbody"/>
        </w:rPr>
        <w:t xml:space="preserve">to </w:t>
      </w:r>
      <w:r w:rsidR="00E43A6B">
        <w:rPr>
          <w:rStyle w:val="AERbody"/>
        </w:rPr>
        <w:t>2.39</w:t>
      </w:r>
      <w:r w:rsidR="00B007C7">
        <w:rPr>
          <w:rStyle w:val="AERbody"/>
        </w:rPr>
        <w:t xml:space="preserve"> </w:t>
      </w:r>
      <w:r>
        <w:rPr>
          <w:rStyle w:val="AERbody"/>
        </w:rPr>
        <w:t xml:space="preserve">per cent per annum </w:t>
      </w:r>
    </w:p>
    <w:p w:rsidR="00E2523C" w:rsidRPr="009656AB" w:rsidRDefault="00E2523C" w:rsidP="00E2523C">
      <w:pPr>
        <w:pStyle w:val="AERbulletlistfirststyle"/>
        <w:rPr>
          <w:rStyle w:val="AERbody"/>
        </w:rPr>
      </w:pPr>
      <w:r>
        <w:rPr>
          <w:rStyle w:val="AERbody"/>
        </w:rPr>
        <w:t>r</w:t>
      </w:r>
      <w:r w:rsidRPr="003C0C11">
        <w:rPr>
          <w:rStyle w:val="AERbody"/>
        </w:rPr>
        <w:t xml:space="preserve">educed AGN's </w:t>
      </w:r>
      <w:r>
        <w:rPr>
          <w:rStyle w:val="AERbody"/>
        </w:rPr>
        <w:t xml:space="preserve">revised </w:t>
      </w:r>
      <w:r w:rsidRPr="003C0C11">
        <w:rPr>
          <w:rStyle w:val="AERbody"/>
        </w:rPr>
        <w:t xml:space="preserve">proposed forecast net capex </w:t>
      </w:r>
      <w:r w:rsidR="00297214">
        <w:rPr>
          <w:rStyle w:val="AERbody"/>
        </w:rPr>
        <w:t>for the 2016–21 access arrangement</w:t>
      </w:r>
      <w:r w:rsidR="00297214" w:rsidRPr="003C0C11">
        <w:rPr>
          <w:rStyle w:val="AERbody"/>
        </w:rPr>
        <w:t xml:space="preserve"> </w:t>
      </w:r>
      <w:r w:rsidR="00C96EA5">
        <w:rPr>
          <w:rStyle w:val="AERbody"/>
        </w:rPr>
        <w:t xml:space="preserve">period </w:t>
      </w:r>
      <w:r w:rsidRPr="003C0C11">
        <w:rPr>
          <w:rStyle w:val="AERbody"/>
        </w:rPr>
        <w:t>by $</w:t>
      </w:r>
      <w:r w:rsidR="00E43A6B">
        <w:rPr>
          <w:rStyle w:val="AERbody"/>
        </w:rPr>
        <w:t>9</w:t>
      </w:r>
      <w:r w:rsidR="000E1A66">
        <w:rPr>
          <w:rStyle w:val="AERbody"/>
        </w:rPr>
        <w:t>2</w:t>
      </w:r>
      <w:r w:rsidR="00E43A6B">
        <w:rPr>
          <w:rStyle w:val="AERbody"/>
        </w:rPr>
        <w:t>.1</w:t>
      </w:r>
      <w:r w:rsidRPr="009656AB">
        <w:rPr>
          <w:rStyle w:val="AERbody"/>
        </w:rPr>
        <w:t xml:space="preserve"> million ($</w:t>
      </w:r>
      <w:r w:rsidR="000E1A66">
        <w:rPr>
          <w:rStyle w:val="AERbody"/>
        </w:rPr>
        <w:t>nominal</w:t>
      </w:r>
      <w:r w:rsidRPr="009656AB">
        <w:rPr>
          <w:rStyle w:val="AERbody"/>
        </w:rPr>
        <w:t xml:space="preserve">) or </w:t>
      </w:r>
      <w:r w:rsidR="00B007C7">
        <w:rPr>
          <w:rStyle w:val="AERbody"/>
        </w:rPr>
        <w:t>13.</w:t>
      </w:r>
      <w:r w:rsidR="000E1A66">
        <w:rPr>
          <w:rStyle w:val="AERbody"/>
        </w:rPr>
        <w:t>1</w:t>
      </w:r>
      <w:r w:rsidRPr="009656AB">
        <w:rPr>
          <w:rStyle w:val="AERbody"/>
        </w:rPr>
        <w:t xml:space="preserve"> </w:t>
      </w:r>
      <w:r w:rsidR="00D1561B">
        <w:rPr>
          <w:rStyle w:val="AERbody"/>
        </w:rPr>
        <w:t>per cent</w:t>
      </w:r>
      <w:r w:rsidRPr="009656AB">
        <w:rPr>
          <w:rStyle w:val="AERbody"/>
        </w:rPr>
        <w:t xml:space="preserve"> </w:t>
      </w:r>
    </w:p>
    <w:p w:rsidR="00466253" w:rsidRPr="009656AB" w:rsidRDefault="006B2EF9" w:rsidP="00E2523C">
      <w:pPr>
        <w:pStyle w:val="AERbulletlistfirststyle"/>
      </w:pPr>
      <w:r>
        <w:rPr>
          <w:rStyle w:val="AERbody"/>
        </w:rPr>
        <w:t>reduced</w:t>
      </w:r>
      <w:r w:rsidRPr="003C0C11">
        <w:rPr>
          <w:rStyle w:val="AERbody"/>
        </w:rPr>
        <w:t xml:space="preserve"> </w:t>
      </w:r>
      <w:r w:rsidR="00E2523C" w:rsidRPr="003C0C11">
        <w:rPr>
          <w:rStyle w:val="AERbody"/>
        </w:rPr>
        <w:t>AGN's</w:t>
      </w:r>
      <w:r w:rsidR="00E2523C">
        <w:rPr>
          <w:rStyle w:val="AERbody"/>
        </w:rPr>
        <w:t xml:space="preserve"> revised</w:t>
      </w:r>
      <w:r w:rsidR="00E2523C" w:rsidRPr="003C0C11">
        <w:rPr>
          <w:rStyle w:val="AERbody"/>
        </w:rPr>
        <w:t xml:space="preserve"> proposed forecast </w:t>
      </w:r>
      <w:r w:rsidR="00C97D79">
        <w:rPr>
          <w:rStyle w:val="AERbody"/>
        </w:rPr>
        <w:t xml:space="preserve">straight-line </w:t>
      </w:r>
      <w:r w:rsidR="00E2523C" w:rsidRPr="009656AB">
        <w:rPr>
          <w:rStyle w:val="AERbody"/>
        </w:rPr>
        <w:t xml:space="preserve">depreciation </w:t>
      </w:r>
      <w:r w:rsidR="00297214">
        <w:rPr>
          <w:rStyle w:val="AERbody"/>
        </w:rPr>
        <w:t>for the 2016–21 access arrangement</w:t>
      </w:r>
      <w:r w:rsidR="00C96EA5">
        <w:rPr>
          <w:rStyle w:val="AERbody"/>
        </w:rPr>
        <w:t xml:space="preserve"> period</w:t>
      </w:r>
      <w:r w:rsidR="00E2523C" w:rsidRPr="009656AB">
        <w:rPr>
          <w:rStyle w:val="AERbody"/>
        </w:rPr>
        <w:t xml:space="preserve"> by $</w:t>
      </w:r>
      <w:r w:rsidR="00E43A6B">
        <w:rPr>
          <w:rStyle w:val="AERbody"/>
        </w:rPr>
        <w:t>3</w:t>
      </w:r>
      <w:r w:rsidR="00B757C1">
        <w:rPr>
          <w:rStyle w:val="AERbody"/>
        </w:rPr>
        <w:t>.0</w:t>
      </w:r>
      <w:r w:rsidR="00E2523C" w:rsidRPr="009656AB">
        <w:rPr>
          <w:rStyle w:val="AERbody"/>
        </w:rPr>
        <w:t xml:space="preserve"> million ($nominal) or </w:t>
      </w:r>
      <w:r w:rsidR="00E43A6B">
        <w:rPr>
          <w:rStyle w:val="AERbody"/>
        </w:rPr>
        <w:t>one</w:t>
      </w:r>
      <w:r w:rsidR="00E2523C" w:rsidRPr="009656AB">
        <w:rPr>
          <w:rStyle w:val="AERbody"/>
        </w:rPr>
        <w:t xml:space="preserve"> per cent. </w:t>
      </w:r>
    </w:p>
    <w:p w:rsidR="00466253" w:rsidRPr="009656AB" w:rsidRDefault="00466253" w:rsidP="00466253">
      <w:pPr>
        <w:rPr>
          <w:rStyle w:val="AERbody"/>
        </w:rPr>
      </w:pPr>
      <w:r>
        <w:rPr>
          <w:rStyle w:val="AERbody"/>
        </w:rPr>
        <w:fldChar w:fldCharType="begin"/>
      </w:r>
      <w:r>
        <w:rPr>
          <w:rStyle w:val="AERbody"/>
        </w:rPr>
        <w:instrText xml:space="preserve"> REF _Ref447530711 \h </w:instrText>
      </w:r>
      <w:r>
        <w:rPr>
          <w:rStyle w:val="AERbody"/>
        </w:rPr>
      </w:r>
      <w:r>
        <w:rPr>
          <w:rStyle w:val="AERbody"/>
        </w:rPr>
        <w:fldChar w:fldCharType="separate"/>
      </w:r>
      <w:r w:rsidR="006E1111">
        <w:t xml:space="preserve">Table </w:t>
      </w:r>
      <w:r w:rsidR="006E1111">
        <w:rPr>
          <w:noProof/>
        </w:rPr>
        <w:t>5</w:t>
      </w:r>
      <w:r>
        <w:rPr>
          <w:rStyle w:val="AERbody"/>
        </w:rPr>
        <w:fldChar w:fldCharType="end"/>
      </w:r>
      <w:r>
        <w:rPr>
          <w:rStyle w:val="AERbody"/>
        </w:rPr>
        <w:t xml:space="preserve"> </w:t>
      </w:r>
      <w:r w:rsidRPr="009656AB">
        <w:rPr>
          <w:rStyle w:val="AERbody"/>
        </w:rPr>
        <w:t>sets out the projected roll forward of the capital base during the 2016–21 access arrangement period.</w:t>
      </w:r>
    </w:p>
    <w:p w:rsidR="00466253" w:rsidRPr="009656AB" w:rsidRDefault="00466253" w:rsidP="00DB5002">
      <w:pPr>
        <w:pStyle w:val="Caption"/>
        <w:keepLines/>
      </w:pPr>
      <w:bookmarkStart w:id="104" w:name="_Ref447530711"/>
      <w:bookmarkEnd w:id="103"/>
      <w:r>
        <w:t xml:space="preserve">Table </w:t>
      </w:r>
      <w:fldSimple w:instr=" SEQ Table \* ARABIC ">
        <w:r w:rsidR="006E1111">
          <w:rPr>
            <w:noProof/>
          </w:rPr>
          <w:t>5</w:t>
        </w:r>
      </w:fldSimple>
      <w:bookmarkEnd w:id="104"/>
      <w:r>
        <w:t xml:space="preserve"> </w:t>
      </w:r>
      <w:r w:rsidR="00D420C8">
        <w:tab/>
      </w:r>
      <w:r w:rsidRPr="009656AB">
        <w:t xml:space="preserve">AER’s </w:t>
      </w:r>
      <w:r>
        <w:t>final</w:t>
      </w:r>
      <w:r w:rsidRPr="009656AB">
        <w:t xml:space="preserve"> decision on projected capital base roll forward for the 2016–21 access arrangement period ($million, nominal)</w:t>
      </w:r>
      <w:bookmarkStart w:id="105" w:name="_Ref328757042"/>
    </w:p>
    <w:tbl>
      <w:tblPr>
        <w:tblStyle w:val="AERtable-numbers"/>
        <w:tblW w:w="8742" w:type="dxa"/>
        <w:tblLayout w:type="fixed"/>
        <w:tblLook w:val="04A0" w:firstRow="1" w:lastRow="0" w:firstColumn="1" w:lastColumn="0" w:noHBand="0" w:noVBand="1"/>
      </w:tblPr>
      <w:tblGrid>
        <w:gridCol w:w="2710"/>
        <w:gridCol w:w="1206"/>
        <w:gridCol w:w="1206"/>
        <w:gridCol w:w="1207"/>
        <w:gridCol w:w="1206"/>
        <w:gridCol w:w="1207"/>
      </w:tblGrid>
      <w:tr w:rsidR="00466253" w:rsidRPr="00360FC0" w:rsidTr="00575D02">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710" w:type="dxa"/>
            <w:tcBorders>
              <w:top w:val="nil"/>
              <w:left w:val="nil"/>
              <w:bottom w:val="nil"/>
              <w:right w:val="nil"/>
            </w:tcBorders>
            <w:noWrap/>
          </w:tcPr>
          <w:p w:rsidR="00466253" w:rsidRPr="00360FC0" w:rsidRDefault="00466253" w:rsidP="00DB5002">
            <w:pPr>
              <w:keepNext/>
              <w:keepLines/>
            </w:pPr>
          </w:p>
        </w:tc>
        <w:tc>
          <w:tcPr>
            <w:tcW w:w="1206" w:type="dxa"/>
            <w:tcBorders>
              <w:top w:val="nil"/>
              <w:left w:val="nil"/>
              <w:bottom w:val="nil"/>
              <w:right w:val="nil"/>
            </w:tcBorders>
            <w:noWrap/>
            <w:hideMark/>
          </w:tcPr>
          <w:p w:rsidR="00466253" w:rsidRPr="00466253" w:rsidRDefault="00466253" w:rsidP="00DB5002">
            <w:pPr>
              <w:keepNext/>
              <w:keepLines/>
              <w:cnfStyle w:val="100000000000" w:firstRow="1" w:lastRow="0" w:firstColumn="0" w:lastColumn="0" w:oddVBand="0" w:evenVBand="0" w:oddHBand="0" w:evenHBand="0" w:firstRowFirstColumn="0" w:firstRowLastColumn="0" w:lastRowFirstColumn="0" w:lastRowLastColumn="0"/>
            </w:pPr>
            <w:r w:rsidRPr="00360FC0">
              <w:t>2016–17</w:t>
            </w:r>
          </w:p>
        </w:tc>
        <w:tc>
          <w:tcPr>
            <w:tcW w:w="1206" w:type="dxa"/>
            <w:tcBorders>
              <w:top w:val="nil"/>
              <w:left w:val="nil"/>
              <w:bottom w:val="nil"/>
              <w:right w:val="nil"/>
            </w:tcBorders>
            <w:noWrap/>
            <w:hideMark/>
          </w:tcPr>
          <w:p w:rsidR="00466253" w:rsidRPr="00466253" w:rsidRDefault="00466253" w:rsidP="00DB5002">
            <w:pPr>
              <w:keepNext/>
              <w:keepLines/>
              <w:cnfStyle w:val="100000000000" w:firstRow="1" w:lastRow="0" w:firstColumn="0" w:lastColumn="0" w:oddVBand="0" w:evenVBand="0" w:oddHBand="0" w:evenHBand="0" w:firstRowFirstColumn="0" w:firstRowLastColumn="0" w:lastRowFirstColumn="0" w:lastRowLastColumn="0"/>
            </w:pPr>
            <w:r w:rsidRPr="00360FC0">
              <w:t>2017–18</w:t>
            </w:r>
          </w:p>
        </w:tc>
        <w:tc>
          <w:tcPr>
            <w:tcW w:w="1207" w:type="dxa"/>
            <w:tcBorders>
              <w:top w:val="nil"/>
              <w:left w:val="nil"/>
              <w:bottom w:val="nil"/>
              <w:right w:val="nil"/>
            </w:tcBorders>
            <w:noWrap/>
            <w:hideMark/>
          </w:tcPr>
          <w:p w:rsidR="00466253" w:rsidRPr="00466253" w:rsidRDefault="00466253" w:rsidP="00DB5002">
            <w:pPr>
              <w:keepNext/>
              <w:keepLines/>
              <w:cnfStyle w:val="100000000000" w:firstRow="1" w:lastRow="0" w:firstColumn="0" w:lastColumn="0" w:oddVBand="0" w:evenVBand="0" w:oddHBand="0" w:evenHBand="0" w:firstRowFirstColumn="0" w:firstRowLastColumn="0" w:lastRowFirstColumn="0" w:lastRowLastColumn="0"/>
            </w:pPr>
            <w:r w:rsidRPr="00360FC0">
              <w:t>2018–19</w:t>
            </w:r>
          </w:p>
        </w:tc>
        <w:tc>
          <w:tcPr>
            <w:tcW w:w="1206" w:type="dxa"/>
            <w:tcBorders>
              <w:top w:val="nil"/>
              <w:left w:val="nil"/>
              <w:bottom w:val="nil"/>
              <w:right w:val="nil"/>
            </w:tcBorders>
            <w:noWrap/>
            <w:hideMark/>
          </w:tcPr>
          <w:p w:rsidR="00466253" w:rsidRPr="00466253" w:rsidRDefault="00466253" w:rsidP="00DB5002">
            <w:pPr>
              <w:keepNext/>
              <w:keepLines/>
              <w:cnfStyle w:val="100000000000" w:firstRow="1" w:lastRow="0" w:firstColumn="0" w:lastColumn="0" w:oddVBand="0" w:evenVBand="0" w:oddHBand="0" w:evenHBand="0" w:firstRowFirstColumn="0" w:firstRowLastColumn="0" w:lastRowFirstColumn="0" w:lastRowLastColumn="0"/>
            </w:pPr>
            <w:r w:rsidRPr="00360FC0">
              <w:t>2019–20</w:t>
            </w:r>
          </w:p>
        </w:tc>
        <w:tc>
          <w:tcPr>
            <w:tcW w:w="1207" w:type="dxa"/>
            <w:tcBorders>
              <w:top w:val="nil"/>
              <w:left w:val="nil"/>
              <w:bottom w:val="nil"/>
              <w:right w:val="nil"/>
            </w:tcBorders>
            <w:noWrap/>
            <w:hideMark/>
          </w:tcPr>
          <w:p w:rsidR="00466253" w:rsidRPr="00466253" w:rsidRDefault="00466253" w:rsidP="00DB5002">
            <w:pPr>
              <w:keepNext/>
              <w:keepLines/>
              <w:cnfStyle w:val="100000000000" w:firstRow="1" w:lastRow="0" w:firstColumn="0" w:lastColumn="0" w:oddVBand="0" w:evenVBand="0" w:oddHBand="0" w:evenHBand="0" w:firstRowFirstColumn="0" w:firstRowLastColumn="0" w:lastRowFirstColumn="0" w:lastRowLastColumn="0"/>
            </w:pPr>
            <w:r w:rsidRPr="00360FC0">
              <w:t>2020–21</w:t>
            </w:r>
          </w:p>
        </w:tc>
      </w:tr>
      <w:tr w:rsidR="00123BC4" w:rsidRPr="00360FC0" w:rsidTr="00575D02">
        <w:trPr>
          <w:trHeight w:val="353"/>
        </w:trPr>
        <w:tc>
          <w:tcPr>
            <w:cnfStyle w:val="001000000000" w:firstRow="0" w:lastRow="0" w:firstColumn="1" w:lastColumn="0" w:oddVBand="0" w:evenVBand="0" w:oddHBand="0" w:evenHBand="0" w:firstRowFirstColumn="0" w:firstRowLastColumn="0" w:lastRowFirstColumn="0" w:lastRowLastColumn="0"/>
            <w:tcW w:w="2710" w:type="dxa"/>
            <w:tcBorders>
              <w:top w:val="nil"/>
              <w:left w:val="nil"/>
              <w:bottom w:val="nil"/>
              <w:right w:val="nil"/>
            </w:tcBorders>
            <w:noWrap/>
            <w:hideMark/>
          </w:tcPr>
          <w:p w:rsidR="00123BC4" w:rsidRPr="00123BC4" w:rsidRDefault="00123BC4" w:rsidP="00DB5002">
            <w:pPr>
              <w:keepNext/>
            </w:pPr>
            <w:r w:rsidRPr="00123BC4">
              <w:t>Opening capital base</w:t>
            </w:r>
          </w:p>
        </w:tc>
        <w:tc>
          <w:tcPr>
            <w:tcW w:w="1206" w:type="dxa"/>
            <w:tcBorders>
              <w:top w:val="nil"/>
              <w:left w:val="nil"/>
              <w:bottom w:val="nil"/>
              <w:right w:val="nil"/>
            </w:tcBorders>
            <w:noWrap/>
          </w:tcPr>
          <w:p w:rsidR="00123BC4" w:rsidRPr="00123BC4" w:rsidRDefault="00873929" w:rsidP="00DB5002">
            <w:pPr>
              <w:keepNext/>
              <w:cnfStyle w:val="000000000000" w:firstRow="0" w:lastRow="0" w:firstColumn="0" w:lastColumn="0" w:oddVBand="0" w:evenVBand="0" w:oddHBand="0" w:evenHBand="0" w:firstRowFirstColumn="0" w:firstRowLastColumn="0" w:lastRowFirstColumn="0" w:lastRowLastColumn="0"/>
            </w:pPr>
            <w:r>
              <w:t>1385.6</w:t>
            </w:r>
          </w:p>
        </w:tc>
        <w:tc>
          <w:tcPr>
            <w:tcW w:w="1206" w:type="dxa"/>
            <w:tcBorders>
              <w:top w:val="nil"/>
              <w:left w:val="nil"/>
              <w:bottom w:val="nil"/>
              <w:right w:val="nil"/>
            </w:tcBorders>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pPr>
            <w:r>
              <w:t>1491.4</w:t>
            </w:r>
          </w:p>
        </w:tc>
        <w:tc>
          <w:tcPr>
            <w:tcW w:w="1207" w:type="dxa"/>
            <w:tcBorders>
              <w:top w:val="nil"/>
              <w:left w:val="nil"/>
              <w:bottom w:val="nil"/>
              <w:right w:val="nil"/>
            </w:tcBorders>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pPr>
            <w:r>
              <w:t>1593.6</w:t>
            </w:r>
          </w:p>
        </w:tc>
        <w:tc>
          <w:tcPr>
            <w:tcW w:w="1206" w:type="dxa"/>
            <w:tcBorders>
              <w:top w:val="nil"/>
              <w:left w:val="nil"/>
              <w:bottom w:val="nil"/>
              <w:right w:val="nil"/>
            </w:tcBorders>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pPr>
            <w:r>
              <w:t>1699.2</w:t>
            </w:r>
          </w:p>
        </w:tc>
        <w:tc>
          <w:tcPr>
            <w:tcW w:w="1207" w:type="dxa"/>
            <w:tcBorders>
              <w:top w:val="nil"/>
              <w:left w:val="nil"/>
              <w:bottom w:val="nil"/>
              <w:right w:val="nil"/>
            </w:tcBorders>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pPr>
            <w:r>
              <w:t>1807.1</w:t>
            </w:r>
          </w:p>
        </w:tc>
      </w:tr>
      <w:tr w:rsidR="00123BC4" w:rsidRPr="00360FC0" w:rsidTr="00575D02">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710" w:type="dxa"/>
            <w:tcBorders>
              <w:top w:val="nil"/>
              <w:left w:val="nil"/>
              <w:bottom w:val="nil"/>
              <w:right w:val="nil"/>
            </w:tcBorders>
            <w:noWrap/>
            <w:hideMark/>
          </w:tcPr>
          <w:p w:rsidR="00123BC4" w:rsidRPr="00123BC4" w:rsidRDefault="00123BC4" w:rsidP="00DB5002">
            <w:pPr>
              <w:keepNext/>
            </w:pPr>
            <w:r w:rsidRPr="00123BC4">
              <w:t>Net capex</w:t>
            </w:r>
          </w:p>
        </w:tc>
        <w:tc>
          <w:tcPr>
            <w:tcW w:w="1206" w:type="dxa"/>
            <w:tcBorders>
              <w:top w:val="nil"/>
              <w:left w:val="nil"/>
              <w:bottom w:val="nil"/>
              <w:right w:val="nil"/>
            </w:tcBorders>
            <w:noWrap/>
          </w:tcPr>
          <w:p w:rsidR="00123BC4" w:rsidRPr="00123BC4" w:rsidRDefault="00E43A6B" w:rsidP="00DB5002">
            <w:pPr>
              <w:keepNext/>
              <w:cnfStyle w:val="000000010000" w:firstRow="0" w:lastRow="0" w:firstColumn="0" w:lastColumn="0" w:oddVBand="0" w:evenVBand="0" w:oddHBand="0" w:evenHBand="1" w:firstRowFirstColumn="0" w:firstRowLastColumn="0" w:lastRowFirstColumn="0" w:lastRowLastColumn="0"/>
            </w:pPr>
            <w:r>
              <w:t>116.9</w:t>
            </w:r>
          </w:p>
        </w:tc>
        <w:tc>
          <w:tcPr>
            <w:tcW w:w="1206" w:type="dxa"/>
            <w:tcBorders>
              <w:top w:val="nil"/>
              <w:left w:val="nil"/>
              <w:bottom w:val="nil"/>
              <w:right w:val="nil"/>
            </w:tcBorders>
            <w:noWrap/>
          </w:tcPr>
          <w:p w:rsidR="00123BC4" w:rsidRPr="00123BC4" w:rsidRDefault="00E43A6B" w:rsidP="00DB5002">
            <w:pPr>
              <w:keepNext/>
              <w:cnfStyle w:val="000000010000" w:firstRow="0" w:lastRow="0" w:firstColumn="0" w:lastColumn="0" w:oddVBand="0" w:evenVBand="0" w:oddHBand="0" w:evenHBand="1" w:firstRowFirstColumn="0" w:firstRowLastColumn="0" w:lastRowFirstColumn="0" w:lastRowLastColumn="0"/>
            </w:pPr>
            <w:r>
              <w:t>116.6</w:t>
            </w:r>
          </w:p>
        </w:tc>
        <w:tc>
          <w:tcPr>
            <w:tcW w:w="1207" w:type="dxa"/>
            <w:tcBorders>
              <w:top w:val="nil"/>
              <w:left w:val="nil"/>
              <w:bottom w:val="nil"/>
              <w:right w:val="nil"/>
            </w:tcBorders>
            <w:noWrap/>
          </w:tcPr>
          <w:p w:rsidR="00123BC4" w:rsidRPr="00123BC4" w:rsidRDefault="00E43A6B" w:rsidP="00DB5002">
            <w:pPr>
              <w:keepNext/>
              <w:cnfStyle w:val="000000010000" w:firstRow="0" w:lastRow="0" w:firstColumn="0" w:lastColumn="0" w:oddVBand="0" w:evenVBand="0" w:oddHBand="0" w:evenHBand="1" w:firstRowFirstColumn="0" w:firstRowLastColumn="0" w:lastRowFirstColumn="0" w:lastRowLastColumn="0"/>
            </w:pPr>
            <w:r>
              <w:t>125.2</w:t>
            </w:r>
          </w:p>
        </w:tc>
        <w:tc>
          <w:tcPr>
            <w:tcW w:w="1206" w:type="dxa"/>
            <w:tcBorders>
              <w:top w:val="nil"/>
              <w:left w:val="nil"/>
              <w:bottom w:val="nil"/>
              <w:right w:val="nil"/>
            </w:tcBorders>
            <w:noWrap/>
          </w:tcPr>
          <w:p w:rsidR="00123BC4" w:rsidRPr="00123BC4" w:rsidRDefault="00E43A6B" w:rsidP="00DB5002">
            <w:pPr>
              <w:keepNext/>
              <w:cnfStyle w:val="000000010000" w:firstRow="0" w:lastRow="0" w:firstColumn="0" w:lastColumn="0" w:oddVBand="0" w:evenVBand="0" w:oddHBand="0" w:evenHBand="1" w:firstRowFirstColumn="0" w:firstRowLastColumn="0" w:lastRowFirstColumn="0" w:lastRowLastColumn="0"/>
            </w:pPr>
            <w:r>
              <w:t>132.4</w:t>
            </w:r>
          </w:p>
        </w:tc>
        <w:tc>
          <w:tcPr>
            <w:tcW w:w="1207" w:type="dxa"/>
            <w:tcBorders>
              <w:top w:val="nil"/>
              <w:left w:val="nil"/>
              <w:bottom w:val="nil"/>
              <w:right w:val="nil"/>
            </w:tcBorders>
            <w:noWrap/>
          </w:tcPr>
          <w:p w:rsidR="00123BC4" w:rsidRPr="00123BC4" w:rsidRDefault="00E43A6B" w:rsidP="00DB5002">
            <w:pPr>
              <w:keepNext/>
              <w:cnfStyle w:val="000000010000" w:firstRow="0" w:lastRow="0" w:firstColumn="0" w:lastColumn="0" w:oddVBand="0" w:evenVBand="0" w:oddHBand="0" w:evenHBand="1" w:firstRowFirstColumn="0" w:firstRowLastColumn="0" w:lastRowFirstColumn="0" w:lastRowLastColumn="0"/>
            </w:pPr>
            <w:r>
              <w:t>118.8</w:t>
            </w:r>
          </w:p>
        </w:tc>
      </w:tr>
      <w:tr w:rsidR="00123BC4" w:rsidRPr="00360FC0" w:rsidTr="00575D02">
        <w:trPr>
          <w:trHeight w:val="423"/>
        </w:trPr>
        <w:tc>
          <w:tcPr>
            <w:cnfStyle w:val="001000000000" w:firstRow="0" w:lastRow="0" w:firstColumn="1" w:lastColumn="0" w:oddVBand="0" w:evenVBand="0" w:oddHBand="0" w:evenHBand="0" w:firstRowFirstColumn="0" w:firstRowLastColumn="0" w:lastRowFirstColumn="0" w:lastRowLastColumn="0"/>
            <w:tcW w:w="2710" w:type="dxa"/>
            <w:tcBorders>
              <w:top w:val="nil"/>
              <w:left w:val="nil"/>
              <w:bottom w:val="nil"/>
              <w:right w:val="nil"/>
            </w:tcBorders>
            <w:noWrap/>
            <w:hideMark/>
          </w:tcPr>
          <w:p w:rsidR="00123BC4" w:rsidRPr="00123BC4" w:rsidRDefault="00123BC4" w:rsidP="00DB5002">
            <w:pPr>
              <w:keepNext/>
            </w:pPr>
            <w:r w:rsidRPr="00123BC4">
              <w:t>Indexation of capital base</w:t>
            </w:r>
          </w:p>
        </w:tc>
        <w:tc>
          <w:tcPr>
            <w:tcW w:w="1206" w:type="dxa"/>
            <w:tcBorders>
              <w:top w:val="nil"/>
              <w:left w:val="nil"/>
              <w:bottom w:val="nil"/>
              <w:right w:val="nil"/>
            </w:tcBorders>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pPr>
            <w:r>
              <w:t>33.1</w:t>
            </w:r>
          </w:p>
        </w:tc>
        <w:tc>
          <w:tcPr>
            <w:tcW w:w="1206" w:type="dxa"/>
            <w:tcBorders>
              <w:top w:val="nil"/>
              <w:left w:val="nil"/>
              <w:bottom w:val="nil"/>
              <w:right w:val="nil"/>
            </w:tcBorders>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pPr>
            <w:r>
              <w:t>35.7</w:t>
            </w:r>
          </w:p>
        </w:tc>
        <w:tc>
          <w:tcPr>
            <w:tcW w:w="1207" w:type="dxa"/>
            <w:tcBorders>
              <w:top w:val="nil"/>
              <w:left w:val="nil"/>
              <w:bottom w:val="nil"/>
              <w:right w:val="nil"/>
            </w:tcBorders>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pPr>
            <w:r>
              <w:t>38.1</w:t>
            </w:r>
          </w:p>
        </w:tc>
        <w:tc>
          <w:tcPr>
            <w:tcW w:w="1206" w:type="dxa"/>
            <w:tcBorders>
              <w:top w:val="nil"/>
              <w:left w:val="nil"/>
              <w:bottom w:val="nil"/>
              <w:right w:val="nil"/>
            </w:tcBorders>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pPr>
            <w:r>
              <w:t>40.6</w:t>
            </w:r>
          </w:p>
        </w:tc>
        <w:tc>
          <w:tcPr>
            <w:tcW w:w="1207" w:type="dxa"/>
            <w:tcBorders>
              <w:top w:val="nil"/>
              <w:left w:val="nil"/>
              <w:bottom w:val="nil"/>
              <w:right w:val="nil"/>
            </w:tcBorders>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pPr>
            <w:r>
              <w:t>43.2</w:t>
            </w:r>
          </w:p>
        </w:tc>
      </w:tr>
      <w:tr w:rsidR="00123BC4" w:rsidRPr="00360FC0" w:rsidTr="00575D02">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710" w:type="dxa"/>
            <w:tcBorders>
              <w:top w:val="nil"/>
              <w:left w:val="nil"/>
              <w:bottom w:val="nil"/>
              <w:right w:val="nil"/>
            </w:tcBorders>
            <w:noWrap/>
            <w:hideMark/>
          </w:tcPr>
          <w:p w:rsidR="00123BC4" w:rsidRPr="00123BC4" w:rsidRDefault="00123BC4" w:rsidP="00DB5002">
            <w:pPr>
              <w:keepNext/>
            </w:pPr>
            <w:r w:rsidRPr="00123BC4">
              <w:t>Depreciation</w:t>
            </w:r>
          </w:p>
        </w:tc>
        <w:tc>
          <w:tcPr>
            <w:tcW w:w="1206" w:type="dxa"/>
            <w:tcBorders>
              <w:top w:val="nil"/>
              <w:left w:val="nil"/>
              <w:bottom w:val="nil"/>
              <w:right w:val="nil"/>
            </w:tcBorders>
            <w:noWrap/>
          </w:tcPr>
          <w:p w:rsidR="00123BC4" w:rsidRPr="00123BC4" w:rsidRDefault="00873929" w:rsidP="00DB5002">
            <w:pPr>
              <w:keepNext/>
              <w:cnfStyle w:val="000000010000" w:firstRow="0" w:lastRow="0" w:firstColumn="0" w:lastColumn="0" w:oddVBand="0" w:evenVBand="0" w:oddHBand="0" w:evenHBand="1" w:firstRowFirstColumn="0" w:firstRowLastColumn="0" w:lastRowFirstColumn="0" w:lastRowLastColumn="0"/>
            </w:pPr>
            <w:r>
              <w:t>–44.3</w:t>
            </w:r>
          </w:p>
        </w:tc>
        <w:tc>
          <w:tcPr>
            <w:tcW w:w="1206" w:type="dxa"/>
            <w:tcBorders>
              <w:top w:val="nil"/>
              <w:left w:val="nil"/>
              <w:bottom w:val="nil"/>
              <w:right w:val="nil"/>
            </w:tcBorders>
            <w:noWrap/>
          </w:tcPr>
          <w:p w:rsidR="00123BC4" w:rsidRPr="00123BC4" w:rsidRDefault="00D420C8" w:rsidP="00FA0D4B">
            <w:pPr>
              <w:keepNext/>
              <w:cnfStyle w:val="000000010000" w:firstRow="0" w:lastRow="0" w:firstColumn="0" w:lastColumn="0" w:oddVBand="0" w:evenVBand="0" w:oddHBand="0" w:evenHBand="1" w:firstRowFirstColumn="0" w:firstRowLastColumn="0" w:lastRowFirstColumn="0" w:lastRowLastColumn="0"/>
            </w:pPr>
            <w:r>
              <w:t>–</w:t>
            </w:r>
            <w:r w:rsidR="00E43A6B">
              <w:t>50.0</w:t>
            </w:r>
          </w:p>
        </w:tc>
        <w:tc>
          <w:tcPr>
            <w:tcW w:w="1207" w:type="dxa"/>
            <w:tcBorders>
              <w:top w:val="nil"/>
              <w:left w:val="nil"/>
              <w:bottom w:val="nil"/>
              <w:right w:val="nil"/>
            </w:tcBorders>
            <w:noWrap/>
          </w:tcPr>
          <w:p w:rsidR="00123BC4" w:rsidRPr="00123BC4" w:rsidRDefault="00D420C8" w:rsidP="00DB5002">
            <w:pPr>
              <w:keepNext/>
              <w:cnfStyle w:val="000000010000" w:firstRow="0" w:lastRow="0" w:firstColumn="0" w:lastColumn="0" w:oddVBand="0" w:evenVBand="0" w:oddHBand="0" w:evenHBand="1" w:firstRowFirstColumn="0" w:firstRowLastColumn="0" w:lastRowFirstColumn="0" w:lastRowLastColumn="0"/>
            </w:pPr>
            <w:r>
              <w:t>–</w:t>
            </w:r>
            <w:r w:rsidR="00E43A6B">
              <w:t>57.7</w:t>
            </w:r>
          </w:p>
        </w:tc>
        <w:tc>
          <w:tcPr>
            <w:tcW w:w="1206" w:type="dxa"/>
            <w:tcBorders>
              <w:top w:val="nil"/>
              <w:left w:val="nil"/>
              <w:bottom w:val="nil"/>
              <w:right w:val="nil"/>
            </w:tcBorders>
            <w:noWrap/>
          </w:tcPr>
          <w:p w:rsidR="00123BC4" w:rsidRPr="00123BC4" w:rsidRDefault="00D420C8" w:rsidP="00DB5002">
            <w:pPr>
              <w:keepNext/>
              <w:cnfStyle w:val="000000010000" w:firstRow="0" w:lastRow="0" w:firstColumn="0" w:lastColumn="0" w:oddVBand="0" w:evenVBand="0" w:oddHBand="0" w:evenHBand="1" w:firstRowFirstColumn="0" w:firstRowLastColumn="0" w:lastRowFirstColumn="0" w:lastRowLastColumn="0"/>
            </w:pPr>
            <w:r>
              <w:t>–</w:t>
            </w:r>
            <w:r w:rsidR="00E43A6B">
              <w:t>65.1</w:t>
            </w:r>
          </w:p>
        </w:tc>
        <w:tc>
          <w:tcPr>
            <w:tcW w:w="1207" w:type="dxa"/>
            <w:tcBorders>
              <w:top w:val="nil"/>
              <w:left w:val="nil"/>
              <w:bottom w:val="nil"/>
              <w:right w:val="nil"/>
            </w:tcBorders>
            <w:noWrap/>
          </w:tcPr>
          <w:p w:rsidR="00123BC4" w:rsidRPr="00123BC4" w:rsidRDefault="00D420C8" w:rsidP="00DB5002">
            <w:pPr>
              <w:keepNext/>
              <w:cnfStyle w:val="000000010000" w:firstRow="0" w:lastRow="0" w:firstColumn="0" w:lastColumn="0" w:oddVBand="0" w:evenVBand="0" w:oddHBand="0" w:evenHBand="1" w:firstRowFirstColumn="0" w:firstRowLastColumn="0" w:lastRowFirstColumn="0" w:lastRowLastColumn="0"/>
            </w:pPr>
            <w:r>
              <w:t>–</w:t>
            </w:r>
            <w:r w:rsidR="00E43A6B">
              <w:t>67.2</w:t>
            </w:r>
          </w:p>
        </w:tc>
      </w:tr>
      <w:tr w:rsidR="00123BC4" w:rsidRPr="00360FC0" w:rsidTr="00575D02">
        <w:trPr>
          <w:trHeight w:val="427"/>
        </w:trPr>
        <w:tc>
          <w:tcPr>
            <w:cnfStyle w:val="001000000000" w:firstRow="0" w:lastRow="0" w:firstColumn="1" w:lastColumn="0" w:oddVBand="0" w:evenVBand="0" w:oddHBand="0" w:evenHBand="0" w:firstRowFirstColumn="0" w:firstRowLastColumn="0" w:lastRowFirstColumn="0" w:lastRowLastColumn="0"/>
            <w:tcW w:w="2710" w:type="dxa"/>
            <w:tcBorders>
              <w:top w:val="nil"/>
              <w:left w:val="nil"/>
              <w:bottom w:val="single" w:sz="4" w:space="0" w:color="365F91"/>
              <w:right w:val="nil"/>
            </w:tcBorders>
            <w:noWrap/>
            <w:hideMark/>
          </w:tcPr>
          <w:p w:rsidR="00123BC4" w:rsidRPr="00123BC4" w:rsidRDefault="00123BC4" w:rsidP="00DB5002">
            <w:pPr>
              <w:keepNext/>
            </w:pPr>
            <w:r w:rsidRPr="00123BC4">
              <w:t>Closing capital base</w:t>
            </w:r>
          </w:p>
        </w:tc>
        <w:tc>
          <w:tcPr>
            <w:tcW w:w="1206" w:type="dxa"/>
            <w:tcBorders>
              <w:top w:val="nil"/>
              <w:left w:val="nil"/>
              <w:bottom w:val="single" w:sz="4" w:space="0" w:color="365F91"/>
              <w:right w:val="nil"/>
            </w:tcBorders>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pPr>
            <w:r>
              <w:t>1491.4</w:t>
            </w:r>
          </w:p>
        </w:tc>
        <w:tc>
          <w:tcPr>
            <w:tcW w:w="1206" w:type="dxa"/>
            <w:tcBorders>
              <w:top w:val="nil"/>
              <w:left w:val="nil"/>
              <w:bottom w:val="single" w:sz="4" w:space="0" w:color="365F91"/>
              <w:right w:val="nil"/>
            </w:tcBorders>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pPr>
            <w:r>
              <w:t>1593.6</w:t>
            </w:r>
          </w:p>
        </w:tc>
        <w:tc>
          <w:tcPr>
            <w:tcW w:w="1207" w:type="dxa"/>
            <w:tcBorders>
              <w:top w:val="nil"/>
              <w:left w:val="nil"/>
              <w:bottom w:val="single" w:sz="4" w:space="0" w:color="365F91"/>
              <w:right w:val="nil"/>
            </w:tcBorders>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pPr>
            <w:r>
              <w:t>1699.2</w:t>
            </w:r>
          </w:p>
        </w:tc>
        <w:tc>
          <w:tcPr>
            <w:tcW w:w="1206" w:type="dxa"/>
            <w:tcBorders>
              <w:top w:val="nil"/>
              <w:left w:val="nil"/>
              <w:bottom w:val="single" w:sz="4" w:space="0" w:color="365F91"/>
              <w:right w:val="nil"/>
            </w:tcBorders>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pPr>
            <w:r>
              <w:t>1807.1</w:t>
            </w:r>
          </w:p>
        </w:tc>
        <w:tc>
          <w:tcPr>
            <w:tcW w:w="1207" w:type="dxa"/>
            <w:tcBorders>
              <w:top w:val="nil"/>
              <w:left w:val="nil"/>
              <w:bottom w:val="single" w:sz="4" w:space="0" w:color="365F91"/>
              <w:right w:val="nil"/>
            </w:tcBorders>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pPr>
            <w:r>
              <w:t>1901.9</w:t>
            </w:r>
          </w:p>
        </w:tc>
      </w:tr>
    </w:tbl>
    <w:bookmarkEnd w:id="105"/>
    <w:p w:rsidR="00CF00DE" w:rsidRDefault="00466253" w:rsidP="00DB5002">
      <w:pPr>
        <w:pStyle w:val="AERtablesource"/>
        <w:keepNext/>
        <w:keepLines/>
        <w:rPr>
          <w:rFonts w:eastAsia="Calibri"/>
        </w:rPr>
      </w:pPr>
      <w:r w:rsidRPr="00466253">
        <w:rPr>
          <w:rFonts w:eastAsia="Calibri"/>
        </w:rPr>
        <w:t xml:space="preserve">Source: </w:t>
      </w:r>
      <w:r w:rsidRPr="00466253">
        <w:rPr>
          <w:rFonts w:eastAsia="Calibri"/>
        </w:rPr>
        <w:tab/>
        <w:t>AER analysis.</w:t>
      </w:r>
    </w:p>
    <w:p w:rsidR="00FF541C" w:rsidRPr="00FF541C" w:rsidRDefault="00FF541C" w:rsidP="00FF541C">
      <w:r>
        <w:fldChar w:fldCharType="begin"/>
      </w:r>
      <w:r>
        <w:instrText xml:space="preserve"> REF _Ref450733921 \h  \* MERGEFORMAT </w:instrText>
      </w:r>
      <w:r>
        <w:fldChar w:fldCharType="separate"/>
      </w:r>
      <w:r w:rsidR="006E1111">
        <w:t xml:space="preserve">Figure </w:t>
      </w:r>
      <w:r w:rsidR="006E1111">
        <w:rPr>
          <w:noProof/>
        </w:rPr>
        <w:t>7</w:t>
      </w:r>
      <w:r>
        <w:fldChar w:fldCharType="end"/>
      </w:r>
      <w:r>
        <w:t xml:space="preserve"> </w:t>
      </w:r>
      <w:r w:rsidRPr="00FF541C">
        <w:t xml:space="preserve">compares our final decision on </w:t>
      </w:r>
      <w:r>
        <w:t>AGN</w:t>
      </w:r>
      <w:r w:rsidRPr="00FF541C">
        <w:t>'s forecast capital base to A</w:t>
      </w:r>
      <w:r>
        <w:t>GN</w:t>
      </w:r>
      <w:r w:rsidRPr="00FF541C">
        <w:t xml:space="preserve">'s revised proposal and actual capital base in real dollar terms. </w:t>
      </w:r>
    </w:p>
    <w:p w:rsidR="00FF541C" w:rsidRDefault="00FF541C">
      <w:pPr>
        <w:pStyle w:val="Caption"/>
      </w:pPr>
      <w:bookmarkStart w:id="106" w:name="_Ref450733921"/>
      <w:r>
        <w:t xml:space="preserve">Figure </w:t>
      </w:r>
      <w:fldSimple w:instr=" SEQ Figure \* ARABIC ">
        <w:r w:rsidR="006E1111">
          <w:rPr>
            <w:noProof/>
          </w:rPr>
          <w:t>7</w:t>
        </w:r>
      </w:fldSimple>
      <w:bookmarkEnd w:id="106"/>
      <w:r>
        <w:tab/>
        <w:t>AGN's actual capital base, revised proposed forecast capital base and AER final decision forecast capital base ($ million, 2015–16)</w:t>
      </w:r>
    </w:p>
    <w:p w:rsidR="00FF541C" w:rsidRDefault="00FF541C">
      <w:pPr>
        <w:keepNext/>
      </w:pPr>
      <w:r>
        <w:rPr>
          <w:noProof/>
          <w:lang w:eastAsia="en-AU"/>
        </w:rPr>
        <w:drawing>
          <wp:inline distT="0" distB="0" distL="0" distR="0" wp14:anchorId="157836EA" wp14:editId="3FDF687A">
            <wp:extent cx="5447071" cy="3293264"/>
            <wp:effectExtent l="0" t="0" r="127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6579" cy="3292967"/>
                    </a:xfrm>
                    <a:prstGeom prst="rect">
                      <a:avLst/>
                    </a:prstGeom>
                    <a:noFill/>
                  </pic:spPr>
                </pic:pic>
              </a:graphicData>
            </a:graphic>
          </wp:inline>
        </w:drawing>
      </w:r>
    </w:p>
    <w:p w:rsidR="00FF541C" w:rsidRDefault="00FF541C" w:rsidP="00534E0B">
      <w:pPr>
        <w:pStyle w:val="AERtablesource"/>
      </w:pPr>
      <w:r>
        <w:t>Source:</w:t>
      </w:r>
      <w:r>
        <w:tab/>
        <w:t xml:space="preserve"> AER analysis.</w:t>
      </w:r>
    </w:p>
    <w:p w:rsidR="00CF00DE" w:rsidRDefault="00CF00DE" w:rsidP="00CF00DE">
      <w:pPr>
        <w:pStyle w:val="Heading2"/>
      </w:pPr>
      <w:bookmarkStart w:id="107" w:name="_Ref435793306"/>
      <w:bookmarkStart w:id="108" w:name="_Toc436037697"/>
      <w:bookmarkStart w:id="109" w:name="_Toc451873369"/>
      <w:r>
        <w:t>Rate of return (return on capital)</w:t>
      </w:r>
      <w:bookmarkEnd w:id="98"/>
      <w:bookmarkEnd w:id="99"/>
      <w:bookmarkEnd w:id="100"/>
      <w:bookmarkEnd w:id="107"/>
      <w:bookmarkEnd w:id="108"/>
      <w:bookmarkEnd w:id="109"/>
    </w:p>
    <w:p w:rsidR="00E56BD8" w:rsidRDefault="00E56BD8" w:rsidP="00E56BD8">
      <w:r w:rsidRPr="00796C00">
        <w:t xml:space="preserve">The allowed rate of return provides a service provider a return on capital to service the interest on its loans and give a return on equity to investors. The return on capital building block is calculated as a product of the rate of return and the value of the </w:t>
      </w:r>
      <w:r>
        <w:t>capital base</w:t>
      </w:r>
      <w:r w:rsidRPr="00796C00">
        <w:t xml:space="preserve">. </w:t>
      </w:r>
    </w:p>
    <w:p w:rsidR="00E56BD8" w:rsidRDefault="00E56BD8" w:rsidP="00E56BD8">
      <w:pPr>
        <w:numPr>
          <w:ilvl w:val="0"/>
          <w:numId w:val="24"/>
        </w:numPr>
      </w:pPr>
      <w:r>
        <w:t xml:space="preserve">We are satisfied that the allowed rate of return of 6.15 per cent (nominal vanilla) we determined </w:t>
      </w:r>
      <w:r w:rsidR="00D140B1">
        <w:t xml:space="preserve">contributes to the NGO and </w:t>
      </w:r>
      <w:r>
        <w:t xml:space="preserve">achieves the </w:t>
      </w:r>
      <w:r w:rsidRPr="00E75E61">
        <w:t xml:space="preserve">allowed </w:t>
      </w:r>
      <w:r>
        <w:t>rate of return objective</w:t>
      </w:r>
      <w:r w:rsidR="003A260C">
        <w:t xml:space="preserve"> set out in the NGR</w:t>
      </w:r>
      <w:r>
        <w:t>.</w:t>
      </w:r>
      <w:r>
        <w:rPr>
          <w:rStyle w:val="FootnoteReference"/>
        </w:rPr>
        <w:footnoteReference w:id="30"/>
      </w:r>
      <w:r>
        <w:t xml:space="preserve"> That is, we are satisfied that this allowed rate of return is commensurate with the efficient financing costs of a benchmark efficient entity with a similar degree of risk as that which applies to AGN in providing reference services.</w:t>
      </w:r>
      <w:r>
        <w:rPr>
          <w:rStyle w:val="FootnoteReference"/>
        </w:rPr>
        <w:footnoteReference w:id="31"/>
      </w:r>
    </w:p>
    <w:p w:rsidR="00E56BD8" w:rsidRDefault="00E56BD8" w:rsidP="00E56BD8">
      <w:pPr>
        <w:numPr>
          <w:ilvl w:val="0"/>
          <w:numId w:val="24"/>
        </w:numPr>
      </w:pPr>
      <w:r>
        <w:t>This allowed rate of return will apply to AGN for the 2016</w:t>
      </w:r>
      <w:r w:rsidRPr="00A7742C">
        <w:t>–</w:t>
      </w:r>
      <w:r>
        <w:t xml:space="preserve">17 regulatory year. A different rate of return will apply to AGN </w:t>
      </w:r>
      <w:r w:rsidR="003A260C">
        <w:t>in each</w:t>
      </w:r>
      <w:r>
        <w:t xml:space="preserve"> remaining regulatory year of the 2016–21 access arrangement period. This is because we will update the return on debt component of the rate of return each year to partially reflect prevailing debt market conditions in each year. We discuss this annual update further below. </w:t>
      </w:r>
    </w:p>
    <w:p w:rsidR="002206EF" w:rsidRDefault="002206EF" w:rsidP="002206EF">
      <w:pPr>
        <w:numPr>
          <w:ilvl w:val="0"/>
          <w:numId w:val="24"/>
        </w:numPr>
      </w:pPr>
      <w:r w:rsidRPr="002206EF">
        <w:t xml:space="preserve">In its initial and revised proposals AGN proposed that we depart from the rate of return guideline (the Guideline) and our draft decision on the allowed rate of return for AGN.  AGN provided further information in support of its revised proposal, which included a change in methodology </w:t>
      </w:r>
      <w:r w:rsidR="00BB52BF">
        <w:t>for</w:t>
      </w:r>
      <w:r w:rsidR="00BB52BF" w:rsidRPr="002206EF">
        <w:t xml:space="preserve"> </w:t>
      </w:r>
      <w:r w:rsidRPr="002206EF">
        <w:t>the calculation of return on debt</w:t>
      </w:r>
      <w:r>
        <w:t xml:space="preserve">. The Australian Competition Tribunal (the Tribunal) also recently reviewed several </w:t>
      </w:r>
      <w:r w:rsidR="00E676EE">
        <w:t xml:space="preserve">of the </w:t>
      </w:r>
      <w:r>
        <w:t xml:space="preserve">aspects of our approach to estimating the rate of return that have been contested in </w:t>
      </w:r>
      <w:r w:rsidR="00E676EE">
        <w:t>our assessment of AGN's proposal</w:t>
      </w:r>
      <w:r>
        <w:t>. While it upheld a number of these, it found error in other aspects of our approach and remitted these matters back to us. On 24 March 2016, we applied to the Federal Court for judicial review of these aspects of the Tribunal's decision.</w:t>
      </w:r>
    </w:p>
    <w:p w:rsidR="002206EF" w:rsidRDefault="002206EF" w:rsidP="002206EF">
      <w:pPr>
        <w:numPr>
          <w:ilvl w:val="0"/>
          <w:numId w:val="24"/>
        </w:numPr>
      </w:pPr>
      <w:r>
        <w:t xml:space="preserve">With respect to the current decision before us, we have considered the information provided by AGN </w:t>
      </w:r>
      <w:r w:rsidR="00E676EE">
        <w:t xml:space="preserve">as well as </w:t>
      </w:r>
      <w:r>
        <w:t>submissions from other stakeholders on AGN's initial and revised proposals. However, we are not satisfied that a change in our approach would produce an allowed rate of return that better achieves the allowed rate of return objective. Our reasons are highlighted below and explained in further detail in Attachment 3 to this final decision.</w:t>
      </w:r>
    </w:p>
    <w:p w:rsidR="002206EF" w:rsidRDefault="002206EF" w:rsidP="002206EF">
      <w:pPr>
        <w:numPr>
          <w:ilvl w:val="0"/>
          <w:numId w:val="24"/>
        </w:numPr>
      </w:pPr>
      <w:r>
        <w:t>We agree with the following aspects of AGN's revised rate of return proposal:</w:t>
      </w:r>
    </w:p>
    <w:p w:rsidR="002206EF" w:rsidRPr="00E56BD8" w:rsidRDefault="002206EF" w:rsidP="002206EF">
      <w:pPr>
        <w:pStyle w:val="AERbulletlistfirststyle"/>
      </w:pPr>
      <w:r>
        <w:t>adopting a weighted average of the return on equity and return on debt (WACC)</w:t>
      </w:r>
      <w:r w:rsidRPr="00E56BD8">
        <w:t xml:space="preserve"> determined on a nominal vanilla basis (as required by the </w:t>
      </w:r>
      <w:r>
        <w:t>NGR</w:t>
      </w:r>
      <w:r w:rsidRPr="00E56BD8">
        <w:t>)</w:t>
      </w:r>
    </w:p>
    <w:p w:rsidR="002206EF" w:rsidRPr="00E56BD8" w:rsidRDefault="002206EF" w:rsidP="002206EF">
      <w:pPr>
        <w:pStyle w:val="AERbulletlistfirststyle"/>
      </w:pPr>
      <w:r>
        <w:t>adopting a 60</w:t>
      </w:r>
      <w:r w:rsidRPr="00E56BD8">
        <w:t xml:space="preserve"> per cent gearing ratio</w:t>
      </w:r>
    </w:p>
    <w:p w:rsidR="002206EF" w:rsidRPr="00E56BD8" w:rsidRDefault="002206EF" w:rsidP="002206EF">
      <w:pPr>
        <w:pStyle w:val="AERbulletlistfirststyle"/>
      </w:pPr>
      <w:r>
        <w:t>adopting a 10 year term for the return on debt</w:t>
      </w:r>
    </w:p>
    <w:p w:rsidR="002206EF" w:rsidRPr="00E56BD8" w:rsidRDefault="002206EF" w:rsidP="002206EF">
      <w:pPr>
        <w:pStyle w:val="AERbulletlistfirststyle"/>
      </w:pPr>
      <w:r>
        <w:t>estimating the return on debt by reference to a third party data series</w:t>
      </w:r>
    </w:p>
    <w:p w:rsidR="002206EF" w:rsidRPr="00E56BD8" w:rsidRDefault="002206EF" w:rsidP="002206EF">
      <w:pPr>
        <w:pStyle w:val="AERbulletlistfirststyle"/>
      </w:pPr>
      <w:r>
        <w:t xml:space="preserve">estimating the risk free rate using nominal Commonwealth government securities averaged over 20 business days as close as practical to the commencement of the </w:t>
      </w:r>
      <w:r w:rsidRPr="00E56BD8">
        <w:t>access arrangement period</w:t>
      </w:r>
    </w:p>
    <w:p w:rsidR="002206EF" w:rsidRPr="00E56BD8" w:rsidRDefault="002206EF" w:rsidP="002206EF">
      <w:pPr>
        <w:pStyle w:val="AERbulletlistfirststyle"/>
      </w:pPr>
      <w:r>
        <w:t>proposing a benchmark credit rating of BBB+.</w:t>
      </w:r>
    </w:p>
    <w:p w:rsidR="00E56BD8" w:rsidRPr="009E54A9" w:rsidRDefault="002206EF" w:rsidP="00E56BD8">
      <w:r>
        <w:t>However, w</w:t>
      </w:r>
      <w:r w:rsidR="00E56BD8">
        <w:t>e are not satisfied that AGN's proposed (indicative) 8.66 per cent rate of return for the 2016</w:t>
      </w:r>
      <w:r w:rsidR="00E56BD8" w:rsidRPr="00A7742C">
        <w:t>–</w:t>
      </w:r>
      <w:r w:rsidR="00E56BD8">
        <w:t>17 regulatory year has been determined such that it achieves the allowed rate of return objective.</w:t>
      </w:r>
      <w:r w:rsidR="00E56BD8">
        <w:rPr>
          <w:rStyle w:val="FootnoteReference"/>
        </w:rPr>
        <w:footnoteReference w:id="32"/>
      </w:r>
    </w:p>
    <w:p w:rsidR="00E56BD8" w:rsidRDefault="00E56BD8" w:rsidP="00E56BD8">
      <w:pPr>
        <w:numPr>
          <w:ilvl w:val="0"/>
          <w:numId w:val="24"/>
        </w:numPr>
      </w:pPr>
      <w:r>
        <w:t>Our allowed rate of return is a weighted average of our return on equity and return on debt estimates (WACC)</w:t>
      </w:r>
      <w:r w:rsidRPr="008E2B69">
        <w:t xml:space="preserve"> </w:t>
      </w:r>
      <w:r>
        <w:t>determined on a nominal vanilla basis that is consistent with our estimate of the value of imputation credits.</w:t>
      </w:r>
      <w:r>
        <w:rPr>
          <w:rStyle w:val="FootnoteReference"/>
        </w:rPr>
        <w:footnoteReference w:id="33"/>
      </w:r>
      <w:r>
        <w:t xml:space="preserve"> </w:t>
      </w:r>
      <w:r w:rsidR="003D1B37">
        <w:t>I</w:t>
      </w:r>
      <w:r>
        <w:t>n arriving at our decision we have taken into account the revenue and pricing principles (RPPs)</w:t>
      </w:r>
      <w:r w:rsidR="003A260C">
        <w:t xml:space="preserve"> set out in the NGL</w:t>
      </w:r>
      <w:r>
        <w:t xml:space="preserve"> and are also satisfied that our decision will or is likely to contribute to the achievement of the NGO.</w:t>
      </w:r>
      <w:r>
        <w:rPr>
          <w:rStyle w:val="FootnoteReference"/>
        </w:rPr>
        <w:footnoteReference w:id="34"/>
      </w:r>
      <w:r>
        <w:t xml:space="preserve"> Our rate of return and AGN's proposed rate of return </w:t>
      </w:r>
      <w:r w:rsidR="003A260C">
        <w:t xml:space="preserve">are </w:t>
      </w:r>
      <w:r>
        <w:t xml:space="preserve">set out in </w:t>
      </w:r>
      <w:r>
        <w:fldChar w:fldCharType="begin"/>
      </w:r>
      <w:r>
        <w:instrText xml:space="preserve"> REF _Ref449542090 \h </w:instrText>
      </w:r>
      <w:r>
        <w:fldChar w:fldCharType="separate"/>
      </w:r>
      <w:r w:rsidR="006E1111">
        <w:t xml:space="preserve">Table </w:t>
      </w:r>
      <w:r w:rsidR="006E1111">
        <w:rPr>
          <w:noProof/>
        </w:rPr>
        <w:t>6</w:t>
      </w:r>
      <w:r>
        <w:fldChar w:fldCharType="end"/>
      </w:r>
      <w:r>
        <w:t>.</w:t>
      </w:r>
    </w:p>
    <w:p w:rsidR="00E56BD8" w:rsidRDefault="00E56BD8" w:rsidP="00E56BD8">
      <w:pPr>
        <w:pStyle w:val="Caption"/>
      </w:pPr>
      <w:bookmarkStart w:id="110" w:name="_Ref449542090"/>
      <w:r>
        <w:t xml:space="preserve">Table </w:t>
      </w:r>
      <w:fldSimple w:instr=" SEQ Table \* ARABIC ">
        <w:r w:rsidR="006E1111">
          <w:rPr>
            <w:noProof/>
          </w:rPr>
          <w:t>6</w:t>
        </w:r>
      </w:fldSimple>
      <w:bookmarkEnd w:id="110"/>
      <w:r>
        <w:tab/>
        <w:t>Final decision on AGN's rate of return (% nominal)</w:t>
      </w:r>
    </w:p>
    <w:tbl>
      <w:tblPr>
        <w:tblStyle w:val="AERtable-numbers"/>
        <w:tblW w:w="5000" w:type="pct"/>
        <w:tblLook w:val="04A0" w:firstRow="1" w:lastRow="0" w:firstColumn="1" w:lastColumn="0" w:noHBand="0" w:noVBand="1"/>
      </w:tblPr>
      <w:tblGrid>
        <w:gridCol w:w="1952"/>
        <w:gridCol w:w="1685"/>
        <w:gridCol w:w="299"/>
        <w:gridCol w:w="1386"/>
        <w:gridCol w:w="31"/>
        <w:gridCol w:w="1560"/>
        <w:gridCol w:w="94"/>
        <w:gridCol w:w="1686"/>
      </w:tblGrid>
      <w:tr w:rsidR="00E56BD8" w:rsidRPr="00DF102A" w:rsidTr="003D1B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pct"/>
          </w:tcPr>
          <w:p w:rsidR="00E56BD8" w:rsidRPr="00DF102A" w:rsidRDefault="00E56BD8" w:rsidP="00E56BD8">
            <w:pPr>
              <w:numPr>
                <w:ilvl w:val="0"/>
                <w:numId w:val="23"/>
              </w:numPr>
              <w:rPr>
                <w:szCs w:val="16"/>
              </w:rPr>
            </w:pPr>
          </w:p>
        </w:tc>
        <w:tc>
          <w:tcPr>
            <w:tcW w:w="1141" w:type="pct"/>
            <w:gridSpan w:val="2"/>
          </w:tcPr>
          <w:p w:rsidR="00E56BD8" w:rsidRPr="00E23058" w:rsidRDefault="00E56BD8" w:rsidP="003D1B37">
            <w:pPr>
              <w:pStyle w:val="AERtabletextright"/>
              <w:jc w:val="center"/>
              <w:cnfStyle w:val="100000000000" w:firstRow="1" w:lastRow="0" w:firstColumn="0" w:lastColumn="0" w:oddVBand="0" w:evenVBand="0" w:oddHBand="0" w:evenHBand="0" w:firstRowFirstColumn="0" w:firstRowLastColumn="0" w:lastRowFirstColumn="0" w:lastRowLastColumn="0"/>
              <w:rPr>
                <w:sz w:val="16"/>
                <w:szCs w:val="16"/>
              </w:rPr>
            </w:pPr>
            <w:r w:rsidRPr="00E23058">
              <w:rPr>
                <w:sz w:val="16"/>
                <w:szCs w:val="16"/>
              </w:rPr>
              <w:t>Previous access arrangement (2011–16)</w:t>
            </w:r>
          </w:p>
        </w:tc>
        <w:tc>
          <w:tcPr>
            <w:tcW w:w="815" w:type="pct"/>
            <w:gridSpan w:val="2"/>
          </w:tcPr>
          <w:p w:rsidR="00E56BD8" w:rsidRPr="00E23058" w:rsidRDefault="00E56BD8" w:rsidP="003D1B37">
            <w:pPr>
              <w:pStyle w:val="AERtabletextright"/>
              <w:jc w:val="center"/>
              <w:cnfStyle w:val="100000000000" w:firstRow="1" w:lastRow="0" w:firstColumn="0" w:lastColumn="0" w:oddVBand="0" w:evenVBand="0" w:oddHBand="0" w:evenHBand="0" w:firstRowFirstColumn="0" w:firstRowLastColumn="0" w:lastRowFirstColumn="0" w:lastRowLastColumn="0"/>
              <w:rPr>
                <w:sz w:val="16"/>
                <w:szCs w:val="16"/>
              </w:rPr>
            </w:pPr>
            <w:r w:rsidRPr="00E23058">
              <w:rPr>
                <w:sz w:val="16"/>
                <w:szCs w:val="16"/>
              </w:rPr>
              <w:t>AGN revised proposal (2016–17)</w:t>
            </w:r>
          </w:p>
        </w:tc>
        <w:tc>
          <w:tcPr>
            <w:tcW w:w="897" w:type="pct"/>
          </w:tcPr>
          <w:p w:rsidR="00E56BD8" w:rsidRPr="00E23058" w:rsidRDefault="00E56BD8" w:rsidP="003D1B37">
            <w:pPr>
              <w:pStyle w:val="AERtabletextright"/>
              <w:jc w:val="center"/>
              <w:cnfStyle w:val="100000000000" w:firstRow="1" w:lastRow="0" w:firstColumn="0" w:lastColumn="0" w:oddVBand="0" w:evenVBand="0" w:oddHBand="0" w:evenHBand="0" w:firstRowFirstColumn="0" w:firstRowLastColumn="0" w:lastRowFirstColumn="0" w:lastRowLastColumn="0"/>
              <w:rPr>
                <w:sz w:val="16"/>
                <w:szCs w:val="16"/>
              </w:rPr>
            </w:pPr>
            <w:r w:rsidRPr="00E23058">
              <w:rPr>
                <w:sz w:val="16"/>
                <w:szCs w:val="16"/>
              </w:rPr>
              <w:t>AER final decision (2016–17)</w:t>
            </w:r>
          </w:p>
        </w:tc>
        <w:tc>
          <w:tcPr>
            <w:tcW w:w="1024" w:type="pct"/>
            <w:gridSpan w:val="2"/>
          </w:tcPr>
          <w:p w:rsidR="00E56BD8" w:rsidRPr="00E23058" w:rsidRDefault="00E56BD8" w:rsidP="003D1B37">
            <w:pPr>
              <w:pStyle w:val="AERtabletextright"/>
              <w:jc w:val="center"/>
              <w:cnfStyle w:val="100000000000" w:firstRow="1" w:lastRow="0" w:firstColumn="0" w:lastColumn="0" w:oddVBand="0" w:evenVBand="0" w:oddHBand="0" w:evenHBand="0" w:firstRowFirstColumn="0" w:firstRowLastColumn="0" w:lastRowFirstColumn="0" w:lastRowLastColumn="0"/>
              <w:rPr>
                <w:sz w:val="16"/>
                <w:szCs w:val="16"/>
              </w:rPr>
            </w:pPr>
            <w:r w:rsidRPr="00E23058">
              <w:rPr>
                <w:sz w:val="16"/>
                <w:szCs w:val="16"/>
              </w:rPr>
              <w:t>Allowed return over 2016–21</w:t>
            </w:r>
          </w:p>
        </w:tc>
      </w:tr>
      <w:tr w:rsidR="00E56BD8" w:rsidRPr="00DF102A" w:rsidTr="003D1B37">
        <w:tc>
          <w:tcPr>
            <w:cnfStyle w:val="001000000000" w:firstRow="0" w:lastRow="0" w:firstColumn="1" w:lastColumn="0" w:oddVBand="0" w:evenVBand="0" w:oddHBand="0" w:evenHBand="0" w:firstRowFirstColumn="0" w:firstRowLastColumn="0" w:lastRowFirstColumn="0" w:lastRowLastColumn="0"/>
            <w:tcW w:w="1123" w:type="pct"/>
          </w:tcPr>
          <w:p w:rsidR="00E56BD8" w:rsidRPr="00E23058" w:rsidRDefault="00E56BD8" w:rsidP="00E56BD8">
            <w:pPr>
              <w:pStyle w:val="AERtabletextleft"/>
              <w:rPr>
                <w:sz w:val="16"/>
                <w:szCs w:val="16"/>
              </w:rPr>
            </w:pPr>
            <w:r w:rsidRPr="00E23058">
              <w:rPr>
                <w:sz w:val="16"/>
                <w:szCs w:val="16"/>
              </w:rPr>
              <w:t xml:space="preserve">Return on equity    (nominal post–tax) </w:t>
            </w:r>
          </w:p>
        </w:tc>
        <w:tc>
          <w:tcPr>
            <w:tcW w:w="969" w:type="pct"/>
          </w:tcPr>
          <w:p w:rsidR="00E56BD8" w:rsidRPr="00E23058" w:rsidRDefault="00E56BD8" w:rsidP="00E56BD8">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E23058">
              <w:rPr>
                <w:sz w:val="16"/>
                <w:szCs w:val="16"/>
              </w:rPr>
              <w:t>10.36</w:t>
            </w:r>
          </w:p>
        </w:tc>
        <w:tc>
          <w:tcPr>
            <w:tcW w:w="969" w:type="pct"/>
            <w:gridSpan w:val="2"/>
          </w:tcPr>
          <w:p w:rsidR="00E56BD8" w:rsidRPr="00E23058" w:rsidRDefault="00E56BD8" w:rsidP="00E56BD8">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E23058">
              <w:rPr>
                <w:sz w:val="16"/>
                <w:szCs w:val="16"/>
              </w:rPr>
              <w:t>9.76</w:t>
            </w:r>
          </w:p>
        </w:tc>
        <w:tc>
          <w:tcPr>
            <w:tcW w:w="969" w:type="pct"/>
            <w:gridSpan w:val="3"/>
          </w:tcPr>
          <w:p w:rsidR="00E56BD8" w:rsidRPr="00E23058" w:rsidRDefault="00E56BD8" w:rsidP="00E56BD8">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E23058">
              <w:rPr>
                <w:sz w:val="16"/>
                <w:szCs w:val="16"/>
              </w:rPr>
              <w:t>7.1</w:t>
            </w:r>
          </w:p>
        </w:tc>
        <w:tc>
          <w:tcPr>
            <w:tcW w:w="970" w:type="pct"/>
          </w:tcPr>
          <w:p w:rsidR="00E56BD8" w:rsidRPr="00E23058" w:rsidRDefault="00E56BD8" w:rsidP="00E56BD8">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E23058">
              <w:rPr>
                <w:sz w:val="16"/>
                <w:szCs w:val="16"/>
              </w:rPr>
              <w:t>Constant (7.1%)</w:t>
            </w:r>
          </w:p>
        </w:tc>
      </w:tr>
      <w:tr w:rsidR="00E56BD8" w:rsidRPr="00DF102A" w:rsidTr="003D1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pct"/>
          </w:tcPr>
          <w:p w:rsidR="00E56BD8" w:rsidRPr="00E23058" w:rsidRDefault="00E56BD8" w:rsidP="00E56BD8">
            <w:pPr>
              <w:pStyle w:val="AERtabletextleft"/>
              <w:rPr>
                <w:sz w:val="16"/>
                <w:szCs w:val="16"/>
              </w:rPr>
            </w:pPr>
            <w:r w:rsidRPr="00E23058">
              <w:rPr>
                <w:sz w:val="16"/>
                <w:szCs w:val="16"/>
              </w:rPr>
              <w:t>Return on debt      (nominal pre–tax)</w:t>
            </w:r>
          </w:p>
        </w:tc>
        <w:tc>
          <w:tcPr>
            <w:tcW w:w="969" w:type="pct"/>
          </w:tcPr>
          <w:p w:rsidR="00E56BD8" w:rsidRPr="00E23058" w:rsidRDefault="00E56BD8" w:rsidP="00E56BD8">
            <w:pPr>
              <w:pStyle w:val="Tabletext"/>
              <w:cnfStyle w:val="000000010000" w:firstRow="0" w:lastRow="0" w:firstColumn="0" w:lastColumn="0" w:oddVBand="0" w:evenVBand="0" w:oddHBand="0" w:evenHBand="1" w:firstRowFirstColumn="0" w:firstRowLastColumn="0" w:lastRowFirstColumn="0" w:lastRowLastColumn="0"/>
              <w:rPr>
                <w:sz w:val="16"/>
                <w:szCs w:val="16"/>
              </w:rPr>
            </w:pPr>
            <w:r w:rsidRPr="00E23058">
              <w:rPr>
                <w:sz w:val="16"/>
                <w:szCs w:val="16"/>
              </w:rPr>
              <w:t>10.23</w:t>
            </w:r>
          </w:p>
        </w:tc>
        <w:tc>
          <w:tcPr>
            <w:tcW w:w="969" w:type="pct"/>
            <w:gridSpan w:val="2"/>
          </w:tcPr>
          <w:p w:rsidR="00E56BD8" w:rsidRPr="00E23058" w:rsidRDefault="00E56BD8" w:rsidP="00E56BD8">
            <w:pPr>
              <w:pStyle w:val="Tabletext"/>
              <w:cnfStyle w:val="000000010000" w:firstRow="0" w:lastRow="0" w:firstColumn="0" w:lastColumn="0" w:oddVBand="0" w:evenVBand="0" w:oddHBand="0" w:evenHBand="1" w:firstRowFirstColumn="0" w:firstRowLastColumn="0" w:lastRowFirstColumn="0" w:lastRowLastColumn="0"/>
              <w:rPr>
                <w:sz w:val="16"/>
                <w:szCs w:val="16"/>
              </w:rPr>
            </w:pPr>
            <w:r w:rsidRPr="00E23058">
              <w:rPr>
                <w:sz w:val="16"/>
                <w:szCs w:val="16"/>
              </w:rPr>
              <w:t>7.93</w:t>
            </w:r>
          </w:p>
        </w:tc>
        <w:tc>
          <w:tcPr>
            <w:tcW w:w="969" w:type="pct"/>
            <w:gridSpan w:val="3"/>
          </w:tcPr>
          <w:p w:rsidR="00E56BD8" w:rsidRPr="00E23058" w:rsidRDefault="00E56BD8" w:rsidP="00E56BD8">
            <w:pPr>
              <w:pStyle w:val="Tabletext"/>
              <w:cnfStyle w:val="000000010000" w:firstRow="0" w:lastRow="0" w:firstColumn="0" w:lastColumn="0" w:oddVBand="0" w:evenVBand="0" w:oddHBand="0" w:evenHBand="1" w:firstRowFirstColumn="0" w:firstRowLastColumn="0" w:lastRowFirstColumn="0" w:lastRowLastColumn="0"/>
              <w:rPr>
                <w:sz w:val="16"/>
                <w:szCs w:val="16"/>
              </w:rPr>
            </w:pPr>
            <w:r w:rsidRPr="00E23058">
              <w:rPr>
                <w:sz w:val="16"/>
                <w:szCs w:val="16"/>
              </w:rPr>
              <w:t>5.51</w:t>
            </w:r>
          </w:p>
        </w:tc>
        <w:tc>
          <w:tcPr>
            <w:tcW w:w="970" w:type="pct"/>
          </w:tcPr>
          <w:p w:rsidR="00E56BD8" w:rsidRPr="00E23058" w:rsidRDefault="00E56BD8" w:rsidP="00E56BD8">
            <w:pPr>
              <w:pStyle w:val="Tabletext"/>
              <w:cnfStyle w:val="000000010000" w:firstRow="0" w:lastRow="0" w:firstColumn="0" w:lastColumn="0" w:oddVBand="0" w:evenVBand="0" w:oddHBand="0" w:evenHBand="1" w:firstRowFirstColumn="0" w:firstRowLastColumn="0" w:lastRowFirstColumn="0" w:lastRowLastColumn="0"/>
              <w:rPr>
                <w:sz w:val="16"/>
                <w:szCs w:val="16"/>
              </w:rPr>
            </w:pPr>
            <w:r w:rsidRPr="00E23058">
              <w:rPr>
                <w:sz w:val="16"/>
                <w:szCs w:val="16"/>
              </w:rPr>
              <w:t>Updated annually</w:t>
            </w:r>
          </w:p>
        </w:tc>
      </w:tr>
      <w:tr w:rsidR="00E56BD8" w:rsidRPr="00DF102A" w:rsidTr="003D1B37">
        <w:tc>
          <w:tcPr>
            <w:cnfStyle w:val="001000000000" w:firstRow="0" w:lastRow="0" w:firstColumn="1" w:lastColumn="0" w:oddVBand="0" w:evenVBand="0" w:oddHBand="0" w:evenHBand="0" w:firstRowFirstColumn="0" w:firstRowLastColumn="0" w:lastRowFirstColumn="0" w:lastRowLastColumn="0"/>
            <w:tcW w:w="1123" w:type="pct"/>
          </w:tcPr>
          <w:p w:rsidR="00E56BD8" w:rsidRPr="00E23058" w:rsidRDefault="00E56BD8" w:rsidP="00E56BD8">
            <w:pPr>
              <w:pStyle w:val="AERtabletextleft"/>
              <w:rPr>
                <w:sz w:val="16"/>
                <w:szCs w:val="16"/>
              </w:rPr>
            </w:pPr>
            <w:r w:rsidRPr="00E23058">
              <w:rPr>
                <w:sz w:val="16"/>
                <w:szCs w:val="16"/>
              </w:rPr>
              <w:t>Gearing</w:t>
            </w:r>
          </w:p>
        </w:tc>
        <w:tc>
          <w:tcPr>
            <w:tcW w:w="969" w:type="pct"/>
          </w:tcPr>
          <w:p w:rsidR="00E56BD8" w:rsidRPr="00E23058" w:rsidRDefault="00E56BD8" w:rsidP="00E56BD8">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E23058">
              <w:rPr>
                <w:sz w:val="16"/>
                <w:szCs w:val="16"/>
              </w:rPr>
              <w:t>60</w:t>
            </w:r>
          </w:p>
        </w:tc>
        <w:tc>
          <w:tcPr>
            <w:tcW w:w="969" w:type="pct"/>
            <w:gridSpan w:val="2"/>
          </w:tcPr>
          <w:p w:rsidR="00E56BD8" w:rsidRPr="00E23058" w:rsidRDefault="00E56BD8" w:rsidP="00E56BD8">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E23058">
              <w:rPr>
                <w:sz w:val="16"/>
                <w:szCs w:val="16"/>
              </w:rPr>
              <w:t>60</w:t>
            </w:r>
          </w:p>
        </w:tc>
        <w:tc>
          <w:tcPr>
            <w:tcW w:w="969" w:type="pct"/>
            <w:gridSpan w:val="3"/>
          </w:tcPr>
          <w:p w:rsidR="00E56BD8" w:rsidRPr="00E23058" w:rsidRDefault="00E56BD8" w:rsidP="00E56BD8">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E23058">
              <w:rPr>
                <w:sz w:val="16"/>
                <w:szCs w:val="16"/>
              </w:rPr>
              <w:t>60</w:t>
            </w:r>
          </w:p>
        </w:tc>
        <w:tc>
          <w:tcPr>
            <w:tcW w:w="970" w:type="pct"/>
          </w:tcPr>
          <w:p w:rsidR="00E56BD8" w:rsidRPr="00E23058" w:rsidRDefault="00E56BD8" w:rsidP="00E56BD8">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E23058">
              <w:rPr>
                <w:sz w:val="16"/>
                <w:szCs w:val="16"/>
              </w:rPr>
              <w:t>Constant   (60%)</w:t>
            </w:r>
          </w:p>
        </w:tc>
      </w:tr>
      <w:tr w:rsidR="00E56BD8" w:rsidRPr="00DF102A" w:rsidTr="003D1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pct"/>
          </w:tcPr>
          <w:p w:rsidR="00E56BD8" w:rsidRPr="00E23058" w:rsidRDefault="00E56BD8" w:rsidP="00E56BD8">
            <w:pPr>
              <w:pStyle w:val="AERtabletextleft"/>
              <w:rPr>
                <w:sz w:val="16"/>
                <w:szCs w:val="16"/>
              </w:rPr>
            </w:pPr>
            <w:r w:rsidRPr="00E23058">
              <w:rPr>
                <w:sz w:val="16"/>
                <w:szCs w:val="16"/>
              </w:rPr>
              <w:t>Nominal vanilla WACC</w:t>
            </w:r>
          </w:p>
        </w:tc>
        <w:tc>
          <w:tcPr>
            <w:tcW w:w="969" w:type="pct"/>
          </w:tcPr>
          <w:p w:rsidR="00E56BD8" w:rsidRPr="00E23058" w:rsidRDefault="00E56BD8" w:rsidP="00E56BD8">
            <w:pPr>
              <w:pStyle w:val="Tabletext"/>
              <w:cnfStyle w:val="000000010000" w:firstRow="0" w:lastRow="0" w:firstColumn="0" w:lastColumn="0" w:oddVBand="0" w:evenVBand="0" w:oddHBand="0" w:evenHBand="1" w:firstRowFirstColumn="0" w:firstRowLastColumn="0" w:lastRowFirstColumn="0" w:lastRowLastColumn="0"/>
              <w:rPr>
                <w:sz w:val="16"/>
                <w:szCs w:val="16"/>
              </w:rPr>
            </w:pPr>
            <w:r w:rsidRPr="00E23058">
              <w:rPr>
                <w:sz w:val="16"/>
                <w:szCs w:val="16"/>
              </w:rPr>
              <w:t>10.28</w:t>
            </w:r>
          </w:p>
        </w:tc>
        <w:tc>
          <w:tcPr>
            <w:tcW w:w="969" w:type="pct"/>
            <w:gridSpan w:val="2"/>
          </w:tcPr>
          <w:p w:rsidR="00E56BD8" w:rsidRPr="00E23058" w:rsidRDefault="00E56BD8" w:rsidP="00E56BD8">
            <w:pPr>
              <w:pStyle w:val="Tabletext"/>
              <w:cnfStyle w:val="000000010000" w:firstRow="0" w:lastRow="0" w:firstColumn="0" w:lastColumn="0" w:oddVBand="0" w:evenVBand="0" w:oddHBand="0" w:evenHBand="1" w:firstRowFirstColumn="0" w:firstRowLastColumn="0" w:lastRowFirstColumn="0" w:lastRowLastColumn="0"/>
              <w:rPr>
                <w:sz w:val="16"/>
                <w:szCs w:val="16"/>
              </w:rPr>
            </w:pPr>
            <w:r w:rsidRPr="00E23058">
              <w:rPr>
                <w:sz w:val="16"/>
                <w:szCs w:val="16"/>
              </w:rPr>
              <w:t>8.66</w:t>
            </w:r>
          </w:p>
        </w:tc>
        <w:tc>
          <w:tcPr>
            <w:tcW w:w="969" w:type="pct"/>
            <w:gridSpan w:val="3"/>
          </w:tcPr>
          <w:p w:rsidR="00E56BD8" w:rsidRPr="00E23058" w:rsidRDefault="00E56BD8" w:rsidP="00E56BD8">
            <w:pPr>
              <w:pStyle w:val="Tabletext"/>
              <w:cnfStyle w:val="000000010000" w:firstRow="0" w:lastRow="0" w:firstColumn="0" w:lastColumn="0" w:oddVBand="0" w:evenVBand="0" w:oddHBand="0" w:evenHBand="1" w:firstRowFirstColumn="0" w:firstRowLastColumn="0" w:lastRowFirstColumn="0" w:lastRowLastColumn="0"/>
              <w:rPr>
                <w:sz w:val="16"/>
                <w:szCs w:val="16"/>
              </w:rPr>
            </w:pPr>
            <w:r w:rsidRPr="00E23058">
              <w:rPr>
                <w:sz w:val="16"/>
                <w:szCs w:val="16"/>
              </w:rPr>
              <w:t>6.15</w:t>
            </w:r>
          </w:p>
        </w:tc>
        <w:tc>
          <w:tcPr>
            <w:tcW w:w="970" w:type="pct"/>
          </w:tcPr>
          <w:p w:rsidR="00E56BD8" w:rsidRPr="00E23058" w:rsidRDefault="00E56BD8" w:rsidP="00E56BD8">
            <w:pPr>
              <w:pStyle w:val="Tabletext"/>
              <w:cnfStyle w:val="000000010000" w:firstRow="0" w:lastRow="0" w:firstColumn="0" w:lastColumn="0" w:oddVBand="0" w:evenVBand="0" w:oddHBand="0" w:evenHBand="1" w:firstRowFirstColumn="0" w:firstRowLastColumn="0" w:lastRowFirstColumn="0" w:lastRowLastColumn="0"/>
              <w:rPr>
                <w:sz w:val="16"/>
                <w:szCs w:val="16"/>
              </w:rPr>
            </w:pPr>
            <w:r w:rsidRPr="00E23058">
              <w:rPr>
                <w:sz w:val="16"/>
                <w:szCs w:val="16"/>
              </w:rPr>
              <w:t>Updated annually for return on debt</w:t>
            </w:r>
          </w:p>
        </w:tc>
      </w:tr>
      <w:tr w:rsidR="00E56BD8" w:rsidRPr="000E740F" w:rsidTr="003D1B37">
        <w:tc>
          <w:tcPr>
            <w:cnfStyle w:val="001000000000" w:firstRow="0" w:lastRow="0" w:firstColumn="1" w:lastColumn="0" w:oddVBand="0" w:evenVBand="0" w:oddHBand="0" w:evenHBand="0" w:firstRowFirstColumn="0" w:firstRowLastColumn="0" w:lastRowFirstColumn="0" w:lastRowLastColumn="0"/>
            <w:tcW w:w="1123" w:type="pct"/>
          </w:tcPr>
          <w:p w:rsidR="00E56BD8" w:rsidRPr="000E740F" w:rsidRDefault="00E56BD8" w:rsidP="000E740F">
            <w:r w:rsidRPr="000E740F">
              <w:t>Forecast inflation</w:t>
            </w:r>
          </w:p>
        </w:tc>
        <w:tc>
          <w:tcPr>
            <w:tcW w:w="969" w:type="pct"/>
          </w:tcPr>
          <w:p w:rsidR="00E56BD8" w:rsidRPr="000E740F" w:rsidRDefault="00E56BD8" w:rsidP="000E740F">
            <w:pPr>
              <w:cnfStyle w:val="000000000000" w:firstRow="0" w:lastRow="0" w:firstColumn="0" w:lastColumn="0" w:oddVBand="0" w:evenVBand="0" w:oddHBand="0" w:evenHBand="0" w:firstRowFirstColumn="0" w:firstRowLastColumn="0" w:lastRowFirstColumn="0" w:lastRowLastColumn="0"/>
            </w:pPr>
            <w:r w:rsidRPr="000E740F">
              <w:t>2.55</w:t>
            </w:r>
          </w:p>
        </w:tc>
        <w:tc>
          <w:tcPr>
            <w:tcW w:w="969" w:type="pct"/>
            <w:gridSpan w:val="2"/>
          </w:tcPr>
          <w:p w:rsidR="00E56BD8" w:rsidRPr="000E740F" w:rsidRDefault="00E56BD8" w:rsidP="000E740F">
            <w:pPr>
              <w:cnfStyle w:val="000000000000" w:firstRow="0" w:lastRow="0" w:firstColumn="0" w:lastColumn="0" w:oddVBand="0" w:evenVBand="0" w:oddHBand="0" w:evenHBand="0" w:firstRowFirstColumn="0" w:firstRowLastColumn="0" w:lastRowFirstColumn="0" w:lastRowLastColumn="0"/>
            </w:pPr>
            <w:r w:rsidRPr="000E740F">
              <w:t>2.01</w:t>
            </w:r>
          </w:p>
        </w:tc>
        <w:tc>
          <w:tcPr>
            <w:tcW w:w="969" w:type="pct"/>
            <w:gridSpan w:val="3"/>
          </w:tcPr>
          <w:p w:rsidR="00E56BD8" w:rsidRPr="000E740F" w:rsidRDefault="00E56BD8" w:rsidP="000E740F">
            <w:pPr>
              <w:cnfStyle w:val="000000000000" w:firstRow="0" w:lastRow="0" w:firstColumn="0" w:lastColumn="0" w:oddVBand="0" w:evenVBand="0" w:oddHBand="0" w:evenHBand="0" w:firstRowFirstColumn="0" w:firstRowLastColumn="0" w:lastRowFirstColumn="0" w:lastRowLastColumn="0"/>
            </w:pPr>
            <w:r w:rsidRPr="000E740F">
              <w:t>2.</w:t>
            </w:r>
            <w:r w:rsidR="00AE6F79" w:rsidRPr="000E740F">
              <w:t>39</w:t>
            </w:r>
          </w:p>
        </w:tc>
        <w:tc>
          <w:tcPr>
            <w:tcW w:w="970" w:type="pct"/>
          </w:tcPr>
          <w:p w:rsidR="00E56BD8" w:rsidRPr="000E740F" w:rsidRDefault="00E56BD8" w:rsidP="000E740F">
            <w:pPr>
              <w:cnfStyle w:val="000000000000" w:firstRow="0" w:lastRow="0" w:firstColumn="0" w:lastColumn="0" w:oddVBand="0" w:evenVBand="0" w:oddHBand="0" w:evenHBand="0" w:firstRowFirstColumn="0" w:firstRowLastColumn="0" w:lastRowFirstColumn="0" w:lastRowLastColumn="0"/>
            </w:pPr>
            <w:r w:rsidRPr="000E740F">
              <w:t>Constant (2.</w:t>
            </w:r>
            <w:r w:rsidR="00AE6F79" w:rsidRPr="000E740F">
              <w:t>39</w:t>
            </w:r>
            <w:r w:rsidRPr="000E740F">
              <w:t>%)</w:t>
            </w:r>
          </w:p>
        </w:tc>
      </w:tr>
    </w:tbl>
    <w:p w:rsidR="00E56BD8" w:rsidRPr="00DF102A" w:rsidRDefault="00E56BD8" w:rsidP="00DF102A">
      <w:pPr>
        <w:pStyle w:val="AERtablesource"/>
      </w:pPr>
      <w:r w:rsidRPr="00DF102A">
        <w:t>Source:</w:t>
      </w:r>
      <w:r w:rsidRPr="00DF102A">
        <w:tab/>
        <w:t xml:space="preserve">AER analysis; AGN, </w:t>
      </w:r>
      <w:r w:rsidRPr="00C74DE0">
        <w:rPr>
          <w:rStyle w:val="AERtextitalic"/>
        </w:rPr>
        <w:t>Attachment 10.26, Response to draft decision: Rate of return, 6 January 2016; AGN, Attachment 9.3, Response to draft decision: Inflation</w:t>
      </w:r>
      <w:r w:rsidRPr="00DF102A">
        <w:t xml:space="preserve">, 6 January 2016; Envestra, </w:t>
      </w:r>
      <w:r w:rsidRPr="00C74DE0">
        <w:rPr>
          <w:rStyle w:val="AERtextitalic"/>
        </w:rPr>
        <w:t xml:space="preserve">Access Arrangement for Envestra's SA gas distribution system: Amended by </w:t>
      </w:r>
      <w:r w:rsidRPr="00DF102A">
        <w:rPr>
          <w:rStyle w:val="AERtextitalic"/>
        </w:rPr>
        <w:t>order of the Australian Competition Tribunal 10 February 2012</w:t>
      </w:r>
      <w:r w:rsidRPr="00DF102A">
        <w:t>, July 2011.</w:t>
      </w:r>
    </w:p>
    <w:p w:rsidR="002206EF" w:rsidRDefault="00E56BD8" w:rsidP="002206EF">
      <w:pPr>
        <w:numPr>
          <w:ilvl w:val="0"/>
          <w:numId w:val="24"/>
        </w:numPr>
      </w:pPr>
      <w:r>
        <w:t xml:space="preserve">Our return on equity estimate is 7.1 per cent. </w:t>
      </w:r>
      <w:r w:rsidR="003A260C">
        <w:t xml:space="preserve">Consistent with the Guideline, the return on equity remains constant over the access arrangement period. </w:t>
      </w:r>
      <w:r w:rsidR="002206EF">
        <w:t xml:space="preserve">Our return on equity point estimate and the parameter inputs are set out in </w:t>
      </w:r>
      <w:r w:rsidR="003E79EE">
        <w:fldChar w:fldCharType="begin"/>
      </w:r>
      <w:r w:rsidR="003E79EE">
        <w:instrText xml:space="preserve"> REF _Ref451525790 \h </w:instrText>
      </w:r>
      <w:r w:rsidR="003E79EE">
        <w:fldChar w:fldCharType="separate"/>
      </w:r>
      <w:r w:rsidR="006E1111">
        <w:t xml:space="preserve">Table </w:t>
      </w:r>
      <w:r w:rsidR="006E1111">
        <w:rPr>
          <w:noProof/>
        </w:rPr>
        <w:t>7</w:t>
      </w:r>
      <w:r w:rsidR="003E79EE">
        <w:fldChar w:fldCharType="end"/>
      </w:r>
      <w:r w:rsidR="002206EF">
        <w:t xml:space="preserve">. AGN proposed departing from the approach in the Guideline. </w:t>
      </w:r>
      <w:r w:rsidR="002206EF" w:rsidRPr="00185E39">
        <w:t xml:space="preserve">We are not satisfied </w:t>
      </w:r>
      <w:r w:rsidR="002206EF">
        <w:t xml:space="preserve">that doing so </w:t>
      </w:r>
      <w:r w:rsidR="002206EF" w:rsidRPr="00185E39">
        <w:t>would result in an outcome that better achieves the allowed rate of return objective.</w:t>
      </w:r>
      <w:r w:rsidR="002206EF" w:rsidRPr="00185E39">
        <w:rPr>
          <w:rStyle w:val="FootnoteReference"/>
        </w:rPr>
        <w:footnoteReference w:id="35"/>
      </w:r>
      <w:r w:rsidR="002206EF" w:rsidRPr="00185E39">
        <w:t xml:space="preserve"> We do not agree with </w:t>
      </w:r>
      <w:r w:rsidR="002206EF">
        <w:t>AGN that our method applied in the draft decision will result in a return on equity which is inconsistent with the allowed rate of return objective.</w:t>
      </w:r>
      <w:r w:rsidR="002206EF">
        <w:rPr>
          <w:rStyle w:val="FootnoteReference"/>
        </w:rPr>
        <w:footnoteReference w:id="36"/>
      </w:r>
      <w:r w:rsidR="002206EF">
        <w:t xml:space="preserve"> </w:t>
      </w:r>
      <w:r w:rsidR="002206EF" w:rsidRPr="00185E39">
        <w:t xml:space="preserve">Our </w:t>
      </w:r>
      <w:r w:rsidR="002206EF">
        <w:t xml:space="preserve">return on equity draft decision and this final decision </w:t>
      </w:r>
      <w:r w:rsidR="002206EF" w:rsidRPr="00185E39">
        <w:t xml:space="preserve">is largely consistent with the </w:t>
      </w:r>
      <w:r w:rsidR="002206EF">
        <w:t xml:space="preserve">views in the </w:t>
      </w:r>
      <w:r w:rsidR="002206EF" w:rsidRPr="00185E39">
        <w:t>Guideline</w:t>
      </w:r>
      <w:r w:rsidR="002206EF">
        <w:t>.</w:t>
      </w:r>
      <w:r w:rsidR="002206EF" w:rsidRPr="00796C00">
        <w:t xml:space="preserve"> </w:t>
      </w:r>
    </w:p>
    <w:p w:rsidR="002206EF" w:rsidRDefault="002206EF" w:rsidP="002206EF">
      <w:pPr>
        <w:pStyle w:val="Caption"/>
      </w:pPr>
      <w:bookmarkStart w:id="111" w:name="_Ref451525790"/>
      <w:r>
        <w:t xml:space="preserve">Table </w:t>
      </w:r>
      <w:r w:rsidRPr="002206EF">
        <w:fldChar w:fldCharType="begin"/>
      </w:r>
      <w:r>
        <w:instrText xml:space="preserve"> SEQ Table \* ARABIC </w:instrText>
      </w:r>
      <w:r w:rsidRPr="002206EF">
        <w:fldChar w:fldCharType="separate"/>
      </w:r>
      <w:r w:rsidR="006E1111">
        <w:rPr>
          <w:noProof/>
        </w:rPr>
        <w:t>7</w:t>
      </w:r>
      <w:r w:rsidRPr="002206EF">
        <w:fldChar w:fldCharType="end"/>
      </w:r>
      <w:bookmarkEnd w:id="111"/>
      <w:r>
        <w:tab/>
        <w:t>Final decision on AGN's return on equity (nominal)</w:t>
      </w:r>
    </w:p>
    <w:tbl>
      <w:tblPr>
        <w:tblStyle w:val="AERtable-numbers"/>
        <w:tblW w:w="5000" w:type="pct"/>
        <w:tblLook w:val="04A0" w:firstRow="1" w:lastRow="0" w:firstColumn="1" w:lastColumn="0" w:noHBand="0" w:noVBand="1"/>
      </w:tblPr>
      <w:tblGrid>
        <w:gridCol w:w="2173"/>
        <w:gridCol w:w="2472"/>
        <w:gridCol w:w="1984"/>
        <w:gridCol w:w="2064"/>
      </w:tblGrid>
      <w:tr w:rsidR="002206EF" w:rsidRPr="000E740F" w:rsidTr="00FD20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2206EF" w:rsidRPr="000E740F" w:rsidRDefault="002206EF" w:rsidP="002206EF">
            <w:pPr>
              <w:numPr>
                <w:ilvl w:val="0"/>
                <w:numId w:val="23"/>
              </w:numPr>
              <w:rPr>
                <w:szCs w:val="16"/>
              </w:rPr>
            </w:pPr>
          </w:p>
        </w:tc>
        <w:tc>
          <w:tcPr>
            <w:tcW w:w="1422" w:type="pct"/>
          </w:tcPr>
          <w:p w:rsidR="002206EF" w:rsidRPr="000E740F" w:rsidRDefault="002206EF" w:rsidP="002206EF">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0E740F">
              <w:rPr>
                <w:sz w:val="16"/>
                <w:szCs w:val="16"/>
              </w:rPr>
              <w:t>Previous  access arrangement (2011–16)</w:t>
            </w:r>
          </w:p>
        </w:tc>
        <w:tc>
          <w:tcPr>
            <w:tcW w:w="1141" w:type="pct"/>
          </w:tcPr>
          <w:p w:rsidR="002206EF" w:rsidRPr="000E740F" w:rsidRDefault="002206EF" w:rsidP="002206EF">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0E740F">
              <w:rPr>
                <w:sz w:val="16"/>
                <w:szCs w:val="16"/>
              </w:rPr>
              <w:t>AGN revised proposal (2016-21)</w:t>
            </w:r>
          </w:p>
        </w:tc>
        <w:tc>
          <w:tcPr>
            <w:tcW w:w="1187" w:type="pct"/>
          </w:tcPr>
          <w:p w:rsidR="002206EF" w:rsidRPr="000E740F" w:rsidRDefault="002206EF" w:rsidP="002206EF">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0E740F">
              <w:rPr>
                <w:sz w:val="16"/>
                <w:szCs w:val="16"/>
              </w:rPr>
              <w:t>AER final decision (2016–21)</w:t>
            </w:r>
          </w:p>
        </w:tc>
      </w:tr>
      <w:tr w:rsidR="002206EF" w:rsidRPr="000E740F" w:rsidTr="00FD201A">
        <w:tc>
          <w:tcPr>
            <w:cnfStyle w:val="001000000000" w:firstRow="0" w:lastRow="0" w:firstColumn="1" w:lastColumn="0" w:oddVBand="0" w:evenVBand="0" w:oddHBand="0" w:evenHBand="0" w:firstRowFirstColumn="0" w:firstRowLastColumn="0" w:lastRowFirstColumn="0" w:lastRowLastColumn="0"/>
            <w:tcW w:w="1250" w:type="pct"/>
          </w:tcPr>
          <w:p w:rsidR="002206EF" w:rsidRPr="000E740F" w:rsidRDefault="002206EF" w:rsidP="002206EF">
            <w:pPr>
              <w:pStyle w:val="AERtabletextleft"/>
              <w:rPr>
                <w:sz w:val="16"/>
                <w:szCs w:val="16"/>
              </w:rPr>
            </w:pPr>
            <w:r w:rsidRPr="000E740F">
              <w:rPr>
                <w:sz w:val="16"/>
                <w:szCs w:val="16"/>
              </w:rPr>
              <w:t>Nominal risk free rate (return on equity only)</w:t>
            </w:r>
          </w:p>
        </w:tc>
        <w:tc>
          <w:tcPr>
            <w:tcW w:w="1422" w:type="pct"/>
          </w:tcPr>
          <w:p w:rsidR="002206EF" w:rsidRPr="000E740F" w:rsidRDefault="002206EF" w:rsidP="002206E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0E740F">
              <w:rPr>
                <w:sz w:val="16"/>
                <w:szCs w:val="16"/>
              </w:rPr>
              <w:t>5.56%</w:t>
            </w:r>
          </w:p>
        </w:tc>
        <w:tc>
          <w:tcPr>
            <w:tcW w:w="1141" w:type="pct"/>
          </w:tcPr>
          <w:p w:rsidR="002206EF" w:rsidRPr="000E740F" w:rsidRDefault="002206EF" w:rsidP="002206EF">
            <w:pPr>
              <w:pStyle w:val="Tabletext"/>
              <w:cnfStyle w:val="000000000000" w:firstRow="0" w:lastRow="0" w:firstColumn="0" w:lastColumn="0" w:oddVBand="0" w:evenVBand="0" w:oddHBand="0" w:evenHBand="0" w:firstRowFirstColumn="0" w:firstRowLastColumn="0" w:lastRowFirstColumn="0" w:lastRowLastColumn="0"/>
              <w:rPr>
                <w:rStyle w:val="AERsuperscript"/>
                <w:szCs w:val="16"/>
              </w:rPr>
            </w:pPr>
            <w:r w:rsidRPr="000E740F">
              <w:rPr>
                <w:sz w:val="16"/>
                <w:szCs w:val="16"/>
              </w:rPr>
              <w:t>2.68%*</w:t>
            </w:r>
          </w:p>
        </w:tc>
        <w:tc>
          <w:tcPr>
            <w:tcW w:w="1187" w:type="pct"/>
          </w:tcPr>
          <w:p w:rsidR="002206EF" w:rsidRPr="000E740F" w:rsidRDefault="002206EF" w:rsidP="002206EF">
            <w:pPr>
              <w:pStyle w:val="Tabletext"/>
              <w:cnfStyle w:val="000000000000" w:firstRow="0" w:lastRow="0" w:firstColumn="0" w:lastColumn="0" w:oddVBand="0" w:evenVBand="0" w:oddHBand="0" w:evenHBand="0" w:firstRowFirstColumn="0" w:firstRowLastColumn="0" w:lastRowFirstColumn="0" w:lastRowLastColumn="0"/>
              <w:rPr>
                <w:rStyle w:val="AERsuperscript"/>
                <w:szCs w:val="16"/>
              </w:rPr>
            </w:pPr>
            <w:r w:rsidRPr="000E740F">
              <w:rPr>
                <w:sz w:val="16"/>
                <w:szCs w:val="16"/>
              </w:rPr>
              <w:t>2.57%**</w:t>
            </w:r>
          </w:p>
        </w:tc>
      </w:tr>
      <w:tr w:rsidR="002206EF" w:rsidRPr="000E740F" w:rsidTr="00FD20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2206EF" w:rsidRPr="000E740F" w:rsidRDefault="002206EF" w:rsidP="002206EF">
            <w:pPr>
              <w:pStyle w:val="AERtabletextleft"/>
              <w:rPr>
                <w:sz w:val="16"/>
                <w:szCs w:val="16"/>
              </w:rPr>
            </w:pPr>
            <w:r w:rsidRPr="000E740F">
              <w:rPr>
                <w:sz w:val="16"/>
                <w:szCs w:val="16"/>
              </w:rPr>
              <w:t xml:space="preserve">Equity risk premium </w:t>
            </w:r>
          </w:p>
        </w:tc>
        <w:tc>
          <w:tcPr>
            <w:tcW w:w="1422" w:type="pct"/>
          </w:tcPr>
          <w:p w:rsidR="002206EF" w:rsidRPr="000E740F" w:rsidRDefault="002206EF" w:rsidP="002206EF">
            <w:pPr>
              <w:pStyle w:val="Tabletext"/>
              <w:cnfStyle w:val="000000010000" w:firstRow="0" w:lastRow="0" w:firstColumn="0" w:lastColumn="0" w:oddVBand="0" w:evenVBand="0" w:oddHBand="0" w:evenHBand="1" w:firstRowFirstColumn="0" w:firstRowLastColumn="0" w:lastRowFirstColumn="0" w:lastRowLastColumn="0"/>
              <w:rPr>
                <w:sz w:val="16"/>
                <w:szCs w:val="16"/>
              </w:rPr>
            </w:pPr>
            <w:r w:rsidRPr="000E740F">
              <w:rPr>
                <w:sz w:val="16"/>
                <w:szCs w:val="16"/>
              </w:rPr>
              <w:t>4.8%</w:t>
            </w:r>
          </w:p>
        </w:tc>
        <w:tc>
          <w:tcPr>
            <w:tcW w:w="1141" w:type="pct"/>
          </w:tcPr>
          <w:p w:rsidR="002206EF" w:rsidRPr="000E740F" w:rsidRDefault="002206EF" w:rsidP="002206EF">
            <w:pPr>
              <w:pStyle w:val="Tabletext"/>
              <w:cnfStyle w:val="000000010000" w:firstRow="0" w:lastRow="0" w:firstColumn="0" w:lastColumn="0" w:oddVBand="0" w:evenVBand="0" w:oddHBand="0" w:evenHBand="1" w:firstRowFirstColumn="0" w:firstRowLastColumn="0" w:lastRowFirstColumn="0" w:lastRowLastColumn="0"/>
              <w:rPr>
                <w:sz w:val="16"/>
                <w:szCs w:val="16"/>
              </w:rPr>
            </w:pPr>
            <w:r w:rsidRPr="000E740F">
              <w:rPr>
                <w:sz w:val="16"/>
                <w:szCs w:val="16"/>
              </w:rPr>
              <w:t>7.16%</w:t>
            </w:r>
          </w:p>
        </w:tc>
        <w:tc>
          <w:tcPr>
            <w:tcW w:w="1187" w:type="pct"/>
          </w:tcPr>
          <w:p w:rsidR="002206EF" w:rsidRPr="000E740F" w:rsidRDefault="002206EF" w:rsidP="002206EF">
            <w:pPr>
              <w:pStyle w:val="Tabletext"/>
              <w:cnfStyle w:val="000000010000" w:firstRow="0" w:lastRow="0" w:firstColumn="0" w:lastColumn="0" w:oddVBand="0" w:evenVBand="0" w:oddHBand="0" w:evenHBand="1" w:firstRowFirstColumn="0" w:firstRowLastColumn="0" w:lastRowFirstColumn="0" w:lastRowLastColumn="0"/>
              <w:rPr>
                <w:sz w:val="16"/>
                <w:szCs w:val="16"/>
              </w:rPr>
            </w:pPr>
            <w:r w:rsidRPr="000E740F">
              <w:rPr>
                <w:sz w:val="16"/>
                <w:szCs w:val="16"/>
              </w:rPr>
              <w:t>4.55%</w:t>
            </w:r>
          </w:p>
        </w:tc>
      </w:tr>
      <w:tr w:rsidR="002206EF" w:rsidRPr="000E740F" w:rsidTr="00FD201A">
        <w:tc>
          <w:tcPr>
            <w:cnfStyle w:val="001000000000" w:firstRow="0" w:lastRow="0" w:firstColumn="1" w:lastColumn="0" w:oddVBand="0" w:evenVBand="0" w:oddHBand="0" w:evenHBand="0" w:firstRowFirstColumn="0" w:firstRowLastColumn="0" w:lastRowFirstColumn="0" w:lastRowLastColumn="0"/>
            <w:tcW w:w="1250" w:type="pct"/>
          </w:tcPr>
          <w:p w:rsidR="002206EF" w:rsidRPr="000E740F" w:rsidRDefault="002206EF" w:rsidP="002206EF">
            <w:pPr>
              <w:pStyle w:val="AERtabletextleft"/>
              <w:rPr>
                <w:sz w:val="16"/>
                <w:szCs w:val="16"/>
              </w:rPr>
            </w:pPr>
            <w:r w:rsidRPr="000E740F">
              <w:rPr>
                <w:sz w:val="16"/>
                <w:szCs w:val="16"/>
              </w:rPr>
              <w:t>MRP</w:t>
            </w:r>
          </w:p>
        </w:tc>
        <w:tc>
          <w:tcPr>
            <w:tcW w:w="1422" w:type="pct"/>
          </w:tcPr>
          <w:p w:rsidR="002206EF" w:rsidRPr="000E740F" w:rsidRDefault="002206EF" w:rsidP="002206E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0E740F">
              <w:rPr>
                <w:sz w:val="16"/>
                <w:szCs w:val="16"/>
              </w:rPr>
              <w:t>6.00%</w:t>
            </w:r>
          </w:p>
        </w:tc>
        <w:tc>
          <w:tcPr>
            <w:tcW w:w="1141" w:type="pct"/>
          </w:tcPr>
          <w:p w:rsidR="002206EF" w:rsidRPr="000E740F" w:rsidRDefault="002206EF" w:rsidP="002206E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0E740F">
              <w:rPr>
                <w:sz w:val="16"/>
                <w:szCs w:val="16"/>
              </w:rPr>
              <w:t>7.89%</w:t>
            </w:r>
          </w:p>
        </w:tc>
        <w:tc>
          <w:tcPr>
            <w:tcW w:w="1187" w:type="pct"/>
          </w:tcPr>
          <w:p w:rsidR="002206EF" w:rsidRPr="000E740F" w:rsidRDefault="002206EF" w:rsidP="002206E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0E740F">
              <w:rPr>
                <w:sz w:val="16"/>
                <w:szCs w:val="16"/>
              </w:rPr>
              <w:t>6.50%</w:t>
            </w:r>
          </w:p>
        </w:tc>
      </w:tr>
      <w:tr w:rsidR="002206EF" w:rsidRPr="000E740F" w:rsidTr="00FD20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2206EF" w:rsidRPr="000E740F" w:rsidRDefault="002206EF" w:rsidP="002206EF">
            <w:pPr>
              <w:pStyle w:val="AERtabletextleft"/>
              <w:rPr>
                <w:sz w:val="16"/>
                <w:szCs w:val="16"/>
              </w:rPr>
            </w:pPr>
            <w:r w:rsidRPr="000E740F">
              <w:rPr>
                <w:sz w:val="16"/>
                <w:szCs w:val="16"/>
              </w:rPr>
              <w:t>Equity beta</w:t>
            </w:r>
          </w:p>
        </w:tc>
        <w:tc>
          <w:tcPr>
            <w:tcW w:w="1422" w:type="pct"/>
          </w:tcPr>
          <w:p w:rsidR="002206EF" w:rsidRPr="000E740F" w:rsidRDefault="002206EF" w:rsidP="002206EF">
            <w:pPr>
              <w:pStyle w:val="Tabletext"/>
              <w:cnfStyle w:val="000000010000" w:firstRow="0" w:lastRow="0" w:firstColumn="0" w:lastColumn="0" w:oddVBand="0" w:evenVBand="0" w:oddHBand="0" w:evenHBand="1" w:firstRowFirstColumn="0" w:firstRowLastColumn="0" w:lastRowFirstColumn="0" w:lastRowLastColumn="0"/>
              <w:rPr>
                <w:sz w:val="16"/>
                <w:szCs w:val="16"/>
              </w:rPr>
            </w:pPr>
            <w:r w:rsidRPr="000E740F">
              <w:rPr>
                <w:sz w:val="16"/>
                <w:szCs w:val="16"/>
              </w:rPr>
              <w:t>0.8</w:t>
            </w:r>
          </w:p>
        </w:tc>
        <w:tc>
          <w:tcPr>
            <w:tcW w:w="1141" w:type="pct"/>
          </w:tcPr>
          <w:p w:rsidR="002206EF" w:rsidRPr="000E740F" w:rsidRDefault="002206EF" w:rsidP="002206EF">
            <w:pPr>
              <w:pStyle w:val="Tabletext"/>
              <w:cnfStyle w:val="000000010000" w:firstRow="0" w:lastRow="0" w:firstColumn="0" w:lastColumn="0" w:oddVBand="0" w:evenVBand="0" w:oddHBand="0" w:evenHBand="1" w:firstRowFirstColumn="0" w:firstRowLastColumn="0" w:lastRowFirstColumn="0" w:lastRowLastColumn="0"/>
              <w:rPr>
                <w:sz w:val="16"/>
                <w:szCs w:val="16"/>
              </w:rPr>
            </w:pPr>
            <w:r w:rsidRPr="000E740F">
              <w:rPr>
                <w:sz w:val="16"/>
                <w:szCs w:val="16"/>
              </w:rPr>
              <w:t>0.91</w:t>
            </w:r>
          </w:p>
        </w:tc>
        <w:tc>
          <w:tcPr>
            <w:tcW w:w="1187" w:type="pct"/>
          </w:tcPr>
          <w:p w:rsidR="002206EF" w:rsidRPr="000E740F" w:rsidRDefault="002206EF" w:rsidP="002206EF">
            <w:pPr>
              <w:pStyle w:val="Tabletext"/>
              <w:cnfStyle w:val="000000010000" w:firstRow="0" w:lastRow="0" w:firstColumn="0" w:lastColumn="0" w:oddVBand="0" w:evenVBand="0" w:oddHBand="0" w:evenHBand="1" w:firstRowFirstColumn="0" w:firstRowLastColumn="0" w:lastRowFirstColumn="0" w:lastRowLastColumn="0"/>
              <w:rPr>
                <w:sz w:val="16"/>
                <w:szCs w:val="16"/>
              </w:rPr>
            </w:pPr>
            <w:r w:rsidRPr="000E740F">
              <w:rPr>
                <w:sz w:val="16"/>
                <w:szCs w:val="16"/>
              </w:rPr>
              <w:t>0.7</w:t>
            </w:r>
          </w:p>
        </w:tc>
      </w:tr>
      <w:tr w:rsidR="002206EF" w:rsidRPr="000E740F" w:rsidTr="00FD201A">
        <w:tc>
          <w:tcPr>
            <w:cnfStyle w:val="001000000000" w:firstRow="0" w:lastRow="0" w:firstColumn="1" w:lastColumn="0" w:oddVBand="0" w:evenVBand="0" w:oddHBand="0" w:evenHBand="0" w:firstRowFirstColumn="0" w:firstRowLastColumn="0" w:lastRowFirstColumn="0" w:lastRowLastColumn="0"/>
            <w:tcW w:w="1250" w:type="pct"/>
          </w:tcPr>
          <w:p w:rsidR="002206EF" w:rsidRPr="000E740F" w:rsidRDefault="002206EF" w:rsidP="002206EF">
            <w:pPr>
              <w:pStyle w:val="AERtabletextleft"/>
              <w:rPr>
                <w:sz w:val="16"/>
                <w:szCs w:val="16"/>
              </w:rPr>
            </w:pPr>
            <w:r w:rsidRPr="000E740F">
              <w:rPr>
                <w:sz w:val="16"/>
                <w:szCs w:val="16"/>
              </w:rPr>
              <w:t xml:space="preserve">Nominal post–tax return on equity </w:t>
            </w:r>
          </w:p>
        </w:tc>
        <w:tc>
          <w:tcPr>
            <w:tcW w:w="1422" w:type="pct"/>
          </w:tcPr>
          <w:p w:rsidR="002206EF" w:rsidRPr="000E740F" w:rsidRDefault="002206EF" w:rsidP="002206E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0E740F">
              <w:rPr>
                <w:sz w:val="16"/>
                <w:szCs w:val="16"/>
              </w:rPr>
              <w:t>10.36%</w:t>
            </w:r>
          </w:p>
        </w:tc>
        <w:tc>
          <w:tcPr>
            <w:tcW w:w="1141" w:type="pct"/>
          </w:tcPr>
          <w:p w:rsidR="002206EF" w:rsidRPr="000E740F" w:rsidRDefault="002206EF" w:rsidP="002206E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0E740F">
              <w:rPr>
                <w:sz w:val="16"/>
                <w:szCs w:val="16"/>
              </w:rPr>
              <w:t>9.84%</w:t>
            </w:r>
            <w:r w:rsidRPr="000E740F">
              <w:rPr>
                <w:rStyle w:val="AERsuperscript"/>
                <w:szCs w:val="16"/>
              </w:rPr>
              <w:t>(a)</w:t>
            </w:r>
          </w:p>
        </w:tc>
        <w:tc>
          <w:tcPr>
            <w:tcW w:w="1187" w:type="pct"/>
          </w:tcPr>
          <w:p w:rsidR="002206EF" w:rsidRPr="000E740F" w:rsidRDefault="002206EF" w:rsidP="002206E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0E740F">
              <w:rPr>
                <w:sz w:val="16"/>
                <w:szCs w:val="16"/>
              </w:rPr>
              <w:t>7.1%</w:t>
            </w:r>
          </w:p>
        </w:tc>
      </w:tr>
    </w:tbl>
    <w:p w:rsidR="002206EF" w:rsidRPr="002206EF" w:rsidRDefault="002206EF" w:rsidP="002206EF">
      <w:pPr>
        <w:pStyle w:val="AERtablesource"/>
      </w:pPr>
      <w:r>
        <w:t>Source:</w:t>
      </w:r>
      <w:r>
        <w:tab/>
        <w:t xml:space="preserve">AER analysis; AGN, </w:t>
      </w:r>
      <w:r w:rsidRPr="002206EF">
        <w:rPr>
          <w:rStyle w:val="AERtextitalic"/>
        </w:rPr>
        <w:t>Attachment 10.26, Response to draft decision: Rate of return</w:t>
      </w:r>
      <w:r w:rsidRPr="002206EF">
        <w:t xml:space="preserve">, 6 January 2016; Envestra, </w:t>
      </w:r>
      <w:r w:rsidRPr="002206EF">
        <w:rPr>
          <w:rStyle w:val="AERtextitalic"/>
        </w:rPr>
        <w:t>Access Arrangement for Envestra's SA gas distribution system: Amended by order of the Australian Competition Tribunal 10 February 2012</w:t>
      </w:r>
      <w:r w:rsidRPr="002206EF">
        <w:t xml:space="preserve">, July 2011.  </w:t>
      </w:r>
    </w:p>
    <w:p w:rsidR="002206EF" w:rsidRDefault="002206EF" w:rsidP="003D1B37">
      <w:pPr>
        <w:pStyle w:val="AERtablesource"/>
      </w:pPr>
      <w:r>
        <w:t xml:space="preserve">* </w:t>
      </w:r>
      <w:r>
        <w:tab/>
        <w:t xml:space="preserve">Calculated with a placeholder </w:t>
      </w:r>
      <w:r w:rsidR="00B4224A">
        <w:t>averaging</w:t>
      </w:r>
      <w:r>
        <w:t xml:space="preserve"> period of 20 business days to 31 October 2015.</w:t>
      </w:r>
    </w:p>
    <w:p w:rsidR="002206EF" w:rsidRPr="002206EF" w:rsidRDefault="002206EF" w:rsidP="003D1B37">
      <w:pPr>
        <w:pStyle w:val="AERtablesource"/>
      </w:pPr>
      <w:r>
        <w:t>**</w:t>
      </w:r>
      <w:r>
        <w:tab/>
        <w:t>Calculated with an averaging period of 20 business days to 24 March agreed upon in advance of its commencement.</w:t>
      </w:r>
    </w:p>
    <w:p w:rsidR="00E56BD8" w:rsidRDefault="002206EF" w:rsidP="00E56BD8">
      <w:r>
        <w:t>Our</w:t>
      </w:r>
      <w:r w:rsidR="00E56BD8">
        <w:t xml:space="preserve"> return on debt estimate for the 2016–17 regulatory year is 5.51 per cent. This estimate will change each year as we partially update the return on debt to reflect prevailing interest rates over AGN's debt averaging period in each year. Our return on debt estimate for future regulatory years will be determined in accordance with the methodology and formulae we have specified in this decision. As a result of updating the return on debt each year, the overall rate of return and </w:t>
      </w:r>
      <w:r w:rsidR="003A260C">
        <w:t xml:space="preserve">consequently </w:t>
      </w:r>
      <w:r w:rsidR="00E56BD8">
        <w:t>AGN's revenue will also be updated.</w:t>
      </w:r>
    </w:p>
    <w:p w:rsidR="00E56BD8" w:rsidRDefault="00E56BD8" w:rsidP="002206EF">
      <w:pPr>
        <w:numPr>
          <w:ilvl w:val="0"/>
          <w:numId w:val="24"/>
        </w:numPr>
      </w:pPr>
      <w:r>
        <w:t xml:space="preserve">Consistent with our draft decision, we agree there should be a transition from the on-the-day approach to the trailing averaging approach. However, we disagree with the hybrid form of transition proposed in AGN's (initial) access arrangement proposal. In its revised proposal, AGN departed from its initial position to apply a transition to the trailing averaging approach. It now proposes to not apply a transition (that is, to immediately move to a trailing average approach). We </w:t>
      </w:r>
      <w:r w:rsidR="002206EF">
        <w:t xml:space="preserve">also </w:t>
      </w:r>
      <w:r>
        <w:t xml:space="preserve">disagree with AGN on this </w:t>
      </w:r>
      <w:r w:rsidR="002206EF">
        <w:t>approach</w:t>
      </w:r>
      <w:r>
        <w:t>.</w:t>
      </w:r>
    </w:p>
    <w:p w:rsidR="00E56BD8" w:rsidRDefault="00E56BD8" w:rsidP="00E56BD8">
      <w:pPr>
        <w:numPr>
          <w:ilvl w:val="0"/>
          <w:numId w:val="24"/>
        </w:numPr>
      </w:pPr>
      <w:r>
        <w:t xml:space="preserve">Consistent with our draft decision, we apply a transition to </w:t>
      </w:r>
      <w:r w:rsidRPr="00F64C8A">
        <w:t xml:space="preserve">both the base rate and debt risk premium </w:t>
      </w:r>
      <w:r>
        <w:t xml:space="preserve">components of the return on debt as per the Guideline. </w:t>
      </w:r>
    </w:p>
    <w:p w:rsidR="00E56BD8" w:rsidRPr="00785836" w:rsidRDefault="00E56BD8" w:rsidP="00E56BD8">
      <w:r>
        <w:t>Our final decision on the return on debt approach is to:</w:t>
      </w:r>
    </w:p>
    <w:p w:rsidR="00E56BD8" w:rsidRPr="00E56BD8" w:rsidRDefault="00E56BD8" w:rsidP="00E56BD8">
      <w:pPr>
        <w:pStyle w:val="AERbulletlistfirststyle"/>
      </w:pPr>
      <w:r>
        <w:t>estimate</w:t>
      </w:r>
      <w:r w:rsidRPr="00E56BD8">
        <w:t xml:space="preserve"> an on-the-day rate (that is, based on prevailing market conditions) in the first regulatory year (2016–17) of the 2016–21 access arrangement period, and</w:t>
      </w:r>
    </w:p>
    <w:p w:rsidR="00E56BD8" w:rsidRPr="00E56BD8" w:rsidRDefault="00E56BD8" w:rsidP="00E56BD8">
      <w:pPr>
        <w:pStyle w:val="AERbulletlistfirststyle"/>
      </w:pPr>
      <w:r>
        <w:t>gradually transition</w:t>
      </w:r>
      <w:r w:rsidRPr="00E56BD8">
        <w:t xml:space="preserve"> this rate into a trailing average approach (that is, a moving historical average) over 10 years.</w:t>
      </w:r>
      <w:r w:rsidRPr="00E56BD8">
        <w:rPr>
          <w:rStyle w:val="FootnoteReference"/>
        </w:rPr>
        <w:footnoteReference w:id="37"/>
      </w:r>
    </w:p>
    <w:p w:rsidR="00CF00DE" w:rsidRDefault="00CF00DE" w:rsidP="00CF00DE">
      <w:pPr>
        <w:pStyle w:val="Heading2"/>
      </w:pPr>
      <w:bookmarkStart w:id="112" w:name="_Toc430002791"/>
      <w:bookmarkStart w:id="113" w:name="_Ref433375547"/>
      <w:bookmarkStart w:id="114" w:name="_Toc436037698"/>
      <w:bookmarkStart w:id="115" w:name="_Toc451873370"/>
      <w:r>
        <w:t>Value of imputation credits (gamma)</w:t>
      </w:r>
      <w:bookmarkEnd w:id="112"/>
      <w:bookmarkEnd w:id="113"/>
      <w:bookmarkEnd w:id="114"/>
      <w:bookmarkEnd w:id="115"/>
    </w:p>
    <w:p w:rsidR="00F66146" w:rsidRDefault="00F66146" w:rsidP="00F66146">
      <w:pPr>
        <w:numPr>
          <w:ilvl w:val="0"/>
          <w:numId w:val="24"/>
        </w:numPr>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38"/>
      </w:r>
      <w:r w:rsidRPr="00A3318E">
        <w:t xml:space="preserve"> </w:t>
      </w:r>
      <w:r>
        <w:t xml:space="preserve">These are received after company income tax is paid, but before personal income tax is paid. </w:t>
      </w:r>
      <w:r w:rsidRPr="00A3318E">
        <w:t xml:space="preserve">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w:t>
      </w:r>
      <w:r>
        <w:t xml:space="preserve">valuable to investors and are </w:t>
      </w:r>
      <w:r w:rsidRPr="00A3318E">
        <w:t xml:space="preserve">a benefit to investors in addition to any cash dividend or capital gains </w:t>
      </w:r>
      <w:r>
        <w:t xml:space="preserve">they receive </w:t>
      </w:r>
      <w:r w:rsidRPr="00A3318E">
        <w:t>from owning shares.</w:t>
      </w:r>
    </w:p>
    <w:p w:rsidR="00F66146" w:rsidRPr="00E356F9" w:rsidRDefault="00F66146" w:rsidP="00F66146">
      <w:pPr>
        <w:numPr>
          <w:ilvl w:val="0"/>
          <w:numId w:val="24"/>
        </w:numPr>
      </w:pPr>
      <w:r>
        <w:t>However, the estimation of the return on equity does not take imputation credits into account.</w:t>
      </w:r>
      <w:r>
        <w:rPr>
          <w:rStyle w:val="FootnoteReference"/>
        </w:rPr>
        <w:footnoteReference w:id="39"/>
      </w:r>
      <w:r>
        <w:t xml:space="preserve"> Therefore, an adjustment for the value of imputation credits is required. This adjustment could take the form of a decrease in the estimated return on equity itself. An alternative but equivalent form of adjustment, which is employed under the NGR, is via the revenue granted to a service provider to cover its expected tax liability. Specifically, the NGR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t>, 'gamma').</w:t>
      </w:r>
      <w:r>
        <w:rPr>
          <w:rStyle w:val="FootnoteReference"/>
        </w:rPr>
        <w:footnoteReference w:id="40"/>
      </w:r>
      <w:r>
        <w:t xml:space="preserve"> This form of adjustment recognises that it is the payment of corporate tax which is the source of the imputation credit return to investors.</w:t>
      </w:r>
    </w:p>
    <w:p w:rsidR="00F66146" w:rsidRDefault="00F66146" w:rsidP="00F66146">
      <w:pPr>
        <w:numPr>
          <w:ilvl w:val="0"/>
          <w:numId w:val="24"/>
        </w:numPr>
      </w:pPr>
      <w:r>
        <w:t>W</w:t>
      </w:r>
      <w:r w:rsidRPr="001243BA">
        <w:t>e adopt a value of imputation credits of 0.4</w:t>
      </w:r>
      <w:r>
        <w:t xml:space="preserve"> for this decision, based on our conceptual approach and a wide range of relevant evidence</w:t>
      </w:r>
      <w:r w:rsidRPr="001243BA">
        <w:t>.</w:t>
      </w:r>
      <w:r>
        <w:t xml:space="preserve"> </w:t>
      </w:r>
      <w:r w:rsidRPr="001243BA">
        <w:t>Estimating the value of imputation credits is a complex and imprecise task</w:t>
      </w:r>
      <w:r>
        <w:t>, and as such, requires the use of regulatory judgement</w:t>
      </w:r>
      <w:r w:rsidRPr="001243BA">
        <w:t>. There is no consensus among experts on the appropriate value or estimation techniques to use.</w:t>
      </w:r>
      <w:r w:rsidRPr="00876008">
        <w:rPr>
          <w:rStyle w:val="FootnoteReference"/>
        </w:rPr>
        <w:t xml:space="preserve"> </w:t>
      </w:r>
      <w:r w:rsidRPr="001243BA">
        <w:t>Conceptually, the value of imputation credits must be between 0 and 1, and the range of expert views on the value of imputation credits is almost this wide.</w:t>
      </w:r>
    </w:p>
    <w:p w:rsidR="00F66146" w:rsidRPr="001243BA" w:rsidRDefault="00F66146" w:rsidP="00F66146">
      <w:pPr>
        <w:numPr>
          <w:ilvl w:val="0"/>
          <w:numId w:val="24"/>
        </w:numPr>
      </w:pPr>
      <w:r w:rsidRPr="001243BA">
        <w:t xml:space="preserve">We do not accept </w:t>
      </w:r>
      <w:r>
        <w:t>AGN's</w:t>
      </w:r>
      <w:r w:rsidRPr="001243BA">
        <w:t xml:space="preserve"> proposed value of imputation credits of 0.25.</w:t>
      </w:r>
      <w:r>
        <w:rPr>
          <w:rStyle w:val="FootnoteReference"/>
        </w:rPr>
        <w:footnoteReference w:id="41"/>
      </w:r>
      <w:r w:rsidRPr="001243BA">
        <w:t xml:space="preserve"> </w:t>
      </w:r>
      <w:r>
        <w:t>We assessed its reasoning in its revised proposal, and respond in detail in Attachment 4.</w:t>
      </w:r>
      <w:r w:rsidRPr="002B5C63">
        <w:rPr>
          <w:rStyle w:val="AERbody"/>
        </w:rPr>
        <w:t xml:space="preserve"> </w:t>
      </w:r>
      <w:r>
        <w:rPr>
          <w:rStyle w:val="AERbody"/>
        </w:rPr>
        <w:t>After</w:t>
      </w:r>
      <w:r w:rsidRPr="005942A6">
        <w:rPr>
          <w:rStyle w:val="AERbody"/>
        </w:rPr>
        <w:t xml:space="preserve"> </w:t>
      </w:r>
      <w:r>
        <w:t>AGN</w:t>
      </w:r>
      <w:r w:rsidRPr="001243BA">
        <w:t xml:space="preserve"> </w:t>
      </w:r>
      <w:r w:rsidRPr="005942A6">
        <w:rPr>
          <w:rStyle w:val="AERbody"/>
        </w:rPr>
        <w:t xml:space="preserve">submitted </w:t>
      </w:r>
      <w:r>
        <w:rPr>
          <w:rStyle w:val="AERbody"/>
        </w:rPr>
        <w:t>its</w:t>
      </w:r>
      <w:r w:rsidRPr="005942A6">
        <w:rPr>
          <w:rStyle w:val="AERbody"/>
        </w:rPr>
        <w:t xml:space="preserve"> revised proposal, a number of service providers made late submissions.</w:t>
      </w:r>
      <w:r>
        <w:rPr>
          <w:rStyle w:val="FootnoteReference"/>
        </w:rPr>
        <w:footnoteReference w:id="42"/>
      </w:r>
      <w:r w:rsidRPr="005942A6">
        <w:rPr>
          <w:rStyle w:val="AERbody"/>
        </w:rPr>
        <w:t xml:space="preserve"> These late submissions asked us to take into account a range of issues identified in the recent Australian Competition Tribunal (the Tribunal) decisions for ActewAGL Distribution, Ausgrid, Endeavour Energy, Essential Energy and Jemena Gas Networks.</w:t>
      </w:r>
      <w:r w:rsidRPr="005942A6">
        <w:rPr>
          <w:rStyle w:val="FootnoteReference"/>
        </w:rPr>
        <w:footnoteReference w:id="43"/>
      </w:r>
      <w:r w:rsidRPr="002B5C63">
        <w:t xml:space="preserve"> </w:t>
      </w:r>
      <w:r w:rsidRPr="002B5C63">
        <w:rPr>
          <w:rStyle w:val="AERbody"/>
        </w:rPr>
        <w:t>We have considered these submissions as fully as possible in the</w:t>
      </w:r>
      <w:r>
        <w:rPr>
          <w:rStyle w:val="AERbody"/>
        </w:rPr>
        <w:t xml:space="preserve"> limited</w:t>
      </w:r>
      <w:r w:rsidRPr="002B5C63">
        <w:rPr>
          <w:rStyle w:val="AERbody"/>
        </w:rPr>
        <w:t xml:space="preserve"> time permitted</w:t>
      </w:r>
      <w:r>
        <w:rPr>
          <w:rStyle w:val="AERbody"/>
        </w:rPr>
        <w:t>, and we set out our response in Attachment 4</w:t>
      </w:r>
      <w:r w:rsidRPr="002B5C63">
        <w:rPr>
          <w:rStyle w:val="AERbody"/>
        </w:rPr>
        <w:t>. We also sought expert advice from Dr Martin Lally (Lally)</w:t>
      </w:r>
      <w:r>
        <w:rPr>
          <w:rStyle w:val="AERbody"/>
        </w:rPr>
        <w:t>, in response to the issues raised in these submissions.</w:t>
      </w:r>
      <w:r>
        <w:rPr>
          <w:rStyle w:val="FootnoteReference"/>
        </w:rPr>
        <w:footnoteReference w:id="44"/>
      </w:r>
    </w:p>
    <w:p w:rsidR="00F66146" w:rsidRDefault="00F66146" w:rsidP="00F66146">
      <w:pPr>
        <w:numPr>
          <w:ilvl w:val="0"/>
          <w:numId w:val="24"/>
        </w:numPr>
      </w:pPr>
      <w:r>
        <w:t>In light of the above, i</w:t>
      </w:r>
      <w:r w:rsidRPr="001243BA">
        <w:t>n coming to a value of imputation credits of 0.4</w:t>
      </w:r>
      <w:r>
        <w:t>:</w:t>
      </w:r>
    </w:p>
    <w:p w:rsidR="00F66146" w:rsidRDefault="00F66146" w:rsidP="00F66146">
      <w:pPr>
        <w:pStyle w:val="AERbulletlistfirststyle"/>
      </w:pPr>
      <w:r>
        <w:t xml:space="preserve">We </w:t>
      </w:r>
      <w:r w:rsidRPr="00133451">
        <w:t>adopt a conceptual approach consistent with the Officer framework, which we consider best promotes the objecti</w:t>
      </w:r>
      <w:r>
        <w:t xml:space="preserve">ves and requirements of the </w:t>
      </w:r>
      <w:r w:rsidRPr="00133451">
        <w:t>NGR. We consider this conceptual approach allows for the value of imputation credits to be estimated on a consistent basis with the allowed rate of return and allowed revenues under th</w:t>
      </w:r>
      <w:r>
        <w:t xml:space="preserve">e post-tax framework in the </w:t>
      </w:r>
      <w:r w:rsidRPr="00133451">
        <w:t>NGR</w:t>
      </w:r>
      <w:r>
        <w:t>.</w:t>
      </w:r>
      <w:r>
        <w:rPr>
          <w:rStyle w:val="FootnoteReference"/>
        </w:rPr>
        <w:footnoteReference w:id="45"/>
      </w:r>
      <w:r>
        <w:t xml:space="preserve"> </w:t>
      </w:r>
    </w:p>
    <w:p w:rsidR="00F66146" w:rsidRDefault="00F66146" w:rsidP="00F66146">
      <w:pPr>
        <w:pStyle w:val="AERbulletlistfirststyle"/>
      </w:pPr>
      <w:r w:rsidRPr="002A5955">
        <w:t>We use the widely accepted approach of estimating the value of imputation credits as the product of two sub-parameters: the 'distribution rate' and the 'utilisation</w:t>
      </w:r>
      <w:r>
        <w:t xml:space="preserve"> rate'. We use a wide range of relevant evidence to estimate these parameters, having regard to expert advice on each source of relevant evidence.</w:t>
      </w:r>
    </w:p>
    <w:p w:rsidR="00F66146" w:rsidRDefault="00F66146" w:rsidP="00F66146">
      <w:pPr>
        <w:pStyle w:val="AERbulletlistfirststyle"/>
      </w:pPr>
      <w:r w:rsidRPr="002A5955">
        <w:tab/>
        <w:t>Overall, the evidence suggests a range of estimates for the value of imputation credits might be reasonable. With regard to the merits of the evidence before us, we choose a value of imputation credits of 0.4 from within a range of 0.3 to 0.5.</w:t>
      </w:r>
    </w:p>
    <w:p w:rsidR="00F66146" w:rsidRDefault="00F66146" w:rsidP="00F66146">
      <w:pPr>
        <w:pStyle w:val="AERbulletlistfirststyle"/>
      </w:pPr>
      <w:r>
        <w:t>Lally's latest advice</w:t>
      </w:r>
      <w:r w:rsidRPr="001D505C">
        <w:t xml:space="preserve"> recommended </w:t>
      </w:r>
      <w:r>
        <w:t xml:space="preserve">a value of imputation credits </w:t>
      </w:r>
      <w:r w:rsidR="008877B8">
        <w:t>of at least</w:t>
      </w:r>
      <w:r w:rsidRPr="001D505C">
        <w:t xml:space="preserve"> 0.5. This is higher than the estimate of 0.4 we adopt in this decision. We maintain our approach and final estimate because we consider it me</w:t>
      </w:r>
      <w:r>
        <w:t xml:space="preserve">ets the requirements of the </w:t>
      </w:r>
      <w:r w:rsidRPr="001D505C">
        <w:t xml:space="preserve">NGR, taking into account the importance of regulatory certainty and predictability. </w:t>
      </w:r>
    </w:p>
    <w:p w:rsidR="00F66146" w:rsidRDefault="00F66146" w:rsidP="00F66146">
      <w:pPr>
        <w:numPr>
          <w:ilvl w:val="0"/>
          <w:numId w:val="24"/>
        </w:numPr>
      </w:pPr>
      <w:r>
        <w:t>We elaborate on our reasons for this decision in Attachment 4.</w:t>
      </w:r>
      <w:r w:rsidR="00AC34F4">
        <w:t xml:space="preserve"> </w:t>
      </w:r>
    </w:p>
    <w:p w:rsidR="00CF00DE" w:rsidRPr="00CF00DE" w:rsidRDefault="00CF00DE" w:rsidP="008877B8">
      <w:pPr>
        <w:pStyle w:val="Heading2"/>
        <w:keepNext/>
      </w:pPr>
      <w:bookmarkStart w:id="116" w:name="_Toc430002792"/>
      <w:bookmarkStart w:id="117" w:name="_Ref433373930"/>
      <w:bookmarkStart w:id="118" w:name="_Ref435794500"/>
      <w:bookmarkStart w:id="119" w:name="_Toc436037699"/>
      <w:bookmarkStart w:id="120" w:name="_Toc451873371"/>
      <w:r>
        <w:t>Regulatory depreciation (return of capital)</w:t>
      </w:r>
      <w:bookmarkEnd w:id="116"/>
      <w:bookmarkEnd w:id="117"/>
      <w:bookmarkEnd w:id="118"/>
      <w:bookmarkEnd w:id="119"/>
      <w:bookmarkEnd w:id="120"/>
    </w:p>
    <w:p w:rsidR="00CF00DE" w:rsidRPr="00CF00DE" w:rsidRDefault="00CF00DE" w:rsidP="008877B8">
      <w:pPr>
        <w:keepNext/>
      </w:pPr>
      <w:r>
        <w:t>R</w:t>
      </w:r>
      <w:r w:rsidRPr="00CF00DE">
        <w:t xml:space="preserve">egulatory depreciation is a component of the annual </w:t>
      </w:r>
      <w:r w:rsidR="00A311A2">
        <w:t xml:space="preserve">building block </w:t>
      </w:r>
      <w:r w:rsidRPr="00CF00DE">
        <w:t>revenue requirement.</w:t>
      </w:r>
      <w:r w:rsidRPr="00CF00DE">
        <w:rPr>
          <w:rStyle w:val="FootnoteReference"/>
        </w:rPr>
        <w:footnoteReference w:id="46"/>
      </w:r>
      <w:r w:rsidRPr="00CF00DE">
        <w:t xml:space="preserve"> When determining </w:t>
      </w:r>
      <w:r w:rsidR="00D1561B">
        <w:t>AGN’s forecast total revenue requirement</w:t>
      </w:r>
      <w:r w:rsidRPr="00CF00DE">
        <w:t>, we must decide on the depreciation for the projected capital base (</w:t>
      </w:r>
      <w:r w:rsidR="00D1561B">
        <w:t>the</w:t>
      </w:r>
      <w:r w:rsidRPr="00CF00DE">
        <w:t xml:space="preserve"> ‘return of capital’).</w:t>
      </w:r>
      <w:r w:rsidRPr="00CF00DE">
        <w:rPr>
          <w:rStyle w:val="FootnoteReference"/>
        </w:rPr>
        <w:footnoteReference w:id="47"/>
      </w:r>
      <w:r w:rsidRPr="00CF00DE">
        <w:t xml:space="preserve"> Regulatory depreciation is used to model the nominal asset values over the 2016–21 access arrangement period and the depreciation forecast in the total revenue requirement.</w:t>
      </w:r>
    </w:p>
    <w:p w:rsidR="00CF00DE" w:rsidRPr="00D57689" w:rsidRDefault="00A311A2" w:rsidP="00CF00DE">
      <w:r>
        <w:t>A</w:t>
      </w:r>
      <w:r w:rsidR="00CF00DE" w:rsidRPr="00D57689">
        <w:t xml:space="preserve"> </w:t>
      </w:r>
      <w:r w:rsidR="00CF00DE">
        <w:t>service provider</w:t>
      </w:r>
      <w:r w:rsidR="00CF00DE" w:rsidRPr="00D57689">
        <w:t xml:space="preserve"> can only recover the capex it has incurred on assets once. The depreciation </w:t>
      </w:r>
      <w:r w:rsidR="00CF00DE">
        <w:t>forecast</w:t>
      </w:r>
      <w:r w:rsidR="00CF00DE" w:rsidRPr="00D57689">
        <w:t xml:space="preserve"> reflects how quickly the </w:t>
      </w:r>
      <w:r w:rsidR="00CF00DE">
        <w:t>capital base</w:t>
      </w:r>
      <w:r w:rsidR="00CF00DE" w:rsidRPr="00D57689">
        <w:t xml:space="preserve"> is being recovered and is based on the remaining and standard </w:t>
      </w:r>
      <w:r w:rsidR="00CF00DE">
        <w:t>asset</w:t>
      </w:r>
      <w:r w:rsidR="00CF00DE" w:rsidRPr="00D57689">
        <w:t xml:space="preserve"> lives used in the depreciation calculation. Higher (or quicker) depreciation leads to higher revenues over the </w:t>
      </w:r>
      <w:r w:rsidR="00CF00DE">
        <w:t>access arrangement</w:t>
      </w:r>
      <w:r w:rsidR="00CF00DE" w:rsidRPr="00D57689">
        <w:t xml:space="preserve"> period. It also causes the </w:t>
      </w:r>
      <w:r w:rsidR="00CF00DE">
        <w:t xml:space="preserve">capital base </w:t>
      </w:r>
      <w:r w:rsidR="00CF00DE" w:rsidRPr="00D57689">
        <w:t xml:space="preserve">to reduce more quickly (assuming no further capex). This reduces the return on capital </w:t>
      </w:r>
      <w:r w:rsidR="00CF00DE">
        <w:t>building block</w:t>
      </w:r>
      <w:r w:rsidR="00CF00DE" w:rsidRPr="00D57689">
        <w:t xml:space="preserve">, although this impact is usually </w:t>
      </w:r>
      <w:r w:rsidR="00CF00DE">
        <w:t>less than that of</w:t>
      </w:r>
      <w:r w:rsidR="00CF00DE" w:rsidRPr="00D57689">
        <w:t xml:space="preserve"> the increased depreciation </w:t>
      </w:r>
      <w:r w:rsidR="00CF00DE">
        <w:t>forecast</w:t>
      </w:r>
      <w:r w:rsidR="00CF00DE" w:rsidRPr="00D57689">
        <w:t xml:space="preserve">. </w:t>
      </w:r>
    </w:p>
    <w:p w:rsidR="00CF00DE" w:rsidRDefault="00CF00DE" w:rsidP="00CF00DE">
      <w:r>
        <w:t xml:space="preserve">In </w:t>
      </w:r>
      <w:r w:rsidR="00A311A2">
        <w:t xml:space="preserve">coming to </w:t>
      </w:r>
      <w:r>
        <w:t>a decision on the proposed depreciation schedule, we assess the compliance of the proposed depreciation schedule with the depreciation criteria set out in the NGR.</w:t>
      </w:r>
      <w:r>
        <w:rPr>
          <w:rStyle w:val="FootnoteReference"/>
        </w:rPr>
        <w:footnoteReference w:id="48"/>
      </w:r>
      <w:r>
        <w:t xml:space="preserve"> We must also take into account the NGO and the revenue and pricing principles.</w:t>
      </w:r>
      <w:r>
        <w:rPr>
          <w:rStyle w:val="FootnoteReference"/>
        </w:rPr>
        <w:footnoteReference w:id="49"/>
      </w:r>
      <w:r>
        <w:t xml:space="preserve"> If a proposed depreciation schedule complies with the NGR, we must approve it. </w:t>
      </w:r>
    </w:p>
    <w:p w:rsidR="00FD6A13" w:rsidRPr="00A27483" w:rsidRDefault="00FD6A13" w:rsidP="00FD6A13">
      <w:r w:rsidRPr="00A27483">
        <w:t xml:space="preserve">Our </w:t>
      </w:r>
      <w:r>
        <w:t>final</w:t>
      </w:r>
      <w:r w:rsidRPr="00A27483">
        <w:t xml:space="preserve"> decision on AGN's regulatory depreciation allowance is $</w:t>
      </w:r>
      <w:r w:rsidR="00FA0D4B">
        <w:t>93.6</w:t>
      </w:r>
      <w:r w:rsidR="00123BC4">
        <w:t xml:space="preserve"> </w:t>
      </w:r>
      <w:r w:rsidRPr="00A27483">
        <w:t>million ($nominal) over the 2016–21 access arrangement period as set out in</w:t>
      </w:r>
      <w:r>
        <w:t xml:space="preserve"> </w:t>
      </w:r>
      <w:r>
        <w:fldChar w:fldCharType="begin"/>
      </w:r>
      <w:r>
        <w:instrText xml:space="preserve"> REF _Ref447540231 \h </w:instrText>
      </w:r>
      <w:r>
        <w:fldChar w:fldCharType="separate"/>
      </w:r>
      <w:r w:rsidR="006E1111">
        <w:t xml:space="preserve">Table </w:t>
      </w:r>
      <w:r w:rsidR="006E1111">
        <w:rPr>
          <w:noProof/>
        </w:rPr>
        <w:t>8</w:t>
      </w:r>
      <w:r>
        <w:fldChar w:fldCharType="end"/>
      </w:r>
      <w:r w:rsidRPr="00A27483">
        <w:t>.</w:t>
      </w:r>
    </w:p>
    <w:p w:rsidR="00FD6A13" w:rsidRPr="009C44DD" w:rsidRDefault="00FD6A13" w:rsidP="00DB5002">
      <w:pPr>
        <w:pStyle w:val="Caption"/>
        <w:keepLines/>
      </w:pPr>
      <w:bookmarkStart w:id="121" w:name="_Ref447540231"/>
      <w:r>
        <w:t xml:space="preserve">Table </w:t>
      </w:r>
      <w:fldSimple w:instr=" SEQ Table \* ARABIC ">
        <w:r w:rsidR="006E1111">
          <w:rPr>
            <w:noProof/>
          </w:rPr>
          <w:t>8</w:t>
        </w:r>
      </w:fldSimple>
      <w:bookmarkEnd w:id="121"/>
      <w:r w:rsidRPr="009C44DD">
        <w:tab/>
        <w:t xml:space="preserve">AER's </w:t>
      </w:r>
      <w:r>
        <w:t>final</w:t>
      </w:r>
      <w:r w:rsidRPr="009C44DD">
        <w:t xml:space="preserve"> decision on AGN's regulatory depreciation allowance for the 2016–21 access arrangement period ($million, nominal)</w:t>
      </w:r>
    </w:p>
    <w:tbl>
      <w:tblPr>
        <w:tblStyle w:val="AERtable-numbers"/>
        <w:tblW w:w="8755" w:type="dxa"/>
        <w:tblLayout w:type="fixed"/>
        <w:tblLook w:val="04A0" w:firstRow="1" w:lastRow="0" w:firstColumn="1" w:lastColumn="0" w:noHBand="0" w:noVBand="1"/>
      </w:tblPr>
      <w:tblGrid>
        <w:gridCol w:w="2866"/>
        <w:gridCol w:w="981"/>
        <w:gridCol w:w="982"/>
        <w:gridCol w:w="981"/>
        <w:gridCol w:w="982"/>
        <w:gridCol w:w="981"/>
        <w:gridCol w:w="982"/>
      </w:tblGrid>
      <w:tr w:rsidR="00FD6A13" w:rsidRPr="00A575B0" w:rsidTr="00FD6A1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hideMark/>
          </w:tcPr>
          <w:p w:rsidR="00FD6A13" w:rsidRPr="00A575B0" w:rsidRDefault="00FD6A13" w:rsidP="00DB5002">
            <w:pPr>
              <w:keepNext/>
              <w:keepLines/>
            </w:pPr>
          </w:p>
        </w:tc>
        <w:tc>
          <w:tcPr>
            <w:tcW w:w="981" w:type="dxa"/>
            <w:noWrap/>
          </w:tcPr>
          <w:p w:rsidR="00FD6A13" w:rsidRPr="00FD6A13" w:rsidRDefault="00FD6A13" w:rsidP="00DB5002">
            <w:pPr>
              <w:keepNext/>
              <w:keepLines/>
              <w:cnfStyle w:val="100000000000" w:firstRow="1" w:lastRow="0" w:firstColumn="0" w:lastColumn="0" w:oddVBand="0" w:evenVBand="0" w:oddHBand="0" w:evenHBand="0" w:firstRowFirstColumn="0" w:firstRowLastColumn="0" w:lastRowFirstColumn="0" w:lastRowLastColumn="0"/>
            </w:pPr>
            <w:r w:rsidRPr="00A575B0">
              <w:t>2016–17</w:t>
            </w:r>
          </w:p>
        </w:tc>
        <w:tc>
          <w:tcPr>
            <w:tcW w:w="982" w:type="dxa"/>
            <w:noWrap/>
          </w:tcPr>
          <w:p w:rsidR="00FD6A13" w:rsidRPr="00FD6A13" w:rsidRDefault="00FD6A13" w:rsidP="00DB5002">
            <w:pPr>
              <w:keepNext/>
              <w:keepLines/>
              <w:cnfStyle w:val="100000000000" w:firstRow="1" w:lastRow="0" w:firstColumn="0" w:lastColumn="0" w:oddVBand="0" w:evenVBand="0" w:oddHBand="0" w:evenHBand="0" w:firstRowFirstColumn="0" w:firstRowLastColumn="0" w:lastRowFirstColumn="0" w:lastRowLastColumn="0"/>
            </w:pPr>
            <w:r w:rsidRPr="00A575B0">
              <w:t>2017–18</w:t>
            </w:r>
          </w:p>
        </w:tc>
        <w:tc>
          <w:tcPr>
            <w:tcW w:w="981" w:type="dxa"/>
            <w:noWrap/>
          </w:tcPr>
          <w:p w:rsidR="00FD6A13" w:rsidRPr="00FD6A13" w:rsidRDefault="00FD6A13" w:rsidP="00DB5002">
            <w:pPr>
              <w:keepNext/>
              <w:keepLines/>
              <w:cnfStyle w:val="100000000000" w:firstRow="1" w:lastRow="0" w:firstColumn="0" w:lastColumn="0" w:oddVBand="0" w:evenVBand="0" w:oddHBand="0" w:evenHBand="0" w:firstRowFirstColumn="0" w:firstRowLastColumn="0" w:lastRowFirstColumn="0" w:lastRowLastColumn="0"/>
            </w:pPr>
            <w:r w:rsidRPr="005B4094">
              <w:t>2018–19</w:t>
            </w:r>
          </w:p>
        </w:tc>
        <w:tc>
          <w:tcPr>
            <w:tcW w:w="982" w:type="dxa"/>
            <w:noWrap/>
          </w:tcPr>
          <w:p w:rsidR="00FD6A13" w:rsidRPr="00FD6A13" w:rsidRDefault="00FD6A13" w:rsidP="00DB5002">
            <w:pPr>
              <w:keepNext/>
              <w:keepLines/>
              <w:cnfStyle w:val="100000000000" w:firstRow="1" w:lastRow="0" w:firstColumn="0" w:lastColumn="0" w:oddVBand="0" w:evenVBand="0" w:oddHBand="0" w:evenHBand="0" w:firstRowFirstColumn="0" w:firstRowLastColumn="0" w:lastRowFirstColumn="0" w:lastRowLastColumn="0"/>
            </w:pPr>
            <w:r w:rsidRPr="005B4094">
              <w:t>2019–20</w:t>
            </w:r>
          </w:p>
        </w:tc>
        <w:tc>
          <w:tcPr>
            <w:tcW w:w="981" w:type="dxa"/>
            <w:noWrap/>
          </w:tcPr>
          <w:p w:rsidR="00FD6A13" w:rsidRPr="00FD6A13" w:rsidRDefault="00FD6A13" w:rsidP="00DB5002">
            <w:pPr>
              <w:keepNext/>
              <w:keepLines/>
              <w:cnfStyle w:val="100000000000" w:firstRow="1" w:lastRow="0" w:firstColumn="0" w:lastColumn="0" w:oddVBand="0" w:evenVBand="0" w:oddHBand="0" w:evenHBand="0" w:firstRowFirstColumn="0" w:firstRowLastColumn="0" w:lastRowFirstColumn="0" w:lastRowLastColumn="0"/>
            </w:pPr>
            <w:r w:rsidRPr="00F77C82">
              <w:t>2020–21</w:t>
            </w:r>
          </w:p>
        </w:tc>
        <w:tc>
          <w:tcPr>
            <w:tcW w:w="982" w:type="dxa"/>
          </w:tcPr>
          <w:p w:rsidR="00FD6A13" w:rsidRPr="00FD6A13" w:rsidRDefault="00FD6A13" w:rsidP="00DB5002">
            <w:pPr>
              <w:keepNext/>
              <w:keepLines/>
              <w:cnfStyle w:val="100000000000" w:firstRow="1" w:lastRow="0" w:firstColumn="0" w:lastColumn="0" w:oddVBand="0" w:evenVBand="0" w:oddHBand="0" w:evenHBand="0" w:firstRowFirstColumn="0" w:firstRowLastColumn="0" w:lastRowFirstColumn="0" w:lastRowLastColumn="0"/>
            </w:pPr>
            <w:r w:rsidRPr="00F77C82">
              <w:t>Total</w:t>
            </w:r>
          </w:p>
        </w:tc>
      </w:tr>
      <w:tr w:rsidR="00123BC4" w:rsidRPr="009603F9" w:rsidTr="00FD6A13">
        <w:trPr>
          <w:trHeight w:val="300"/>
        </w:trPr>
        <w:tc>
          <w:tcPr>
            <w:cnfStyle w:val="001000000000" w:firstRow="0" w:lastRow="0" w:firstColumn="1" w:lastColumn="0" w:oddVBand="0" w:evenVBand="0" w:oddHBand="0" w:evenHBand="0" w:firstRowFirstColumn="0" w:firstRowLastColumn="0" w:lastRowFirstColumn="0" w:lastRowLastColumn="0"/>
            <w:tcW w:w="2866" w:type="dxa"/>
            <w:noWrap/>
            <w:hideMark/>
          </w:tcPr>
          <w:p w:rsidR="00123BC4" w:rsidRPr="00123BC4" w:rsidRDefault="00123BC4" w:rsidP="00DB5002">
            <w:pPr>
              <w:keepNext/>
            </w:pPr>
            <w:r w:rsidRPr="00123BC4">
              <w:t>Straight-line depreciation</w:t>
            </w:r>
          </w:p>
        </w:tc>
        <w:tc>
          <w:tcPr>
            <w:tcW w:w="981" w:type="dxa"/>
            <w:noWrap/>
          </w:tcPr>
          <w:p w:rsidR="00123BC4" w:rsidRPr="00123BC4" w:rsidRDefault="00873929" w:rsidP="00DB5002">
            <w:pPr>
              <w:keepNext/>
              <w:cnfStyle w:val="000000000000" w:firstRow="0" w:lastRow="0" w:firstColumn="0" w:lastColumn="0" w:oddVBand="0" w:evenVBand="0" w:oddHBand="0" w:evenHBand="0" w:firstRowFirstColumn="0" w:firstRowLastColumn="0" w:lastRowFirstColumn="0" w:lastRowLastColumn="0"/>
            </w:pPr>
            <w:r>
              <w:t>44.3</w:t>
            </w:r>
          </w:p>
        </w:tc>
        <w:tc>
          <w:tcPr>
            <w:tcW w:w="982" w:type="dxa"/>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pPr>
            <w:r>
              <w:t>50.0</w:t>
            </w:r>
          </w:p>
        </w:tc>
        <w:tc>
          <w:tcPr>
            <w:tcW w:w="981" w:type="dxa"/>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pPr>
            <w:r>
              <w:t>57.7</w:t>
            </w:r>
          </w:p>
        </w:tc>
        <w:tc>
          <w:tcPr>
            <w:tcW w:w="982" w:type="dxa"/>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pPr>
            <w:r>
              <w:t>65.1</w:t>
            </w:r>
          </w:p>
        </w:tc>
        <w:tc>
          <w:tcPr>
            <w:tcW w:w="981" w:type="dxa"/>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pPr>
            <w:r>
              <w:t>67.2</w:t>
            </w:r>
          </w:p>
        </w:tc>
        <w:tc>
          <w:tcPr>
            <w:tcW w:w="982" w:type="dxa"/>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pPr>
            <w:r>
              <w:t>284.3</w:t>
            </w:r>
          </w:p>
        </w:tc>
      </w:tr>
      <w:tr w:rsidR="00123BC4" w:rsidRPr="009603F9" w:rsidTr="00FD6A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123BC4" w:rsidRPr="00123BC4" w:rsidRDefault="00123BC4" w:rsidP="00DB5002">
            <w:pPr>
              <w:keepNext/>
            </w:pPr>
            <w:r w:rsidRPr="00123BC4">
              <w:rPr>
                <w:rStyle w:val="AERtextitalic"/>
              </w:rPr>
              <w:t>Less:</w:t>
            </w:r>
            <w:r w:rsidRPr="00123BC4">
              <w:t xml:space="preserve"> indexation on capital base </w:t>
            </w:r>
          </w:p>
        </w:tc>
        <w:tc>
          <w:tcPr>
            <w:tcW w:w="981" w:type="dxa"/>
            <w:noWrap/>
          </w:tcPr>
          <w:p w:rsidR="00123BC4" w:rsidRPr="00123BC4" w:rsidRDefault="00E43A6B" w:rsidP="00DB5002">
            <w:pPr>
              <w:keepNext/>
              <w:cnfStyle w:val="000000010000" w:firstRow="0" w:lastRow="0" w:firstColumn="0" w:lastColumn="0" w:oddVBand="0" w:evenVBand="0" w:oddHBand="0" w:evenHBand="1" w:firstRowFirstColumn="0" w:firstRowLastColumn="0" w:lastRowFirstColumn="0" w:lastRowLastColumn="0"/>
            </w:pPr>
            <w:r>
              <w:t>33.1</w:t>
            </w:r>
          </w:p>
        </w:tc>
        <w:tc>
          <w:tcPr>
            <w:tcW w:w="982" w:type="dxa"/>
            <w:noWrap/>
          </w:tcPr>
          <w:p w:rsidR="00123BC4" w:rsidRPr="00123BC4" w:rsidRDefault="00E43A6B" w:rsidP="00DB5002">
            <w:pPr>
              <w:keepNext/>
              <w:cnfStyle w:val="000000010000" w:firstRow="0" w:lastRow="0" w:firstColumn="0" w:lastColumn="0" w:oddVBand="0" w:evenVBand="0" w:oddHBand="0" w:evenHBand="1" w:firstRowFirstColumn="0" w:firstRowLastColumn="0" w:lastRowFirstColumn="0" w:lastRowLastColumn="0"/>
            </w:pPr>
            <w:r>
              <w:t>35.7</w:t>
            </w:r>
          </w:p>
        </w:tc>
        <w:tc>
          <w:tcPr>
            <w:tcW w:w="981" w:type="dxa"/>
            <w:noWrap/>
          </w:tcPr>
          <w:p w:rsidR="00123BC4" w:rsidRPr="00123BC4" w:rsidRDefault="00E43A6B" w:rsidP="00DB5002">
            <w:pPr>
              <w:keepNext/>
              <w:cnfStyle w:val="000000010000" w:firstRow="0" w:lastRow="0" w:firstColumn="0" w:lastColumn="0" w:oddVBand="0" w:evenVBand="0" w:oddHBand="0" w:evenHBand="1" w:firstRowFirstColumn="0" w:firstRowLastColumn="0" w:lastRowFirstColumn="0" w:lastRowLastColumn="0"/>
            </w:pPr>
            <w:r>
              <w:t>38.1</w:t>
            </w:r>
          </w:p>
        </w:tc>
        <w:tc>
          <w:tcPr>
            <w:tcW w:w="982" w:type="dxa"/>
            <w:noWrap/>
          </w:tcPr>
          <w:p w:rsidR="00123BC4" w:rsidRPr="00123BC4" w:rsidRDefault="00E43A6B" w:rsidP="00DB5002">
            <w:pPr>
              <w:keepNext/>
              <w:cnfStyle w:val="000000010000" w:firstRow="0" w:lastRow="0" w:firstColumn="0" w:lastColumn="0" w:oddVBand="0" w:evenVBand="0" w:oddHBand="0" w:evenHBand="1" w:firstRowFirstColumn="0" w:firstRowLastColumn="0" w:lastRowFirstColumn="0" w:lastRowLastColumn="0"/>
            </w:pPr>
            <w:r>
              <w:t>40.6</w:t>
            </w:r>
          </w:p>
        </w:tc>
        <w:tc>
          <w:tcPr>
            <w:tcW w:w="981" w:type="dxa"/>
            <w:noWrap/>
          </w:tcPr>
          <w:p w:rsidR="00123BC4" w:rsidRPr="00123BC4" w:rsidRDefault="00E43A6B" w:rsidP="00DB5002">
            <w:pPr>
              <w:keepNext/>
              <w:cnfStyle w:val="000000010000" w:firstRow="0" w:lastRow="0" w:firstColumn="0" w:lastColumn="0" w:oddVBand="0" w:evenVBand="0" w:oddHBand="0" w:evenHBand="1" w:firstRowFirstColumn="0" w:firstRowLastColumn="0" w:lastRowFirstColumn="0" w:lastRowLastColumn="0"/>
            </w:pPr>
            <w:r>
              <w:t>43.2</w:t>
            </w:r>
          </w:p>
        </w:tc>
        <w:tc>
          <w:tcPr>
            <w:tcW w:w="982" w:type="dxa"/>
          </w:tcPr>
          <w:p w:rsidR="00123BC4" w:rsidRPr="00123BC4" w:rsidRDefault="00E43A6B" w:rsidP="00DB5002">
            <w:pPr>
              <w:keepNext/>
              <w:cnfStyle w:val="000000010000" w:firstRow="0" w:lastRow="0" w:firstColumn="0" w:lastColumn="0" w:oddVBand="0" w:evenVBand="0" w:oddHBand="0" w:evenHBand="1" w:firstRowFirstColumn="0" w:firstRowLastColumn="0" w:lastRowFirstColumn="0" w:lastRowLastColumn="0"/>
            </w:pPr>
            <w:r>
              <w:t>190.7</w:t>
            </w:r>
          </w:p>
        </w:tc>
      </w:tr>
      <w:tr w:rsidR="00123BC4" w:rsidRPr="00A575B0" w:rsidTr="00FD6A13">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123BC4" w:rsidRPr="00123BC4" w:rsidRDefault="00123BC4" w:rsidP="00DB5002">
            <w:pPr>
              <w:keepNext/>
              <w:rPr>
                <w:rStyle w:val="Strong"/>
              </w:rPr>
            </w:pPr>
            <w:r w:rsidRPr="00123BC4">
              <w:rPr>
                <w:rStyle w:val="Strong"/>
              </w:rPr>
              <w:t>Regulatory depreciation</w:t>
            </w:r>
          </w:p>
        </w:tc>
        <w:tc>
          <w:tcPr>
            <w:tcW w:w="981" w:type="dxa"/>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11.2</w:t>
            </w:r>
          </w:p>
        </w:tc>
        <w:tc>
          <w:tcPr>
            <w:tcW w:w="982" w:type="dxa"/>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14.3</w:t>
            </w:r>
          </w:p>
        </w:tc>
        <w:tc>
          <w:tcPr>
            <w:tcW w:w="981" w:type="dxa"/>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19.6</w:t>
            </w:r>
          </w:p>
        </w:tc>
        <w:tc>
          <w:tcPr>
            <w:tcW w:w="982" w:type="dxa"/>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24.5</w:t>
            </w:r>
          </w:p>
        </w:tc>
        <w:tc>
          <w:tcPr>
            <w:tcW w:w="981" w:type="dxa"/>
            <w:noWrap/>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24.0</w:t>
            </w:r>
          </w:p>
        </w:tc>
        <w:tc>
          <w:tcPr>
            <w:tcW w:w="982" w:type="dxa"/>
          </w:tcPr>
          <w:p w:rsidR="00123BC4" w:rsidRPr="00123BC4" w:rsidRDefault="00E43A6B" w:rsidP="00DB5002">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93.6</w:t>
            </w:r>
          </w:p>
        </w:tc>
      </w:tr>
    </w:tbl>
    <w:p w:rsidR="00FD6A13" w:rsidRPr="00C83AF5" w:rsidRDefault="00FD6A13" w:rsidP="00DB5002">
      <w:pPr>
        <w:pStyle w:val="AERtablesource"/>
        <w:keepNext/>
        <w:keepLines/>
      </w:pPr>
      <w:r>
        <w:t xml:space="preserve">Source: </w:t>
      </w:r>
      <w:r>
        <w:tab/>
        <w:t>AER analysis</w:t>
      </w:r>
      <w:r w:rsidRPr="00C83AF5">
        <w:t xml:space="preserve">. </w:t>
      </w:r>
    </w:p>
    <w:p w:rsidR="00494D73" w:rsidRDefault="00494D73" w:rsidP="00494D73">
      <w:pPr>
        <w:rPr>
          <w:rStyle w:val="AERbody"/>
        </w:rPr>
      </w:pPr>
      <w:r w:rsidRPr="00D639D1">
        <w:rPr>
          <w:rStyle w:val="AERbody"/>
        </w:rPr>
        <w:t xml:space="preserve">Our </w:t>
      </w:r>
      <w:r>
        <w:rPr>
          <w:rStyle w:val="AERbody"/>
        </w:rPr>
        <w:t>final</w:t>
      </w:r>
      <w:r w:rsidRPr="00D639D1">
        <w:rPr>
          <w:rStyle w:val="AERbody"/>
        </w:rPr>
        <w:t xml:space="preserve"> decision on </w:t>
      </w:r>
      <w:r>
        <w:rPr>
          <w:rStyle w:val="AERbody"/>
        </w:rPr>
        <w:t>AGN</w:t>
      </w:r>
      <w:r w:rsidRPr="00D639D1">
        <w:rPr>
          <w:rStyle w:val="AERbody"/>
        </w:rPr>
        <w:t>'s regulatory depreciation allowance is a reduction</w:t>
      </w:r>
      <w:r>
        <w:rPr>
          <w:rStyle w:val="AERbody"/>
        </w:rPr>
        <w:t xml:space="preserve"> </w:t>
      </w:r>
      <w:r w:rsidRPr="00D639D1">
        <w:rPr>
          <w:rStyle w:val="AERbody"/>
        </w:rPr>
        <w:t>of $</w:t>
      </w:r>
      <w:r w:rsidR="00E67A61">
        <w:rPr>
          <w:rStyle w:val="AERbody"/>
        </w:rPr>
        <w:t>28.9</w:t>
      </w:r>
      <w:r w:rsidR="00123BC4">
        <w:rPr>
          <w:rStyle w:val="AERbody"/>
        </w:rPr>
        <w:t xml:space="preserve"> </w:t>
      </w:r>
      <w:r w:rsidRPr="00D639D1">
        <w:rPr>
          <w:rStyle w:val="AERbody"/>
        </w:rPr>
        <w:t xml:space="preserve">million ($nominal) or </w:t>
      </w:r>
      <w:r w:rsidR="00E67A61">
        <w:rPr>
          <w:rStyle w:val="AERbody"/>
        </w:rPr>
        <w:t>23.6</w:t>
      </w:r>
      <w:r w:rsidR="00123BC4">
        <w:rPr>
          <w:rStyle w:val="AERbody"/>
        </w:rPr>
        <w:t xml:space="preserve"> </w:t>
      </w:r>
      <w:r w:rsidRPr="00D639D1">
        <w:rPr>
          <w:rStyle w:val="AERbody"/>
        </w:rPr>
        <w:t xml:space="preserve">per cent </w:t>
      </w:r>
      <w:r w:rsidR="00D637FD">
        <w:rPr>
          <w:rStyle w:val="AERbody"/>
        </w:rPr>
        <w:t>to AGN's</w:t>
      </w:r>
      <w:r w:rsidRPr="00D639D1">
        <w:rPr>
          <w:rStyle w:val="AERbody"/>
        </w:rPr>
        <w:t xml:space="preserve"> </w:t>
      </w:r>
      <w:r>
        <w:rPr>
          <w:rStyle w:val="AERbody"/>
        </w:rPr>
        <w:t xml:space="preserve">revised </w:t>
      </w:r>
      <w:r w:rsidRPr="00D639D1">
        <w:rPr>
          <w:rStyle w:val="AERbody"/>
        </w:rPr>
        <w:t>propos</w:t>
      </w:r>
      <w:r w:rsidR="00D637FD">
        <w:rPr>
          <w:rStyle w:val="AERbody"/>
        </w:rPr>
        <w:t>al</w:t>
      </w:r>
      <w:r w:rsidRPr="00D639D1">
        <w:rPr>
          <w:rStyle w:val="AERbody"/>
        </w:rPr>
        <w:t xml:space="preserve">. </w:t>
      </w:r>
      <w:r>
        <w:rPr>
          <w:rStyle w:val="AERbody"/>
        </w:rPr>
        <w:t xml:space="preserve">This reduction </w:t>
      </w:r>
      <w:r w:rsidR="00096912">
        <w:rPr>
          <w:rStyle w:val="AERbody"/>
        </w:rPr>
        <w:t>results from</w:t>
      </w:r>
      <w:r>
        <w:rPr>
          <w:rStyle w:val="AERbody"/>
        </w:rPr>
        <w:t xml:space="preserve"> </w:t>
      </w:r>
      <w:r>
        <w:t xml:space="preserve">our required updates to the revised proposed remaining asset lives as at 1 July 2016 and </w:t>
      </w:r>
      <w:r w:rsidR="00096912">
        <w:t xml:space="preserve">our final decisions on </w:t>
      </w:r>
      <w:r>
        <w:t>other components of the</w:t>
      </w:r>
      <w:r w:rsidRPr="001C0783">
        <w:t xml:space="preserve"> </w:t>
      </w:r>
      <w:r>
        <w:t>revised proposal, as discussed below.</w:t>
      </w:r>
    </w:p>
    <w:p w:rsidR="00494D73" w:rsidRDefault="00494D73" w:rsidP="00494D73">
      <w:r>
        <w:t xml:space="preserve">Consistent with </w:t>
      </w:r>
      <w:r w:rsidR="00096912">
        <w:t>our</w:t>
      </w:r>
      <w:r>
        <w:t xml:space="preserve"> draft decision, </w:t>
      </w:r>
      <w:r w:rsidR="00882A27">
        <w:t>we accept AGN's revised proposed standard asset lives for its asset classes. W</w:t>
      </w:r>
      <w:r>
        <w:t xml:space="preserve">e </w:t>
      </w:r>
      <w:r w:rsidR="00882A27">
        <w:t xml:space="preserve">also </w:t>
      </w:r>
      <w:r>
        <w:t xml:space="preserve">accept AGN’s proposed weighted average method to calculate the revised remaining asset lives as at 1 July 2016. However, we have updated AGN’s remaining asset lives as at 1 July 2016 to reflect the </w:t>
      </w:r>
      <w:r w:rsidR="00882A27">
        <w:t>amended</w:t>
      </w:r>
      <w:r>
        <w:t xml:space="preserve"> capital base roll forward for the 2011–16 access arrangement period.</w:t>
      </w:r>
    </w:p>
    <w:p w:rsidR="000B4E47" w:rsidRDefault="000B4E47" w:rsidP="000B4E47">
      <w:r>
        <w:t>Our</w:t>
      </w:r>
      <w:r w:rsidRPr="001C0783">
        <w:t xml:space="preserve"> </w:t>
      </w:r>
      <w:r>
        <w:t>final decision</w:t>
      </w:r>
      <w:r w:rsidR="00096912">
        <w:t>s</w:t>
      </w:r>
      <w:r>
        <w:t xml:space="preserve"> on other components of AGN’s</w:t>
      </w:r>
      <w:r w:rsidRPr="001C0783">
        <w:t xml:space="preserve"> </w:t>
      </w:r>
      <w:r>
        <w:t>revised proposal have also affected the calculation of the regulatory depreciation, including:</w:t>
      </w:r>
    </w:p>
    <w:p w:rsidR="000B4E47" w:rsidRDefault="009E0165" w:rsidP="000B4E47">
      <w:pPr>
        <w:pStyle w:val="AERbulletlistfirststyle"/>
        <w:rPr>
          <w:rStyle w:val="AERbody"/>
        </w:rPr>
      </w:pPr>
      <w:r>
        <w:rPr>
          <w:rStyle w:val="AERbody"/>
        </w:rPr>
        <w:t>a</w:t>
      </w:r>
      <w:r w:rsidR="009D4CF0">
        <w:rPr>
          <w:rStyle w:val="AERbody"/>
        </w:rPr>
        <w:t xml:space="preserve"> reduction </w:t>
      </w:r>
      <w:r w:rsidR="000B4E47" w:rsidRPr="00B9583E">
        <w:rPr>
          <w:rStyle w:val="AERbody"/>
        </w:rPr>
        <w:t xml:space="preserve">to </w:t>
      </w:r>
      <w:r w:rsidR="000B4E47">
        <w:rPr>
          <w:rStyle w:val="AERbody"/>
        </w:rPr>
        <w:t>AGN's</w:t>
      </w:r>
      <w:r w:rsidR="000B4E47" w:rsidRPr="00B9583E">
        <w:rPr>
          <w:rStyle w:val="AERbody"/>
        </w:rPr>
        <w:t xml:space="preserve"> </w:t>
      </w:r>
      <w:r w:rsidR="000B4E47">
        <w:rPr>
          <w:rStyle w:val="AERbody"/>
        </w:rPr>
        <w:t xml:space="preserve">revised </w:t>
      </w:r>
      <w:r w:rsidR="000B4E47" w:rsidRPr="00B9583E">
        <w:rPr>
          <w:rStyle w:val="AERbody"/>
        </w:rPr>
        <w:t>opening capital base as at 1 July 2016 of $</w:t>
      </w:r>
      <w:r w:rsidR="009D4CF0">
        <w:rPr>
          <w:rStyle w:val="AERbody"/>
        </w:rPr>
        <w:t>15.7</w:t>
      </w:r>
      <w:r w:rsidR="00123BC4" w:rsidRPr="00B9583E">
        <w:rPr>
          <w:rStyle w:val="AERbody"/>
        </w:rPr>
        <w:t xml:space="preserve"> </w:t>
      </w:r>
      <w:r w:rsidR="000B4E47" w:rsidRPr="00B9583E">
        <w:rPr>
          <w:rStyle w:val="AERbody"/>
        </w:rPr>
        <w:t>million ($nominal)</w:t>
      </w:r>
      <w:r w:rsidR="000B4E47">
        <w:rPr>
          <w:rStyle w:val="AERbody"/>
        </w:rPr>
        <w:t xml:space="preserve"> or </w:t>
      </w:r>
      <w:r>
        <w:rPr>
          <w:rStyle w:val="AERbody"/>
        </w:rPr>
        <w:t>1.1</w:t>
      </w:r>
      <w:r w:rsidR="00123BC4">
        <w:rPr>
          <w:rStyle w:val="AERbody"/>
        </w:rPr>
        <w:t xml:space="preserve"> </w:t>
      </w:r>
      <w:r w:rsidR="000B4E47">
        <w:rPr>
          <w:rStyle w:val="AERbody"/>
        </w:rPr>
        <w:t>per cent</w:t>
      </w:r>
      <w:r w:rsidR="000B4E47" w:rsidRPr="00B9583E">
        <w:rPr>
          <w:rStyle w:val="AERbody"/>
        </w:rPr>
        <w:t xml:space="preserve"> </w:t>
      </w:r>
    </w:p>
    <w:p w:rsidR="000B4E47" w:rsidRDefault="000B4E47" w:rsidP="000B4E47">
      <w:pPr>
        <w:pStyle w:val="AERbulletlistfirststyle"/>
        <w:rPr>
          <w:rStyle w:val="AERbody"/>
        </w:rPr>
      </w:pPr>
      <w:r>
        <w:rPr>
          <w:rStyle w:val="AERbody"/>
        </w:rPr>
        <w:t xml:space="preserve">an increase of the forecast inflation rate </w:t>
      </w:r>
      <w:r w:rsidR="00096912">
        <w:rPr>
          <w:rStyle w:val="AERbody"/>
        </w:rPr>
        <w:t>from 2.01 per cent</w:t>
      </w:r>
      <w:r w:rsidR="00F5762F">
        <w:rPr>
          <w:rStyle w:val="AERbody"/>
        </w:rPr>
        <w:t xml:space="preserve"> per annum</w:t>
      </w:r>
      <w:r w:rsidR="00096912">
        <w:rPr>
          <w:rStyle w:val="AERbody"/>
        </w:rPr>
        <w:t xml:space="preserve"> in AGN’s revised proposal to </w:t>
      </w:r>
      <w:r>
        <w:rPr>
          <w:rStyle w:val="AERbody"/>
        </w:rPr>
        <w:t>2.</w:t>
      </w:r>
      <w:r w:rsidR="00FA0D4B">
        <w:rPr>
          <w:rStyle w:val="AERbody"/>
        </w:rPr>
        <w:t xml:space="preserve">39 </w:t>
      </w:r>
      <w:r>
        <w:rPr>
          <w:rStyle w:val="AERbody"/>
        </w:rPr>
        <w:t>per cent</w:t>
      </w:r>
      <w:r w:rsidR="00F5762F">
        <w:rPr>
          <w:rStyle w:val="AERbody"/>
        </w:rPr>
        <w:t xml:space="preserve"> per annum</w:t>
      </w:r>
      <w:r>
        <w:rPr>
          <w:rStyle w:val="AERbody"/>
        </w:rPr>
        <w:t xml:space="preserve"> </w:t>
      </w:r>
    </w:p>
    <w:p w:rsidR="000B4E47" w:rsidRDefault="000B4E47" w:rsidP="000B4E47">
      <w:pPr>
        <w:pStyle w:val="AERbulletlistfirststyle"/>
      </w:pPr>
      <w:r w:rsidRPr="00B9583E">
        <w:rPr>
          <w:rStyle w:val="AERbody"/>
        </w:rPr>
        <w:t xml:space="preserve">a reduction to AGN's </w:t>
      </w:r>
      <w:r>
        <w:rPr>
          <w:rStyle w:val="AERbody"/>
        </w:rPr>
        <w:t xml:space="preserve">revised </w:t>
      </w:r>
      <w:r w:rsidRPr="00B9583E">
        <w:rPr>
          <w:rStyle w:val="AERbody"/>
        </w:rPr>
        <w:t>forecast net capex of $</w:t>
      </w:r>
      <w:r w:rsidR="00CF43B2">
        <w:rPr>
          <w:rStyle w:val="AERbody"/>
        </w:rPr>
        <w:t>92.1</w:t>
      </w:r>
      <w:r w:rsidR="00123BC4">
        <w:rPr>
          <w:rStyle w:val="AERbody"/>
        </w:rPr>
        <w:t xml:space="preserve"> </w:t>
      </w:r>
      <w:r w:rsidRPr="00B9583E">
        <w:rPr>
          <w:rStyle w:val="AERbody"/>
        </w:rPr>
        <w:t>million ($</w:t>
      </w:r>
      <w:r w:rsidR="00CF43B2">
        <w:rPr>
          <w:rStyle w:val="AERbody"/>
        </w:rPr>
        <w:t>nominal</w:t>
      </w:r>
      <w:r w:rsidRPr="00B9583E">
        <w:rPr>
          <w:rStyle w:val="AERbody"/>
        </w:rPr>
        <w:t xml:space="preserve">) or </w:t>
      </w:r>
      <w:r w:rsidR="00E67A61">
        <w:rPr>
          <w:rStyle w:val="AERbody"/>
        </w:rPr>
        <w:t>13.</w:t>
      </w:r>
      <w:r w:rsidR="00CF43B2">
        <w:rPr>
          <w:rStyle w:val="AERbody"/>
        </w:rPr>
        <w:t>1</w:t>
      </w:r>
      <w:r w:rsidR="00123BC4">
        <w:rPr>
          <w:rStyle w:val="AERbody"/>
        </w:rPr>
        <w:t xml:space="preserve"> </w:t>
      </w:r>
      <w:r w:rsidRPr="00B9583E">
        <w:rPr>
          <w:rStyle w:val="AERbody"/>
        </w:rPr>
        <w:t xml:space="preserve">per cent. </w:t>
      </w:r>
    </w:p>
    <w:p w:rsidR="0020076A" w:rsidRPr="0020076A" w:rsidRDefault="00096912" w:rsidP="0020076A">
      <w:r>
        <w:t>W</w:t>
      </w:r>
      <w:r w:rsidR="000B4E47">
        <w:t xml:space="preserve">e </w:t>
      </w:r>
      <w:r w:rsidR="000B4E47">
        <w:rPr>
          <w:rStyle w:val="AERbody"/>
        </w:rPr>
        <w:t>do</w:t>
      </w:r>
      <w:r w:rsidR="000B4E47">
        <w:t xml:space="preserve"> not accept AGN's proposal to increase its regulatory depreciation forecast by making a financeability adjustment of </w:t>
      </w:r>
      <w:r>
        <w:t>two</w:t>
      </w:r>
      <w:r w:rsidR="000B4E47">
        <w:t xml:space="preserve"> per cent to reduce the amount of the indexation applied to the projected capital base when the </w:t>
      </w:r>
      <w:r>
        <w:t>Fund from Operations (</w:t>
      </w:r>
      <w:r w:rsidR="000B4E47">
        <w:t>FFO</w:t>
      </w:r>
      <w:r>
        <w:t>)</w:t>
      </w:r>
      <w:r w:rsidR="000B4E47">
        <w:t xml:space="preserve"> to debt credit metric fall</w:t>
      </w:r>
      <w:r w:rsidR="00365A4C">
        <w:t>s</w:t>
      </w:r>
      <w:r w:rsidR="000B4E47">
        <w:t xml:space="preserve"> below </w:t>
      </w:r>
      <w:r>
        <w:t>nine</w:t>
      </w:r>
      <w:r w:rsidR="000B4E47">
        <w:t xml:space="preserve"> per cent. </w:t>
      </w:r>
      <w:r w:rsidR="000B4E47" w:rsidRPr="00091B6B">
        <w:t xml:space="preserve">This is because we consider AGN's proposed </w:t>
      </w:r>
      <w:r w:rsidR="000B4E47">
        <w:t>adjustment</w:t>
      </w:r>
      <w:r w:rsidR="000B4E47" w:rsidRPr="00091B6B">
        <w:t xml:space="preserve"> </w:t>
      </w:r>
      <w:r w:rsidR="000B4E47">
        <w:t>will result in a depreciation schedule which would</w:t>
      </w:r>
      <w:r w:rsidR="000B4E47" w:rsidRPr="00091B6B">
        <w:t xml:space="preserve"> not meet all </w:t>
      </w:r>
      <w:r w:rsidR="000B4E47">
        <w:t xml:space="preserve">the </w:t>
      </w:r>
      <w:r w:rsidR="000B4E47" w:rsidRPr="00091B6B">
        <w:t xml:space="preserve">depreciation criteria required by the NGR. Specifically, </w:t>
      </w:r>
      <w:r w:rsidR="0020076A" w:rsidRPr="0020076A">
        <w:t xml:space="preserve">we consider that the proposed adjustment would result in </w:t>
      </w:r>
      <w:r w:rsidR="002D1DB0">
        <w:t>a</w:t>
      </w:r>
      <w:r w:rsidR="002D1DB0" w:rsidRPr="0020076A">
        <w:t xml:space="preserve"> </w:t>
      </w:r>
      <w:r w:rsidR="0020076A" w:rsidRPr="0020076A">
        <w:t>depreciation schedule that:</w:t>
      </w:r>
    </w:p>
    <w:p w:rsidR="000B4E47" w:rsidRDefault="000B4E47" w:rsidP="00930A79">
      <w:pPr>
        <w:pStyle w:val="AERbulletlistfirststyle"/>
        <w:rPr>
          <w:rStyle w:val="AERbody"/>
        </w:rPr>
      </w:pPr>
      <w:r w:rsidRPr="00091B6B">
        <w:t xml:space="preserve">would </w:t>
      </w:r>
      <w:r>
        <w:t xml:space="preserve">not </w:t>
      </w:r>
      <w:r w:rsidRPr="00091B6B">
        <w:t>lead to tariffs varying, over time, in a way that promotes efficient growth in the market for reference services.</w:t>
      </w:r>
      <w:r w:rsidRPr="00091B6B">
        <w:rPr>
          <w:rStyle w:val="FootnoteReference"/>
        </w:rPr>
        <w:footnoteReference w:id="50"/>
      </w:r>
      <w:r w:rsidRPr="00091B6B">
        <w:t xml:space="preserve"> </w:t>
      </w:r>
      <w:r w:rsidR="00AD0895">
        <w:t>This is because AGN's proposed approach would not allow tariffs to vary with changes in variable costs over time. Therefore, w</w:t>
      </w:r>
      <w:r w:rsidRPr="00091B6B">
        <w:t>e consider the price paths generated under AGN's proposed approach will</w:t>
      </w:r>
      <w:r>
        <w:t xml:space="preserve"> not</w:t>
      </w:r>
      <w:r w:rsidRPr="00091B6B">
        <w:t xml:space="preserve"> </w:t>
      </w:r>
      <w:r w:rsidRPr="00091B6B">
        <w:rPr>
          <w:rStyle w:val="AERbody"/>
        </w:rPr>
        <w:t xml:space="preserve">lead to efficiency in network utilisation, investment and asset management. This </w:t>
      </w:r>
      <w:r>
        <w:rPr>
          <w:rStyle w:val="AERbody"/>
        </w:rPr>
        <w:t xml:space="preserve">therefore </w:t>
      </w:r>
      <w:r w:rsidRPr="00091B6B">
        <w:rPr>
          <w:rStyle w:val="AERbody"/>
        </w:rPr>
        <w:t>will not promote efficient growth in the market for reference services.</w:t>
      </w:r>
    </w:p>
    <w:p w:rsidR="0020076A" w:rsidRPr="0020076A" w:rsidRDefault="0020076A" w:rsidP="0020076A">
      <w:pPr>
        <w:pStyle w:val="AERbulletlistfirststyle"/>
        <w:rPr>
          <w:rStyle w:val="AERbody"/>
        </w:rPr>
      </w:pPr>
      <w:r w:rsidRPr="0020076A">
        <w:rPr>
          <w:rStyle w:val="AERbody"/>
        </w:rPr>
        <w:t xml:space="preserve">would not be consistent with the long term interests of consumers with respect to price. This is because AGN's approach will result in price paths which are not cost reflective. </w:t>
      </w:r>
    </w:p>
    <w:p w:rsidR="0020076A" w:rsidRPr="0020076A" w:rsidRDefault="0020076A" w:rsidP="0020076A">
      <w:pPr>
        <w:pStyle w:val="AERbulletlistfirststyle"/>
        <w:rPr>
          <w:rStyle w:val="AERbody"/>
        </w:rPr>
      </w:pPr>
      <w:r w:rsidRPr="0020076A">
        <w:rPr>
          <w:rStyle w:val="AERbody"/>
        </w:rPr>
        <w:t>would not promote the efficient investment in, provision of, or use of pipeline services. The proposed approach focuses on increasing short term cash flows to achieve certain credit metrics regardless of the reduction in costs forecast in the 2016–21 access arrangement period. This means that consumers will potentially have to pay more for reference services than the cost of producing those services for many years until a lower price may be applied sometime in the future. This would inefficiently discourage demand at a time of falling costs because prices are set above the efficient level. The lower prices in future will encourage excess demand when AGN expects costs to rise again.</w:t>
      </w:r>
      <w:r w:rsidRPr="0020076A">
        <w:rPr>
          <w:rStyle w:val="FootnoteReference"/>
        </w:rPr>
        <w:footnoteReference w:id="51"/>
      </w:r>
      <w:r w:rsidRPr="0020076A">
        <w:rPr>
          <w:rStyle w:val="AERbody"/>
        </w:rPr>
        <w:t xml:space="preserve"> This may also lead to </w:t>
      </w:r>
      <w:r w:rsidR="002D1DB0">
        <w:rPr>
          <w:rStyle w:val="AERbody"/>
        </w:rPr>
        <w:t xml:space="preserve">current consumers </w:t>
      </w:r>
      <w:r w:rsidRPr="0020076A">
        <w:rPr>
          <w:rStyle w:val="AERbody"/>
        </w:rPr>
        <w:t>subsidi</w:t>
      </w:r>
      <w:r w:rsidR="002D1DB0">
        <w:rPr>
          <w:rStyle w:val="AERbody"/>
        </w:rPr>
        <w:t xml:space="preserve">sing </w:t>
      </w:r>
      <w:r w:rsidRPr="0020076A">
        <w:rPr>
          <w:rStyle w:val="AERbody"/>
        </w:rPr>
        <w:t xml:space="preserve">future consumers. </w:t>
      </w:r>
    </w:p>
    <w:p w:rsidR="0020076A" w:rsidRPr="0020076A" w:rsidRDefault="0020076A" w:rsidP="0020076A">
      <w:pPr>
        <w:rPr>
          <w:rStyle w:val="AERbody"/>
        </w:rPr>
      </w:pPr>
      <w:r w:rsidRPr="0020076A">
        <w:rPr>
          <w:rStyle w:val="AERbody"/>
        </w:rPr>
        <w:t xml:space="preserve">We consider that the uncertainty around future prices and the intergenerational inequity issue created under AGN's approach are not in the long term interests of consumers, having regard to the </w:t>
      </w:r>
      <w:r w:rsidR="00952C61">
        <w:rPr>
          <w:rStyle w:val="AERbody"/>
        </w:rPr>
        <w:t>NGL's revenue and pricing principles (</w:t>
      </w:r>
      <w:r w:rsidRPr="0020076A">
        <w:rPr>
          <w:rStyle w:val="AERbody"/>
        </w:rPr>
        <w:t>RPPs</w:t>
      </w:r>
      <w:r w:rsidR="00952C61">
        <w:rPr>
          <w:rStyle w:val="AERbody"/>
        </w:rPr>
        <w:t>)</w:t>
      </w:r>
      <w:r w:rsidRPr="0020076A">
        <w:rPr>
          <w:rStyle w:val="AERbody"/>
        </w:rPr>
        <w:t xml:space="preserve">. </w:t>
      </w:r>
    </w:p>
    <w:p w:rsidR="0020076A" w:rsidRPr="0020076A" w:rsidRDefault="0020076A" w:rsidP="0020076A">
      <w:pPr>
        <w:rPr>
          <w:rStyle w:val="AERbody"/>
        </w:rPr>
      </w:pPr>
      <w:r w:rsidRPr="0020076A">
        <w:rPr>
          <w:rStyle w:val="AERbody"/>
        </w:rPr>
        <w:t xml:space="preserve">The foundation of the analysis from both of AGN's consultants depends on a comparison of estimated financial metrics against a threshold financial metric they assume for a particular credit rating. Their assumed financial metric thresholds are taken from excerpts within credit opinions by Moody's Investor Service and Standard </w:t>
      </w:r>
      <w:r w:rsidR="00AD0895">
        <w:rPr>
          <w:rStyle w:val="AERbody"/>
        </w:rPr>
        <w:t>&amp;</w:t>
      </w:r>
      <w:r w:rsidR="00AD0895" w:rsidRPr="0020076A">
        <w:rPr>
          <w:rStyle w:val="AERbody"/>
        </w:rPr>
        <w:t xml:space="preserve"> </w:t>
      </w:r>
      <w:r w:rsidRPr="0020076A">
        <w:rPr>
          <w:rStyle w:val="AERbody"/>
        </w:rPr>
        <w:t xml:space="preserve">Poor's. </w:t>
      </w:r>
      <w:r w:rsidR="00893571">
        <w:rPr>
          <w:rStyle w:val="AERbody"/>
        </w:rPr>
        <w:t>W</w:t>
      </w:r>
      <w:r w:rsidR="00893571" w:rsidRPr="0020076A">
        <w:rPr>
          <w:rStyle w:val="AERbody"/>
        </w:rPr>
        <w:t xml:space="preserve">e consider AGN and its consultants have placed excessive weight on short excerpts from these </w:t>
      </w:r>
      <w:r w:rsidR="00893571">
        <w:rPr>
          <w:rStyle w:val="AERbody"/>
        </w:rPr>
        <w:t>credit opinions</w:t>
      </w:r>
      <w:r w:rsidR="00893571" w:rsidRPr="0020076A">
        <w:rPr>
          <w:rStyle w:val="AERbody"/>
        </w:rPr>
        <w:t xml:space="preserve"> without having regard to their full context and findings.</w:t>
      </w:r>
      <w:r w:rsidR="00893571">
        <w:rPr>
          <w:rStyle w:val="AERbody"/>
        </w:rPr>
        <w:t xml:space="preserve"> </w:t>
      </w:r>
      <w:r w:rsidRPr="0020076A">
        <w:rPr>
          <w:rStyle w:val="AERbody"/>
        </w:rPr>
        <w:t xml:space="preserve">In a separate confidential appendix to this decision, we have summarised and assessed both of these credit opinions in detail. </w:t>
      </w:r>
      <w:r w:rsidR="00893571">
        <w:rPr>
          <w:rStyle w:val="AERbody"/>
        </w:rPr>
        <w:t>Contrary to AGN's submission, w</w:t>
      </w:r>
      <w:r w:rsidR="003C6173">
        <w:rPr>
          <w:rStyle w:val="AERbody"/>
        </w:rPr>
        <w:t xml:space="preserve">e </w:t>
      </w:r>
      <w:r w:rsidR="00EF41D6">
        <w:rPr>
          <w:rStyle w:val="AERbody"/>
        </w:rPr>
        <w:t xml:space="preserve">are satisfied that </w:t>
      </w:r>
      <w:r w:rsidR="00893571">
        <w:rPr>
          <w:rStyle w:val="AERbody"/>
        </w:rPr>
        <w:t>these credit opinions</w:t>
      </w:r>
      <w:r w:rsidRPr="0020076A">
        <w:rPr>
          <w:rStyle w:val="AERbody"/>
        </w:rPr>
        <w:t xml:space="preserve"> support </w:t>
      </w:r>
      <w:r w:rsidR="00893571">
        <w:rPr>
          <w:rStyle w:val="AERbody"/>
        </w:rPr>
        <w:t>our</w:t>
      </w:r>
      <w:r w:rsidRPr="0020076A">
        <w:rPr>
          <w:rStyle w:val="AERbody"/>
        </w:rPr>
        <w:t xml:space="preserve"> approaches to rate of return and depreciation</w:t>
      </w:r>
      <w:r w:rsidR="006E608A">
        <w:rPr>
          <w:rStyle w:val="AERbody"/>
        </w:rPr>
        <w:t>,</w:t>
      </w:r>
      <w:r w:rsidRPr="0020076A">
        <w:rPr>
          <w:rStyle w:val="AERbody"/>
        </w:rPr>
        <w:t xml:space="preserve"> and indicate that the regulatory framework has a positive and supportive impact on the creditworthiness of regulated businesses.</w:t>
      </w:r>
      <w:r>
        <w:rPr>
          <w:rStyle w:val="AERbody"/>
        </w:rPr>
        <w:t xml:space="preserve"> </w:t>
      </w:r>
    </w:p>
    <w:p w:rsidR="0020076A" w:rsidRPr="0020076A" w:rsidRDefault="0020076A" w:rsidP="0020076A">
      <w:pPr>
        <w:rPr>
          <w:rStyle w:val="AERbody"/>
        </w:rPr>
      </w:pPr>
      <w:r w:rsidRPr="0020076A">
        <w:rPr>
          <w:rStyle w:val="AERbody"/>
        </w:rPr>
        <w:t xml:space="preserve">Therefore, for this final decision, we have not accepted the proposed adjustment to the indexation of the capital base in calculating AGN's regulatory depreciation for the 2016–21 access arrangement period. </w:t>
      </w:r>
      <w:r w:rsidR="002D1DB0">
        <w:rPr>
          <w:rStyle w:val="AERbody"/>
        </w:rPr>
        <w:t>Rather</w:t>
      </w:r>
      <w:r w:rsidRPr="0020076A">
        <w:rPr>
          <w:rStyle w:val="AERbody"/>
        </w:rPr>
        <w:t xml:space="preserve">, we have applied full CPI indexation annually in rolling forward AGN's capital base and this full indexation amount is subtracted from the amount of the straight-line depreciation in calculating the regulatory depreciation building block as part of setting total revenue. </w:t>
      </w:r>
    </w:p>
    <w:p w:rsidR="0020076A" w:rsidRPr="00091B6B" w:rsidRDefault="0020076A" w:rsidP="0020076A">
      <w:pPr>
        <w:rPr>
          <w:rStyle w:val="AERbody"/>
        </w:rPr>
      </w:pPr>
      <w:r w:rsidRPr="0020076A">
        <w:rPr>
          <w:rStyle w:val="AERbody"/>
        </w:rPr>
        <w:t>We consider the depreciation schedule set in this final decision meets the NGR's depreciation criteria and is in the long term interests of consumers, in accordance with the NGO and RPPs.</w:t>
      </w:r>
    </w:p>
    <w:p w:rsidR="00CF00DE" w:rsidRDefault="00CF00DE" w:rsidP="00CF00DE">
      <w:pPr>
        <w:pStyle w:val="Heading2"/>
      </w:pPr>
      <w:bookmarkStart w:id="122" w:name="_Toc430002793"/>
      <w:bookmarkStart w:id="123" w:name="_Ref433373913"/>
      <w:bookmarkStart w:id="124" w:name="_Ref433375595"/>
      <w:bookmarkStart w:id="125" w:name="_Ref433713634"/>
      <w:bookmarkStart w:id="126" w:name="_Ref435794475"/>
      <w:bookmarkStart w:id="127" w:name="_Toc436037700"/>
      <w:bookmarkStart w:id="128" w:name="_Ref446602152"/>
      <w:bookmarkStart w:id="129" w:name="_Ref448495055"/>
      <w:bookmarkStart w:id="130" w:name="_Toc451873372"/>
      <w:r>
        <w:t>Capital expenditure</w:t>
      </w:r>
      <w:bookmarkEnd w:id="122"/>
      <w:bookmarkEnd w:id="123"/>
      <w:bookmarkEnd w:id="124"/>
      <w:bookmarkEnd w:id="125"/>
      <w:bookmarkEnd w:id="126"/>
      <w:bookmarkEnd w:id="127"/>
      <w:bookmarkEnd w:id="128"/>
      <w:bookmarkEnd w:id="129"/>
      <w:bookmarkEnd w:id="130"/>
    </w:p>
    <w:p w:rsidR="00CF00DE" w:rsidRDefault="00CF00DE" w:rsidP="00CF00DE">
      <w:r w:rsidRPr="00B94B4D">
        <w:t xml:space="preserve">Capital expenditure (capex) refers to the capital expenses incurred in the provision of network services. The return on and of forecast capex for </w:t>
      </w:r>
      <w:r>
        <w:t>reference</w:t>
      </w:r>
      <w:r w:rsidRPr="00B94B4D">
        <w:t xml:space="preserve"> services are two of the building blocks we use to determine a service provider's total revenue requirement.</w:t>
      </w:r>
    </w:p>
    <w:p w:rsidR="00CF00DE" w:rsidRDefault="00CF00DE" w:rsidP="00CF00DE">
      <w:r w:rsidRPr="00F745EE">
        <w:t xml:space="preserve">We must make two decisions regarding </w:t>
      </w:r>
      <w:r>
        <w:t>AGN’s</w:t>
      </w:r>
      <w:r w:rsidRPr="00F745EE">
        <w:t xml:space="preserve"> capex. First, we are required to assess past </w:t>
      </w:r>
      <w:r>
        <w:t>capex</w:t>
      </w:r>
      <w:r w:rsidRPr="00F745EE">
        <w:t xml:space="preserve"> and determine whether it meets the criteria set out in the NGR to be added to the </w:t>
      </w:r>
      <w:r w:rsidR="001D25F2">
        <w:t>opening</w:t>
      </w:r>
      <w:r w:rsidRPr="00F745EE">
        <w:t xml:space="preserve"> capital base.</w:t>
      </w:r>
      <w:r w:rsidRPr="00F745EE">
        <w:rPr>
          <w:rStyle w:val="FootnoteReference"/>
        </w:rPr>
        <w:footnoteReference w:id="52"/>
      </w:r>
      <w:r w:rsidRPr="00F745EE">
        <w:t xml:space="preserve"> Where capex meets these criteria, it is referred to as "conforming</w:t>
      </w:r>
      <w:r>
        <w:t xml:space="preserve"> capex</w:t>
      </w:r>
      <w:r w:rsidRPr="00F745EE">
        <w:t>".</w:t>
      </w:r>
      <w:r w:rsidRPr="00F745EE">
        <w:rPr>
          <w:rStyle w:val="FootnoteReference"/>
        </w:rPr>
        <w:footnoteReference w:id="53"/>
      </w:r>
      <w:r w:rsidRPr="00F745EE">
        <w:t xml:space="preserve"> Secondly, we are required to assess </w:t>
      </w:r>
      <w:r>
        <w:t xml:space="preserve">AGN’s </w:t>
      </w:r>
      <w:r w:rsidRPr="00F745EE">
        <w:t>forecast of required capex for the 201</w:t>
      </w:r>
      <w:r>
        <w:t>6–</w:t>
      </w:r>
      <w:r w:rsidRPr="00F745EE">
        <w:t>2</w:t>
      </w:r>
      <w:r>
        <w:t>1</w:t>
      </w:r>
      <w:r w:rsidRPr="00F745EE">
        <w:t xml:space="preserve"> </w:t>
      </w:r>
      <w:r>
        <w:t>access arrangement period to determine whether it is conforming capex</w:t>
      </w:r>
      <w:r w:rsidRPr="00F745EE">
        <w:t>.</w:t>
      </w:r>
    </w:p>
    <w:p w:rsidR="00CF00DE" w:rsidRDefault="00CF00DE" w:rsidP="00CF00DE">
      <w:pPr>
        <w:pStyle w:val="ListParagraph"/>
        <w:numPr>
          <w:ilvl w:val="0"/>
          <w:numId w:val="24"/>
        </w:numPr>
      </w:pPr>
      <w:r w:rsidRPr="00E218B7">
        <w:t xml:space="preserve">We consider that </w:t>
      </w:r>
      <w:r w:rsidR="005C5059" w:rsidRPr="005C5059">
        <w:t>$389.4</w:t>
      </w:r>
      <w:r w:rsidR="0089583A">
        <w:t xml:space="preserve"> </w:t>
      </w:r>
      <w:r w:rsidR="005C5059" w:rsidRPr="005C5059">
        <w:t>m</w:t>
      </w:r>
      <w:r w:rsidR="0089583A">
        <w:t>illion</w:t>
      </w:r>
      <w:r w:rsidR="005C5059" w:rsidRPr="005C5059">
        <w:t xml:space="preserve"> ($2014</w:t>
      </w:r>
      <w:r w:rsidR="00096912">
        <w:t>–</w:t>
      </w:r>
      <w:r w:rsidR="005C5059" w:rsidRPr="005C5059">
        <w:t>15) of total net capex for the period</w:t>
      </w:r>
      <w:r w:rsidR="00096912">
        <w:t xml:space="preserve"> 2010–15</w:t>
      </w:r>
      <w:r>
        <w:rPr>
          <w:rStyle w:val="FootnoteReference"/>
        </w:rPr>
        <w:footnoteReference w:id="54"/>
      </w:r>
      <w:r w:rsidRPr="00E218B7">
        <w:t xml:space="preserve"> is conforming capex.</w:t>
      </w:r>
      <w:r>
        <w:t xml:space="preserve"> </w:t>
      </w:r>
      <w:r w:rsidR="005C5059">
        <w:t>This is consistent with our draft decision and AGN's revised proposal.</w:t>
      </w:r>
      <w:r w:rsidR="00B42D3D">
        <w:rPr>
          <w:rStyle w:val="FootnoteReference"/>
        </w:rPr>
        <w:footnoteReference w:id="55"/>
      </w:r>
      <w:r w:rsidR="005C5059">
        <w:t xml:space="preserve"> </w:t>
      </w:r>
      <w:r>
        <w:t>This amount will be rolled into AGN's opening capital base</w:t>
      </w:r>
      <w:r w:rsidR="005C5059">
        <w:t xml:space="preserve"> at the start of the 2016–21 access arrangement period</w:t>
      </w:r>
      <w:r>
        <w:t>.</w:t>
      </w:r>
    </w:p>
    <w:p w:rsidR="005C5059" w:rsidRDefault="005C5059" w:rsidP="005C5059">
      <w:pPr>
        <w:pStyle w:val="ListParagraph"/>
        <w:numPr>
          <w:ilvl w:val="0"/>
          <w:numId w:val="24"/>
        </w:numPr>
      </w:pPr>
      <w:r>
        <w:t>Our final decision</w:t>
      </w:r>
      <w:r w:rsidRPr="005C5059">
        <w:t xml:space="preserve"> approves $</w:t>
      </w:r>
      <w:r w:rsidR="00D12249">
        <w:t>550.5</w:t>
      </w:r>
      <w:r w:rsidR="0089583A">
        <w:t xml:space="preserve"> </w:t>
      </w:r>
      <w:r w:rsidRPr="005C5059">
        <w:t>m</w:t>
      </w:r>
      <w:r w:rsidR="0089583A">
        <w:t>illion</w:t>
      </w:r>
      <w:r w:rsidRPr="005C5059">
        <w:t xml:space="preserve"> ($2014</w:t>
      </w:r>
      <w:r w:rsidR="0089583A">
        <w:t>–</w:t>
      </w:r>
      <w:r w:rsidRPr="005C5059">
        <w:t>15) total net forecast capex</w:t>
      </w:r>
      <w:r>
        <w:t xml:space="preserve"> for the 2016–21 access arrangement period. </w:t>
      </w:r>
      <w:r w:rsidRPr="005C5059">
        <w:t>The revised proposal AGN submitted in January sought $</w:t>
      </w:r>
      <w:r w:rsidR="00D12249">
        <w:t>633.7</w:t>
      </w:r>
      <w:r w:rsidR="0089583A">
        <w:t xml:space="preserve"> </w:t>
      </w:r>
      <w:r w:rsidRPr="005C5059">
        <w:t>m</w:t>
      </w:r>
      <w:r w:rsidR="0089583A">
        <w:t>illion</w:t>
      </w:r>
      <w:r w:rsidRPr="005C5059">
        <w:t xml:space="preserve"> ($2014</w:t>
      </w:r>
      <w:r w:rsidR="0089583A">
        <w:t>–</w:t>
      </w:r>
      <w:r w:rsidRPr="005C5059">
        <w:t>15) total net forecast capex</w:t>
      </w:r>
      <w:r>
        <w:t xml:space="preserve"> for 2016–21</w:t>
      </w:r>
      <w:r w:rsidRPr="005C5059">
        <w:t xml:space="preserve">. AGN subsequently provided an updated </w:t>
      </w:r>
      <w:r>
        <w:t xml:space="preserve">capex </w:t>
      </w:r>
      <w:r w:rsidRPr="005C5059">
        <w:t>forecast</w:t>
      </w:r>
      <w:r>
        <w:t xml:space="preserve">, which </w:t>
      </w:r>
      <w:r w:rsidRPr="005C5059">
        <w:t>reduc</w:t>
      </w:r>
      <w:r>
        <w:t>ed the</w:t>
      </w:r>
      <w:r w:rsidRPr="005C5059">
        <w:t xml:space="preserve"> mains replacement </w:t>
      </w:r>
      <w:r>
        <w:t xml:space="preserve">component of its capex </w:t>
      </w:r>
      <w:r w:rsidRPr="005C5059">
        <w:t>forecast from $326</w:t>
      </w:r>
      <w:r w:rsidR="006F6EF7">
        <w:t>.0</w:t>
      </w:r>
      <w:r w:rsidR="0089583A">
        <w:t xml:space="preserve"> </w:t>
      </w:r>
      <w:r w:rsidRPr="005C5059">
        <w:t>m</w:t>
      </w:r>
      <w:r w:rsidR="0089583A">
        <w:t>illion</w:t>
      </w:r>
      <w:r w:rsidRPr="005C5059">
        <w:t xml:space="preserve"> to $277.2</w:t>
      </w:r>
      <w:r w:rsidR="0089583A">
        <w:t xml:space="preserve"> </w:t>
      </w:r>
      <w:r w:rsidRPr="005C5059">
        <w:t>m</w:t>
      </w:r>
      <w:r w:rsidR="0089583A">
        <w:t>illion</w:t>
      </w:r>
      <w:r w:rsidR="00A00435">
        <w:t xml:space="preserve"> (discussed further below)</w:t>
      </w:r>
      <w:r>
        <w:t xml:space="preserve">. This reduced </w:t>
      </w:r>
      <w:r w:rsidRPr="005C5059">
        <w:t>its total capex forecast to $</w:t>
      </w:r>
      <w:r w:rsidR="00D12249">
        <w:t>581.4m</w:t>
      </w:r>
      <w:r w:rsidRPr="005C5059">
        <w:t>.</w:t>
      </w:r>
      <w:r>
        <w:t xml:space="preserve"> Our final decision represents </w:t>
      </w:r>
      <w:r w:rsidRPr="005C5059">
        <w:t>a reduction of 5.</w:t>
      </w:r>
      <w:r w:rsidR="00D12249">
        <w:t>3</w:t>
      </w:r>
      <w:r w:rsidR="00A00435">
        <w:t xml:space="preserve"> per cent</w:t>
      </w:r>
      <w:r w:rsidRPr="005C5059">
        <w:t xml:space="preserve"> to AGN’s updated </w:t>
      </w:r>
      <w:r w:rsidR="00E23058">
        <w:t>capex forecast</w:t>
      </w:r>
      <w:r w:rsidR="00B23171">
        <w:t xml:space="preserve"> of $</w:t>
      </w:r>
      <w:r w:rsidR="00D12249">
        <w:t>581.4</w:t>
      </w:r>
      <w:r w:rsidR="0089583A">
        <w:t xml:space="preserve"> </w:t>
      </w:r>
      <w:r w:rsidR="00B23171">
        <w:t>m</w:t>
      </w:r>
      <w:r w:rsidR="0089583A">
        <w:t>illion</w:t>
      </w:r>
      <w:r w:rsidR="00B23171">
        <w:t xml:space="preserve"> ($2014</w:t>
      </w:r>
      <w:r w:rsidR="0089583A">
        <w:t>–</w:t>
      </w:r>
      <w:r w:rsidR="00B23171">
        <w:t xml:space="preserve">15), or </w:t>
      </w:r>
      <w:r w:rsidRPr="005C5059">
        <w:t>13.</w:t>
      </w:r>
      <w:r w:rsidR="00D12249">
        <w:t>1</w:t>
      </w:r>
      <w:r w:rsidR="00A00435">
        <w:t xml:space="preserve"> per cent</w:t>
      </w:r>
      <w:r w:rsidRPr="005C5059">
        <w:t xml:space="preserve"> from its January revised proposal.</w:t>
      </w:r>
      <w:r w:rsidR="00A00435">
        <w:t xml:space="preserve"> It is </w:t>
      </w:r>
      <w:r w:rsidR="00D12249">
        <w:t>41.4</w:t>
      </w:r>
      <w:r w:rsidR="00B23171">
        <w:t xml:space="preserve"> per cent higher than the total capex forecast approved in our draft decision.</w:t>
      </w:r>
    </w:p>
    <w:p w:rsidR="00A00435" w:rsidRPr="00A00435" w:rsidRDefault="00A00435" w:rsidP="00A00435">
      <w:pPr>
        <w:pStyle w:val="ListParagraph"/>
        <w:numPr>
          <w:ilvl w:val="0"/>
          <w:numId w:val="24"/>
        </w:numPr>
      </w:pPr>
      <w:r w:rsidRPr="00A00435">
        <w:fldChar w:fldCharType="begin"/>
      </w:r>
      <w:r w:rsidRPr="00A00435">
        <w:instrText xml:space="preserve"> REF _Ref446596929 \h </w:instrText>
      </w:r>
      <w:r w:rsidRPr="00A00435">
        <w:fldChar w:fldCharType="separate"/>
      </w:r>
      <w:r w:rsidR="006E1111">
        <w:t xml:space="preserve">Table </w:t>
      </w:r>
      <w:r w:rsidR="006E1111">
        <w:rPr>
          <w:noProof/>
        </w:rPr>
        <w:t>9</w:t>
      </w:r>
      <w:r w:rsidRPr="00A00435">
        <w:fldChar w:fldCharType="end"/>
      </w:r>
      <w:r w:rsidRPr="00A00435">
        <w:t xml:space="preserve"> compares </w:t>
      </w:r>
      <w:r w:rsidR="00E23058">
        <w:t>AGN’s updated</w:t>
      </w:r>
      <w:r w:rsidR="00E23058" w:rsidRPr="00A00435">
        <w:t xml:space="preserve"> </w:t>
      </w:r>
      <w:r w:rsidRPr="00A00435">
        <w:t>capex forecast to that approved in our final decision.</w:t>
      </w:r>
    </w:p>
    <w:p w:rsidR="00A00435" w:rsidRDefault="00A00435" w:rsidP="00DB5002">
      <w:pPr>
        <w:pStyle w:val="Caption"/>
        <w:numPr>
          <w:ilvl w:val="0"/>
          <w:numId w:val="24"/>
        </w:numPr>
      </w:pPr>
      <w:bookmarkStart w:id="131" w:name="_Ref446596929"/>
      <w:r>
        <w:t xml:space="preserve">Table </w:t>
      </w:r>
      <w:fldSimple w:instr=" SEQ Table \* ARABIC ">
        <w:r w:rsidR="006E1111">
          <w:rPr>
            <w:noProof/>
          </w:rPr>
          <w:t>9</w:t>
        </w:r>
      </w:fldSimple>
      <w:bookmarkEnd w:id="131"/>
      <w:r>
        <w:t xml:space="preserve"> Comparison of AER final decision and AGN's revised forecast capex over the 2016–21 access arrangement period ($million, 2014–15)</w:t>
      </w:r>
    </w:p>
    <w:tbl>
      <w:tblPr>
        <w:tblStyle w:val="AERtable-numbers"/>
        <w:tblW w:w="5000" w:type="pct"/>
        <w:tblLook w:val="04A0" w:firstRow="1" w:lastRow="0" w:firstColumn="1" w:lastColumn="0" w:noHBand="0" w:noVBand="1"/>
      </w:tblPr>
      <w:tblGrid>
        <w:gridCol w:w="3096"/>
        <w:gridCol w:w="1365"/>
        <w:gridCol w:w="1506"/>
        <w:gridCol w:w="1365"/>
        <w:gridCol w:w="1361"/>
      </w:tblGrid>
      <w:tr w:rsidR="006B5777" w:rsidRPr="006D2B8B" w:rsidTr="00F66146">
        <w:trPr>
          <w:cnfStyle w:val="100000000000" w:firstRow="1" w:lastRow="0" w:firstColumn="0" w:lastColumn="0" w:oddVBand="0" w:evenVBand="0" w:oddHBand="0" w:evenHBand="0" w:firstRowFirstColumn="0" w:firstRowLastColumn="0" w:lastRowFirstColumn="0" w:lastRowLastColumn="0"/>
          <w:trHeight w:val="705"/>
          <w:tblHeader/>
        </w:trPr>
        <w:tc>
          <w:tcPr>
            <w:cnfStyle w:val="001000000000" w:firstRow="0" w:lastRow="0" w:firstColumn="1" w:lastColumn="0" w:oddVBand="0" w:evenVBand="0" w:oddHBand="0" w:evenHBand="0" w:firstRowFirstColumn="0" w:firstRowLastColumn="0" w:lastRowFirstColumn="0" w:lastRowLastColumn="0"/>
            <w:tcW w:w="1781" w:type="pct"/>
            <w:hideMark/>
          </w:tcPr>
          <w:p w:rsidR="006B5777" w:rsidRPr="006D2B8B" w:rsidRDefault="006B5777" w:rsidP="0066591C">
            <w:r w:rsidRPr="006D2B8B">
              <w:t> Category</w:t>
            </w:r>
          </w:p>
        </w:tc>
        <w:tc>
          <w:tcPr>
            <w:tcW w:w="785" w:type="pct"/>
            <w:hideMark/>
          </w:tcPr>
          <w:p w:rsidR="006B5777" w:rsidRPr="006D2B8B" w:rsidRDefault="006B5777" w:rsidP="0066591C">
            <w:pPr>
              <w:cnfStyle w:val="100000000000" w:firstRow="1" w:lastRow="0" w:firstColumn="0" w:lastColumn="0" w:oddVBand="0" w:evenVBand="0" w:oddHBand="0" w:evenHBand="0" w:firstRowFirstColumn="0" w:firstRowLastColumn="0" w:lastRowFirstColumn="0" w:lastRowLastColumn="0"/>
            </w:pPr>
            <w:r w:rsidRPr="006D2B8B">
              <w:t>Revised Proposal</w:t>
            </w:r>
            <w:r>
              <w:t>*</w:t>
            </w:r>
          </w:p>
        </w:tc>
        <w:tc>
          <w:tcPr>
            <w:tcW w:w="866" w:type="pct"/>
            <w:hideMark/>
          </w:tcPr>
          <w:p w:rsidR="006B5777" w:rsidRPr="006D2B8B" w:rsidRDefault="006B5777" w:rsidP="006B5777">
            <w:pPr>
              <w:cnfStyle w:val="100000000000" w:firstRow="1" w:lastRow="0" w:firstColumn="0" w:lastColumn="0" w:oddVBand="0" w:evenVBand="0" w:oddHBand="0" w:evenHBand="0" w:firstRowFirstColumn="0" w:firstRowLastColumn="0" w:lastRowFirstColumn="0" w:lastRowLastColumn="0"/>
            </w:pPr>
            <w:r w:rsidRPr="006D2B8B">
              <w:t>Approved</w:t>
            </w:r>
          </w:p>
        </w:tc>
        <w:tc>
          <w:tcPr>
            <w:tcW w:w="785" w:type="pct"/>
            <w:hideMark/>
          </w:tcPr>
          <w:p w:rsidR="006B5777" w:rsidRPr="006D2B8B" w:rsidRDefault="006B5777" w:rsidP="0066591C">
            <w:pPr>
              <w:cnfStyle w:val="100000000000" w:firstRow="1" w:lastRow="0" w:firstColumn="0" w:lastColumn="0" w:oddVBand="0" w:evenVBand="0" w:oddHBand="0" w:evenHBand="0" w:firstRowFirstColumn="0" w:firstRowLastColumn="0" w:lastRowFirstColumn="0" w:lastRowLastColumn="0"/>
            </w:pPr>
            <w:r w:rsidRPr="006D2B8B">
              <w:t>Difference ($millions)</w:t>
            </w:r>
          </w:p>
        </w:tc>
        <w:tc>
          <w:tcPr>
            <w:tcW w:w="783" w:type="pct"/>
            <w:hideMark/>
          </w:tcPr>
          <w:p w:rsidR="006B5777" w:rsidRPr="006D2B8B" w:rsidRDefault="006B5777" w:rsidP="0066591C">
            <w:pPr>
              <w:cnfStyle w:val="100000000000" w:firstRow="1" w:lastRow="0" w:firstColumn="0" w:lastColumn="0" w:oddVBand="0" w:evenVBand="0" w:oddHBand="0" w:evenHBand="0" w:firstRowFirstColumn="0" w:firstRowLastColumn="0" w:lastRowFirstColumn="0" w:lastRowLastColumn="0"/>
            </w:pPr>
            <w:r w:rsidRPr="006D2B8B">
              <w:t>Difference (%)</w:t>
            </w:r>
          </w:p>
        </w:tc>
      </w:tr>
      <w:tr w:rsidR="006B5777" w:rsidRPr="006D2B8B" w:rsidTr="006B5777">
        <w:trPr>
          <w:trHeight w:val="450"/>
        </w:trPr>
        <w:tc>
          <w:tcPr>
            <w:cnfStyle w:val="001000000000" w:firstRow="0" w:lastRow="0" w:firstColumn="1" w:lastColumn="0" w:oddVBand="0" w:evenVBand="0" w:oddHBand="0" w:evenHBand="0" w:firstRowFirstColumn="0" w:firstRowLastColumn="0" w:lastRowFirstColumn="0" w:lastRowLastColumn="0"/>
            <w:tcW w:w="1781" w:type="pct"/>
            <w:hideMark/>
          </w:tcPr>
          <w:p w:rsidR="006B5777" w:rsidRPr="006D2B8B" w:rsidRDefault="006B5777" w:rsidP="0066591C">
            <w:r w:rsidRPr="006D2B8B">
              <w:t>Mains replacement</w:t>
            </w:r>
          </w:p>
        </w:tc>
        <w:tc>
          <w:tcPr>
            <w:tcW w:w="785"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277.2</w:t>
            </w:r>
          </w:p>
        </w:tc>
        <w:tc>
          <w:tcPr>
            <w:tcW w:w="866"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277.2</w:t>
            </w:r>
          </w:p>
        </w:tc>
        <w:tc>
          <w:tcPr>
            <w:tcW w:w="785"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0.0</w:t>
            </w:r>
          </w:p>
        </w:tc>
        <w:tc>
          <w:tcPr>
            <w:tcW w:w="783"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0%</w:t>
            </w:r>
          </w:p>
        </w:tc>
      </w:tr>
      <w:tr w:rsidR="006B5777" w:rsidRPr="006D2B8B" w:rsidTr="006B5777">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781" w:type="pct"/>
            <w:hideMark/>
          </w:tcPr>
          <w:p w:rsidR="006B5777" w:rsidRPr="006D2B8B" w:rsidRDefault="006B5777" w:rsidP="0066591C">
            <w:r w:rsidRPr="006D2B8B">
              <w:t>Meter replacement</w:t>
            </w:r>
          </w:p>
        </w:tc>
        <w:tc>
          <w:tcPr>
            <w:tcW w:w="785"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pPr>
            <w:r w:rsidRPr="006D2B8B">
              <w:t>17.1</w:t>
            </w:r>
          </w:p>
        </w:tc>
        <w:tc>
          <w:tcPr>
            <w:tcW w:w="866"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pPr>
            <w:r w:rsidRPr="006D2B8B">
              <w:t>17.1</w:t>
            </w:r>
          </w:p>
        </w:tc>
        <w:tc>
          <w:tcPr>
            <w:tcW w:w="785"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pPr>
            <w:r w:rsidRPr="006D2B8B">
              <w:t>0.0</w:t>
            </w:r>
          </w:p>
        </w:tc>
        <w:tc>
          <w:tcPr>
            <w:tcW w:w="783"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pPr>
            <w:r w:rsidRPr="006D2B8B">
              <w:t>0%</w:t>
            </w:r>
          </w:p>
        </w:tc>
      </w:tr>
      <w:tr w:rsidR="006B5777" w:rsidRPr="006D2B8B" w:rsidTr="006B5777">
        <w:trPr>
          <w:trHeight w:val="450"/>
        </w:trPr>
        <w:tc>
          <w:tcPr>
            <w:cnfStyle w:val="001000000000" w:firstRow="0" w:lastRow="0" w:firstColumn="1" w:lastColumn="0" w:oddVBand="0" w:evenVBand="0" w:oddHBand="0" w:evenHBand="0" w:firstRowFirstColumn="0" w:firstRowLastColumn="0" w:lastRowFirstColumn="0" w:lastRowLastColumn="0"/>
            <w:tcW w:w="1781" w:type="pct"/>
            <w:hideMark/>
          </w:tcPr>
          <w:p w:rsidR="006B5777" w:rsidRPr="006D2B8B" w:rsidRDefault="006B5777" w:rsidP="0066591C">
            <w:r w:rsidRPr="006D2B8B">
              <w:t>Augmentation</w:t>
            </w:r>
          </w:p>
        </w:tc>
        <w:tc>
          <w:tcPr>
            <w:tcW w:w="785"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14.6</w:t>
            </w:r>
          </w:p>
        </w:tc>
        <w:tc>
          <w:tcPr>
            <w:tcW w:w="866"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14.6</w:t>
            </w:r>
          </w:p>
        </w:tc>
        <w:tc>
          <w:tcPr>
            <w:tcW w:w="785"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0.0</w:t>
            </w:r>
          </w:p>
        </w:tc>
        <w:tc>
          <w:tcPr>
            <w:tcW w:w="783"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0%</w:t>
            </w:r>
          </w:p>
        </w:tc>
      </w:tr>
      <w:tr w:rsidR="006B5777" w:rsidRPr="006D2B8B" w:rsidTr="006B5777">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781" w:type="pct"/>
            <w:hideMark/>
          </w:tcPr>
          <w:p w:rsidR="006B5777" w:rsidRPr="006D2B8B" w:rsidRDefault="006B5777" w:rsidP="0066591C">
            <w:r w:rsidRPr="006D2B8B">
              <w:t>Telemetry</w:t>
            </w:r>
          </w:p>
        </w:tc>
        <w:tc>
          <w:tcPr>
            <w:tcW w:w="785"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pPr>
            <w:r w:rsidRPr="006D2B8B">
              <w:t>1.1</w:t>
            </w:r>
          </w:p>
        </w:tc>
        <w:tc>
          <w:tcPr>
            <w:tcW w:w="866"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pPr>
            <w:r w:rsidRPr="006D2B8B">
              <w:t>1.1</w:t>
            </w:r>
          </w:p>
        </w:tc>
        <w:tc>
          <w:tcPr>
            <w:tcW w:w="785"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pPr>
            <w:r w:rsidRPr="006D2B8B">
              <w:t>0.0</w:t>
            </w:r>
          </w:p>
        </w:tc>
        <w:tc>
          <w:tcPr>
            <w:tcW w:w="783"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pPr>
            <w:r w:rsidRPr="006D2B8B">
              <w:t>0%</w:t>
            </w:r>
          </w:p>
        </w:tc>
      </w:tr>
      <w:tr w:rsidR="006B5777" w:rsidRPr="006D2B8B" w:rsidTr="006B5777">
        <w:trPr>
          <w:trHeight w:val="450"/>
        </w:trPr>
        <w:tc>
          <w:tcPr>
            <w:cnfStyle w:val="001000000000" w:firstRow="0" w:lastRow="0" w:firstColumn="1" w:lastColumn="0" w:oddVBand="0" w:evenVBand="0" w:oddHBand="0" w:evenHBand="0" w:firstRowFirstColumn="0" w:firstRowLastColumn="0" w:lastRowFirstColumn="0" w:lastRowLastColumn="0"/>
            <w:tcW w:w="1781" w:type="pct"/>
            <w:hideMark/>
          </w:tcPr>
          <w:p w:rsidR="006B5777" w:rsidRPr="006D2B8B" w:rsidRDefault="006B5777" w:rsidP="0066591C">
            <w:r w:rsidRPr="006D2B8B">
              <w:t>Regulators</w:t>
            </w:r>
          </w:p>
        </w:tc>
        <w:tc>
          <w:tcPr>
            <w:tcW w:w="785"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11.3</w:t>
            </w:r>
          </w:p>
        </w:tc>
        <w:tc>
          <w:tcPr>
            <w:tcW w:w="866"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11.0</w:t>
            </w:r>
          </w:p>
        </w:tc>
        <w:tc>
          <w:tcPr>
            <w:tcW w:w="785"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-0.3</w:t>
            </w:r>
          </w:p>
        </w:tc>
        <w:tc>
          <w:tcPr>
            <w:tcW w:w="783"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3%</w:t>
            </w:r>
          </w:p>
        </w:tc>
      </w:tr>
      <w:tr w:rsidR="006B5777" w:rsidRPr="006D2B8B" w:rsidTr="006B5777">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781" w:type="pct"/>
            <w:hideMark/>
          </w:tcPr>
          <w:p w:rsidR="006B5777" w:rsidRPr="006D2B8B" w:rsidRDefault="006B5777" w:rsidP="0066591C">
            <w:r w:rsidRPr="006D2B8B">
              <w:t>IT</w:t>
            </w:r>
          </w:p>
        </w:tc>
        <w:tc>
          <w:tcPr>
            <w:tcW w:w="785"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pPr>
            <w:r w:rsidRPr="006D2B8B">
              <w:t>55.4</w:t>
            </w:r>
          </w:p>
        </w:tc>
        <w:tc>
          <w:tcPr>
            <w:tcW w:w="866"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pPr>
            <w:r w:rsidRPr="006D2B8B">
              <w:t>55.4</w:t>
            </w:r>
          </w:p>
        </w:tc>
        <w:tc>
          <w:tcPr>
            <w:tcW w:w="785"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pPr>
            <w:r w:rsidRPr="006D2B8B">
              <w:t>0.0</w:t>
            </w:r>
          </w:p>
        </w:tc>
        <w:tc>
          <w:tcPr>
            <w:tcW w:w="783"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pPr>
            <w:r w:rsidRPr="006D2B8B">
              <w:t>0%</w:t>
            </w:r>
          </w:p>
        </w:tc>
      </w:tr>
      <w:tr w:rsidR="006B5777" w:rsidRPr="006D2B8B" w:rsidTr="006B5777">
        <w:trPr>
          <w:trHeight w:val="450"/>
        </w:trPr>
        <w:tc>
          <w:tcPr>
            <w:cnfStyle w:val="001000000000" w:firstRow="0" w:lastRow="0" w:firstColumn="1" w:lastColumn="0" w:oddVBand="0" w:evenVBand="0" w:oddHBand="0" w:evenHBand="0" w:firstRowFirstColumn="0" w:firstRowLastColumn="0" w:lastRowFirstColumn="0" w:lastRowLastColumn="0"/>
            <w:tcW w:w="1781" w:type="pct"/>
            <w:hideMark/>
          </w:tcPr>
          <w:p w:rsidR="006B5777" w:rsidRPr="006D2B8B" w:rsidRDefault="006B5777" w:rsidP="0066591C">
            <w:r w:rsidRPr="006D2B8B">
              <w:t>Growth assets</w:t>
            </w:r>
          </w:p>
        </w:tc>
        <w:tc>
          <w:tcPr>
            <w:tcW w:w="785"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114.1</w:t>
            </w:r>
          </w:p>
        </w:tc>
        <w:tc>
          <w:tcPr>
            <w:tcW w:w="866"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85.6</w:t>
            </w:r>
          </w:p>
        </w:tc>
        <w:tc>
          <w:tcPr>
            <w:tcW w:w="785"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-28.5</w:t>
            </w:r>
          </w:p>
        </w:tc>
        <w:tc>
          <w:tcPr>
            <w:tcW w:w="783"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25%</w:t>
            </w:r>
          </w:p>
        </w:tc>
      </w:tr>
      <w:tr w:rsidR="006B5777" w:rsidRPr="006D2B8B" w:rsidTr="006B5777">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781" w:type="pct"/>
            <w:hideMark/>
          </w:tcPr>
          <w:p w:rsidR="006B5777" w:rsidRPr="006D2B8B" w:rsidRDefault="006B5777" w:rsidP="0066591C">
            <w:r w:rsidRPr="006D2B8B">
              <w:t>Other distribution system</w:t>
            </w:r>
          </w:p>
        </w:tc>
        <w:tc>
          <w:tcPr>
            <w:tcW w:w="785"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pPr>
            <w:r w:rsidRPr="006D2B8B">
              <w:t>21.3</w:t>
            </w:r>
          </w:p>
        </w:tc>
        <w:tc>
          <w:tcPr>
            <w:tcW w:w="866"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pPr>
            <w:r w:rsidRPr="006D2B8B">
              <w:t>21.3</w:t>
            </w:r>
          </w:p>
        </w:tc>
        <w:tc>
          <w:tcPr>
            <w:tcW w:w="785"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pPr>
            <w:r w:rsidRPr="006D2B8B">
              <w:t>0.0</w:t>
            </w:r>
          </w:p>
        </w:tc>
        <w:tc>
          <w:tcPr>
            <w:tcW w:w="783"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pPr>
            <w:r w:rsidRPr="006D2B8B">
              <w:t>0%</w:t>
            </w:r>
          </w:p>
        </w:tc>
      </w:tr>
      <w:tr w:rsidR="006B5777" w:rsidRPr="006D2B8B" w:rsidTr="006B5777">
        <w:trPr>
          <w:trHeight w:val="450"/>
        </w:trPr>
        <w:tc>
          <w:tcPr>
            <w:cnfStyle w:val="001000000000" w:firstRow="0" w:lastRow="0" w:firstColumn="1" w:lastColumn="0" w:oddVBand="0" w:evenVBand="0" w:oddHBand="0" w:evenHBand="0" w:firstRowFirstColumn="0" w:firstRowLastColumn="0" w:lastRowFirstColumn="0" w:lastRowLastColumn="0"/>
            <w:tcW w:w="1781" w:type="pct"/>
            <w:hideMark/>
          </w:tcPr>
          <w:p w:rsidR="006B5777" w:rsidRPr="006D2B8B" w:rsidRDefault="006B5777" w:rsidP="0066591C">
            <w:r w:rsidRPr="006D2B8B">
              <w:t>Other non-distribution system</w:t>
            </w:r>
          </w:p>
        </w:tc>
        <w:tc>
          <w:tcPr>
            <w:tcW w:w="785"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5.0</w:t>
            </w:r>
          </w:p>
        </w:tc>
        <w:tc>
          <w:tcPr>
            <w:tcW w:w="866"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5.0</w:t>
            </w:r>
          </w:p>
        </w:tc>
        <w:tc>
          <w:tcPr>
            <w:tcW w:w="785"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0.0</w:t>
            </w:r>
          </w:p>
        </w:tc>
        <w:tc>
          <w:tcPr>
            <w:tcW w:w="783"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0%</w:t>
            </w:r>
          </w:p>
        </w:tc>
      </w:tr>
      <w:tr w:rsidR="006B5777" w:rsidRPr="006D2B8B" w:rsidTr="006B5777">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781" w:type="pct"/>
            <w:hideMark/>
          </w:tcPr>
          <w:p w:rsidR="006B5777" w:rsidRPr="006D2B8B" w:rsidRDefault="006B5777" w:rsidP="0066591C">
            <w:r w:rsidRPr="006D2B8B">
              <w:t>Escalation</w:t>
            </w:r>
          </w:p>
        </w:tc>
        <w:tc>
          <w:tcPr>
            <w:tcW w:w="785"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pPr>
            <w:r w:rsidRPr="006D2B8B">
              <w:t>12.6</w:t>
            </w:r>
          </w:p>
        </w:tc>
        <w:tc>
          <w:tcPr>
            <w:tcW w:w="866"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pPr>
            <w:r w:rsidRPr="006D2B8B">
              <w:t>11.9</w:t>
            </w:r>
          </w:p>
        </w:tc>
        <w:tc>
          <w:tcPr>
            <w:tcW w:w="785"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pPr>
            <w:r w:rsidRPr="006D2B8B">
              <w:t>-0.7</w:t>
            </w:r>
          </w:p>
        </w:tc>
        <w:tc>
          <w:tcPr>
            <w:tcW w:w="783"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pPr>
            <w:r w:rsidRPr="006D2B8B">
              <w:t>5%</w:t>
            </w:r>
          </w:p>
        </w:tc>
      </w:tr>
      <w:tr w:rsidR="006B5777" w:rsidRPr="006D2B8B" w:rsidTr="006B5777">
        <w:trPr>
          <w:trHeight w:val="450"/>
        </w:trPr>
        <w:tc>
          <w:tcPr>
            <w:cnfStyle w:val="001000000000" w:firstRow="0" w:lastRow="0" w:firstColumn="1" w:lastColumn="0" w:oddVBand="0" w:evenVBand="0" w:oddHBand="0" w:evenHBand="0" w:firstRowFirstColumn="0" w:firstRowLastColumn="0" w:lastRowFirstColumn="0" w:lastRowLastColumn="0"/>
            <w:tcW w:w="1781" w:type="pct"/>
            <w:hideMark/>
          </w:tcPr>
          <w:p w:rsidR="006B5777" w:rsidRPr="006D2B8B" w:rsidRDefault="006B5777" w:rsidP="0066591C">
            <w:r w:rsidRPr="006D2B8B">
              <w:t>Overheads</w:t>
            </w:r>
          </w:p>
        </w:tc>
        <w:tc>
          <w:tcPr>
            <w:tcW w:w="785"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55.4</w:t>
            </w:r>
          </w:p>
        </w:tc>
        <w:tc>
          <w:tcPr>
            <w:tcW w:w="866"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53.9</w:t>
            </w:r>
          </w:p>
        </w:tc>
        <w:tc>
          <w:tcPr>
            <w:tcW w:w="785"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-1.4</w:t>
            </w:r>
          </w:p>
        </w:tc>
        <w:tc>
          <w:tcPr>
            <w:tcW w:w="783"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3%</w:t>
            </w:r>
          </w:p>
        </w:tc>
      </w:tr>
      <w:tr w:rsidR="006B5777" w:rsidRPr="006D2B8B" w:rsidTr="006B5777">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781" w:type="pct"/>
            <w:hideMark/>
          </w:tcPr>
          <w:p w:rsidR="006B5777" w:rsidRPr="006D2B8B" w:rsidRDefault="006B5777" w:rsidP="0066591C">
            <w:pPr>
              <w:rPr>
                <w:rStyle w:val="Strong"/>
              </w:rPr>
            </w:pPr>
            <w:r w:rsidRPr="006D2B8B">
              <w:rPr>
                <w:rStyle w:val="Strong"/>
              </w:rPr>
              <w:t>GROSS TOTAL CAPITAL EXPENDITURE</w:t>
            </w:r>
          </w:p>
        </w:tc>
        <w:tc>
          <w:tcPr>
            <w:tcW w:w="785"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585.0</w:t>
            </w:r>
          </w:p>
        </w:tc>
        <w:tc>
          <w:tcPr>
            <w:tcW w:w="866"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554.0</w:t>
            </w:r>
          </w:p>
        </w:tc>
        <w:tc>
          <w:tcPr>
            <w:tcW w:w="785"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-30.9</w:t>
            </w:r>
          </w:p>
        </w:tc>
        <w:tc>
          <w:tcPr>
            <w:tcW w:w="783"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5%</w:t>
            </w:r>
          </w:p>
        </w:tc>
      </w:tr>
      <w:tr w:rsidR="006B5777" w:rsidRPr="006D2B8B" w:rsidTr="006B5777">
        <w:trPr>
          <w:trHeight w:val="450"/>
        </w:trPr>
        <w:tc>
          <w:tcPr>
            <w:cnfStyle w:val="001000000000" w:firstRow="0" w:lastRow="0" w:firstColumn="1" w:lastColumn="0" w:oddVBand="0" w:evenVBand="0" w:oddHBand="0" w:evenHBand="0" w:firstRowFirstColumn="0" w:firstRowLastColumn="0" w:lastRowFirstColumn="0" w:lastRowLastColumn="0"/>
            <w:tcW w:w="1781" w:type="pct"/>
            <w:hideMark/>
          </w:tcPr>
          <w:p w:rsidR="006B5777" w:rsidRPr="006D2B8B" w:rsidRDefault="006B5777" w:rsidP="0066591C">
            <w:r w:rsidRPr="006D2B8B">
              <w:t>Contributions</w:t>
            </w:r>
          </w:p>
        </w:tc>
        <w:tc>
          <w:tcPr>
            <w:tcW w:w="785"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3.6</w:t>
            </w:r>
          </w:p>
        </w:tc>
        <w:tc>
          <w:tcPr>
            <w:tcW w:w="866"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3.6</w:t>
            </w:r>
          </w:p>
        </w:tc>
        <w:tc>
          <w:tcPr>
            <w:tcW w:w="785"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0.0</w:t>
            </w:r>
          </w:p>
        </w:tc>
        <w:tc>
          <w:tcPr>
            <w:tcW w:w="783" w:type="pct"/>
            <w:hideMark/>
          </w:tcPr>
          <w:p w:rsidR="006B5777" w:rsidRPr="006D2B8B" w:rsidRDefault="006B5777" w:rsidP="0066591C">
            <w:pPr>
              <w:cnfStyle w:val="000000000000" w:firstRow="0" w:lastRow="0" w:firstColumn="0" w:lastColumn="0" w:oddVBand="0" w:evenVBand="0" w:oddHBand="0" w:evenHBand="0" w:firstRowFirstColumn="0" w:firstRowLastColumn="0" w:lastRowFirstColumn="0" w:lastRowLastColumn="0"/>
            </w:pPr>
            <w:r w:rsidRPr="006D2B8B">
              <w:t>0%</w:t>
            </w:r>
          </w:p>
        </w:tc>
      </w:tr>
      <w:tr w:rsidR="006B5777" w:rsidRPr="006D2B8B" w:rsidTr="006B5777">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781" w:type="pct"/>
            <w:hideMark/>
          </w:tcPr>
          <w:p w:rsidR="006B5777" w:rsidRPr="006D2B8B" w:rsidRDefault="006B5777" w:rsidP="0066591C">
            <w:pPr>
              <w:rPr>
                <w:rStyle w:val="Strong"/>
              </w:rPr>
            </w:pPr>
            <w:r w:rsidRPr="006D2B8B">
              <w:rPr>
                <w:rStyle w:val="Strong"/>
              </w:rPr>
              <w:t>NET TOTAL CAPITAL EXPENDITURE</w:t>
            </w:r>
          </w:p>
        </w:tc>
        <w:tc>
          <w:tcPr>
            <w:tcW w:w="785"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581.4</w:t>
            </w:r>
          </w:p>
        </w:tc>
        <w:tc>
          <w:tcPr>
            <w:tcW w:w="866"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550.5</w:t>
            </w:r>
          </w:p>
        </w:tc>
        <w:tc>
          <w:tcPr>
            <w:tcW w:w="785"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-30.9</w:t>
            </w:r>
          </w:p>
        </w:tc>
        <w:tc>
          <w:tcPr>
            <w:tcW w:w="783" w:type="pct"/>
            <w:hideMark/>
          </w:tcPr>
          <w:p w:rsidR="006B5777" w:rsidRPr="006D2B8B" w:rsidRDefault="006B5777" w:rsidP="0066591C">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5%</w:t>
            </w:r>
          </w:p>
        </w:tc>
      </w:tr>
    </w:tbl>
    <w:p w:rsidR="00A00435" w:rsidRDefault="00A00435" w:rsidP="00DB5002">
      <w:pPr>
        <w:pStyle w:val="AERtablesource"/>
        <w:keepNext/>
        <w:numPr>
          <w:ilvl w:val="0"/>
          <w:numId w:val="24"/>
        </w:numPr>
      </w:pPr>
      <w:r>
        <w:t>Source:</w:t>
      </w:r>
      <w:r>
        <w:tab/>
        <w:t>AER analysis.</w:t>
      </w:r>
    </w:p>
    <w:p w:rsidR="00406F6F" w:rsidRPr="00406F6F" w:rsidRDefault="00406F6F" w:rsidP="00DB5002">
      <w:pPr>
        <w:pStyle w:val="AERtablesource"/>
        <w:keepNext/>
      </w:pPr>
      <w:r>
        <w:t xml:space="preserve">Note: </w:t>
      </w:r>
      <w:r>
        <w:tab/>
      </w:r>
      <w:r w:rsidR="006B5777">
        <w:t xml:space="preserve">* </w:t>
      </w:r>
      <w:r>
        <w:t xml:space="preserve">Proposed capex for each category in this table reflects the updated forecast provided by AGN on 1 March 2016, not the revised proposal submitted </w:t>
      </w:r>
      <w:r w:rsidR="003D1B37">
        <w:t xml:space="preserve">on 6 </w:t>
      </w:r>
      <w:r>
        <w:t>January</w:t>
      </w:r>
      <w:r w:rsidR="003D1B37">
        <w:t xml:space="preserve"> 2016</w:t>
      </w:r>
      <w:r>
        <w:t>.</w:t>
      </w:r>
    </w:p>
    <w:p w:rsidR="00A00435" w:rsidRPr="00A00435" w:rsidRDefault="00A00435" w:rsidP="00A00435">
      <w:pPr>
        <w:pStyle w:val="ListParagraph"/>
        <w:numPr>
          <w:ilvl w:val="0"/>
          <w:numId w:val="24"/>
        </w:numPr>
      </w:pPr>
      <w:r w:rsidRPr="00A00435">
        <w:fldChar w:fldCharType="begin"/>
      </w:r>
      <w:r w:rsidRPr="00A00435">
        <w:instrText xml:space="preserve"> REF _Ref434480343 \h  \* MERGEFORMAT </w:instrText>
      </w:r>
      <w:r w:rsidRPr="00A00435">
        <w:fldChar w:fldCharType="separate"/>
      </w:r>
      <w:r w:rsidR="006E1111" w:rsidRPr="00DB5002">
        <w:t xml:space="preserve">Figure </w:t>
      </w:r>
      <w:r w:rsidR="006E1111">
        <w:t>8</w:t>
      </w:r>
      <w:r w:rsidRPr="00A00435">
        <w:fldChar w:fldCharType="end"/>
      </w:r>
      <w:r w:rsidRPr="00A00435">
        <w:t xml:space="preserve"> shows the difference between AGN's past and proposed forecast capex, </w:t>
      </w:r>
      <w:r w:rsidR="00A311A2" w:rsidRPr="00A00435">
        <w:t>a</w:t>
      </w:r>
      <w:r w:rsidR="00A311A2">
        <w:t>s well as</w:t>
      </w:r>
      <w:r w:rsidR="00A311A2" w:rsidRPr="00A00435">
        <w:t xml:space="preserve"> </w:t>
      </w:r>
      <w:r w:rsidRPr="00A00435">
        <w:t>the forecasts we have approved in our previous decision for 2011–16 and this final decision for 2016–21.</w:t>
      </w:r>
    </w:p>
    <w:p w:rsidR="00A00435" w:rsidRPr="00DB5002" w:rsidRDefault="00A00435" w:rsidP="00DB5002">
      <w:pPr>
        <w:pStyle w:val="Caption"/>
        <w:rPr>
          <w:rStyle w:val="Strong"/>
          <w:b/>
          <w:bCs/>
        </w:rPr>
      </w:pPr>
      <w:bookmarkStart w:id="132" w:name="_Ref434480343"/>
      <w:r w:rsidRPr="00DB5002">
        <w:t xml:space="preserve">Figure </w:t>
      </w:r>
      <w:fldSimple w:instr=" SEQ Figure \* ARABIC ">
        <w:r w:rsidR="006E1111">
          <w:rPr>
            <w:noProof/>
          </w:rPr>
          <w:t>8</w:t>
        </w:r>
      </w:fldSimple>
      <w:bookmarkEnd w:id="132"/>
      <w:r w:rsidRPr="00DB5002">
        <w:t xml:space="preserve"> </w:t>
      </w:r>
      <w:r w:rsidRPr="00DB5002">
        <w:rPr>
          <w:rStyle w:val="Strong"/>
          <w:b/>
          <w:bCs/>
        </w:rPr>
        <w:t>AER final decision compared to AGN’s past and proposed capex ($million, $2014-15)</w:t>
      </w:r>
    </w:p>
    <w:p w:rsidR="00A00435" w:rsidRPr="00A00435" w:rsidRDefault="004F623D" w:rsidP="00DB5002">
      <w:pPr>
        <w:pStyle w:val="ListParagraph"/>
        <w:keepNext/>
        <w:numPr>
          <w:ilvl w:val="0"/>
          <w:numId w:val="24"/>
        </w:numPr>
      </w:pPr>
      <w:r w:rsidRPr="004F623D">
        <w:rPr>
          <w:noProof/>
          <w:lang w:eastAsia="en-AU"/>
        </w:rPr>
        <w:drawing>
          <wp:inline distT="0" distB="0" distL="0" distR="0" wp14:anchorId="7DA3E366" wp14:editId="1357B386">
            <wp:extent cx="5382895" cy="3157515"/>
            <wp:effectExtent l="0" t="0" r="825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157515"/>
                    </a:xfrm>
                    <a:prstGeom prst="rect">
                      <a:avLst/>
                    </a:prstGeom>
                    <a:noFill/>
                    <a:ln>
                      <a:noFill/>
                    </a:ln>
                  </pic:spPr>
                </pic:pic>
              </a:graphicData>
            </a:graphic>
          </wp:inline>
        </w:drawing>
      </w:r>
    </w:p>
    <w:p w:rsidR="00A00435" w:rsidRPr="00D932ED" w:rsidRDefault="00A00435" w:rsidP="00DB5002">
      <w:pPr>
        <w:pStyle w:val="AERtablesource"/>
        <w:keepNext/>
        <w:numPr>
          <w:ilvl w:val="0"/>
          <w:numId w:val="24"/>
        </w:numPr>
      </w:pPr>
      <w:r>
        <w:t xml:space="preserve">Source: </w:t>
      </w:r>
      <w:r>
        <w:tab/>
        <w:t>AER analysis.</w:t>
      </w:r>
    </w:p>
    <w:p w:rsidR="00B23171" w:rsidRDefault="00B23171" w:rsidP="00B23171">
      <w:pPr>
        <w:pStyle w:val="HeadingBoldBlue"/>
      </w:pPr>
      <w:r>
        <w:t>Mains replacement</w:t>
      </w:r>
    </w:p>
    <w:p w:rsidR="00D12249" w:rsidRDefault="00582CAF" w:rsidP="00582CAF">
      <w:r w:rsidRPr="00116F4B">
        <w:t>AGN’s distribution mains replacement program involves the replacement of aging cast iron</w:t>
      </w:r>
      <w:r w:rsidR="00E345BB">
        <w:t xml:space="preserve"> (CI)</w:t>
      </w:r>
      <w:r w:rsidR="00D12249">
        <w:t xml:space="preserve">, unprotected steel pipe and </w:t>
      </w:r>
      <w:r w:rsidRPr="00116F4B">
        <w:t>high density polyethylene (HDPE) mains.</w:t>
      </w:r>
      <w:r>
        <w:t xml:space="preserve"> </w:t>
      </w:r>
    </w:p>
    <w:p w:rsidR="00582CAF" w:rsidRDefault="00582CAF" w:rsidP="00582CAF">
      <w:r>
        <w:t>Our draft decision included $167.7 million ($2014–15, unescalated direct costs) of mains replacement</w:t>
      </w:r>
      <w:r w:rsidRPr="00C4707E">
        <w:t xml:space="preserve"> capex in our alternative capex </w:t>
      </w:r>
      <w:r>
        <w:t>forecast</w:t>
      </w:r>
      <w:r w:rsidRPr="00C4707E">
        <w:t xml:space="preserve">. This </w:t>
      </w:r>
      <w:r>
        <w:t>wa</w:t>
      </w:r>
      <w:r w:rsidRPr="00C4707E">
        <w:t xml:space="preserve">s a reduction of </w:t>
      </w:r>
      <w:r>
        <w:t>54.</w:t>
      </w:r>
      <w:r w:rsidR="00D12249">
        <w:t>7</w:t>
      </w:r>
      <w:r w:rsidR="00D12249" w:rsidRPr="00C4707E">
        <w:t xml:space="preserve"> </w:t>
      </w:r>
      <w:r w:rsidRPr="00C4707E">
        <w:t xml:space="preserve">per cent from AGN's </w:t>
      </w:r>
      <w:r>
        <w:t xml:space="preserve">original </w:t>
      </w:r>
      <w:r w:rsidRPr="00C4707E">
        <w:t xml:space="preserve">forecast expenditure of $369.9 million for its mains replacement program. </w:t>
      </w:r>
      <w:r>
        <w:t xml:space="preserve">We considered AGN had not provided </w:t>
      </w:r>
      <w:r w:rsidR="001D25F2">
        <w:t xml:space="preserve">sufficient </w:t>
      </w:r>
      <w:r>
        <w:t>evidence to demonstrate that its forecast mains replacement</w:t>
      </w:r>
      <w:r w:rsidRPr="00035C77">
        <w:t xml:space="preserve"> </w:t>
      </w:r>
      <w:r>
        <w:t>capex</w:t>
      </w:r>
      <w:r w:rsidRPr="00035C77">
        <w:t xml:space="preserve"> </w:t>
      </w:r>
      <w:r w:rsidR="001D25F2">
        <w:t>was</w:t>
      </w:r>
      <w:r w:rsidRPr="00035C77">
        <w:t xml:space="preserve"> </w:t>
      </w:r>
      <w:r>
        <w:t>conforming capex over the 2016–21 access arrangement period</w:t>
      </w:r>
      <w:r w:rsidRPr="00035C77">
        <w:t>.</w:t>
      </w:r>
      <w:r w:rsidR="00EF70C4">
        <w:t xml:space="preserve"> Our draft decision </w:t>
      </w:r>
      <w:r>
        <w:t xml:space="preserve">provided AGN with direction </w:t>
      </w:r>
      <w:r w:rsidR="002D1DB0">
        <w:t>to submit</w:t>
      </w:r>
      <w:r>
        <w:t xml:space="preserve"> more compelling evidence in its revised proposal.</w:t>
      </w:r>
    </w:p>
    <w:p w:rsidR="00582CAF" w:rsidRPr="00116F4B" w:rsidRDefault="002B4FB8" w:rsidP="00582CAF">
      <w:r w:rsidRPr="00116F4B">
        <w:t>We accept AGN's</w:t>
      </w:r>
      <w:r w:rsidR="001D25F2">
        <w:t xml:space="preserve"> updated</w:t>
      </w:r>
      <w:r w:rsidRPr="00116F4B">
        <w:t xml:space="preserve"> </w:t>
      </w:r>
      <w:r w:rsidR="00582CAF">
        <w:t>forecast</w:t>
      </w:r>
      <w:r w:rsidRPr="00116F4B">
        <w:t xml:space="preserve"> of $277.2 million ($2014</w:t>
      </w:r>
      <w:r>
        <w:t>–</w:t>
      </w:r>
      <w:r w:rsidRPr="00116F4B">
        <w:t xml:space="preserve">15, unescalated) of mains replacement capex </w:t>
      </w:r>
      <w:r w:rsidR="00D12249">
        <w:t xml:space="preserve">(which includes multi-user service inlets) </w:t>
      </w:r>
      <w:r w:rsidRPr="00116F4B">
        <w:t>for 2016</w:t>
      </w:r>
      <w:r w:rsidR="00582CAF">
        <w:t>–</w:t>
      </w:r>
      <w:r w:rsidRPr="00116F4B">
        <w:t xml:space="preserve">21. </w:t>
      </w:r>
      <w:r w:rsidR="00FB66E4">
        <w:t>T</w:t>
      </w:r>
      <w:r w:rsidR="00582CAF">
        <w:t xml:space="preserve">his element of </w:t>
      </w:r>
      <w:r w:rsidR="00582CAF" w:rsidRPr="00116F4B">
        <w:t xml:space="preserve">AGN's </w:t>
      </w:r>
      <w:r w:rsidR="00582CAF">
        <w:t xml:space="preserve">capex proposal </w:t>
      </w:r>
      <w:r w:rsidR="00582CAF" w:rsidRPr="00116F4B">
        <w:t xml:space="preserve">is a modification to </w:t>
      </w:r>
      <w:r w:rsidR="00582CAF">
        <w:t>the</w:t>
      </w:r>
      <w:r w:rsidR="00582CAF" w:rsidRPr="00116F4B">
        <w:t xml:space="preserve"> revised proposal </w:t>
      </w:r>
      <w:r w:rsidR="00582CAF">
        <w:t xml:space="preserve">AGN </w:t>
      </w:r>
      <w:r w:rsidR="00582CAF" w:rsidRPr="00116F4B">
        <w:t xml:space="preserve">submitted </w:t>
      </w:r>
      <w:r w:rsidR="00582CAF">
        <w:t>i</w:t>
      </w:r>
      <w:r w:rsidR="00582CAF" w:rsidRPr="00116F4B">
        <w:t xml:space="preserve">n January 2016. </w:t>
      </w:r>
      <w:r w:rsidR="00D12249">
        <w:t>O</w:t>
      </w:r>
      <w:r w:rsidR="00D12249" w:rsidRPr="00D13D2F">
        <w:t xml:space="preserve">n 1 March 2016, AGN informed us that it had </w:t>
      </w:r>
      <w:r w:rsidR="0023648F">
        <w:t>modified</w:t>
      </w:r>
      <w:r w:rsidR="00D12249" w:rsidRPr="00D13D2F">
        <w:t xml:space="preserve"> its proposal to $277.2 million ($2014–15, unescalated) to replac</w:t>
      </w:r>
      <w:r w:rsidR="00D12249">
        <w:t>e 1072 kilometres of main pipes</w:t>
      </w:r>
      <w:r w:rsidR="00D12249" w:rsidRPr="00D13D2F">
        <w:t>.</w:t>
      </w:r>
      <w:r w:rsidR="00D12249" w:rsidRPr="00D13D2F">
        <w:rPr>
          <w:vertAlign w:val="superscript"/>
        </w:rPr>
        <w:footnoteReference w:id="56"/>
      </w:r>
      <w:r w:rsidR="00D12249">
        <w:t xml:space="preserve"> This modified figure of 1072 kilometres of mains replacement </w:t>
      </w:r>
      <w:r w:rsidR="00D12249" w:rsidRPr="00EB485B">
        <w:t xml:space="preserve">reflects the volume </w:t>
      </w:r>
      <w:r w:rsidR="00D12249">
        <w:t>approved</w:t>
      </w:r>
      <w:r w:rsidR="00D12249" w:rsidRPr="00EB485B">
        <w:t xml:space="preserve"> for the current </w:t>
      </w:r>
      <w:r w:rsidR="00D12249">
        <w:t>access arrangement</w:t>
      </w:r>
      <w:r w:rsidR="00D12249" w:rsidRPr="00EB485B">
        <w:t xml:space="preserve"> period.</w:t>
      </w:r>
      <w:r w:rsidR="00582CAF" w:rsidRPr="00116F4B">
        <w:t xml:space="preserve"> </w:t>
      </w:r>
      <w:r w:rsidR="004261F1">
        <w:t>AGN's</w:t>
      </w:r>
      <w:r w:rsidR="00582CAF" w:rsidRPr="00116F4B">
        <w:t xml:space="preserve"> </w:t>
      </w:r>
      <w:r w:rsidR="001D25F2">
        <w:t>updated</w:t>
      </w:r>
      <w:r w:rsidR="00582CAF" w:rsidRPr="00116F4B">
        <w:t xml:space="preserve"> </w:t>
      </w:r>
      <w:r w:rsidR="004261F1">
        <w:t>forecast</w:t>
      </w:r>
      <w:r w:rsidR="00582CAF" w:rsidRPr="00116F4B">
        <w:t xml:space="preserve"> of $277.2 million </w:t>
      </w:r>
      <w:r w:rsidR="004261F1">
        <w:t xml:space="preserve">of mains replacement capex </w:t>
      </w:r>
      <w:r w:rsidR="00582CAF" w:rsidRPr="00116F4B">
        <w:t>is $48.8 million less than its revised proposal of $326.0 million</w:t>
      </w:r>
      <w:r w:rsidR="001D25F2">
        <w:t>,</w:t>
      </w:r>
      <w:r w:rsidR="00582CAF" w:rsidRPr="00116F4B">
        <w:t xml:space="preserve"> and $92.7 million less than its initial proposal of $369.9 million.</w:t>
      </w:r>
    </w:p>
    <w:p w:rsidR="00EA7B88" w:rsidRDefault="00D12249" w:rsidP="001D25F2">
      <w:r>
        <w:t xml:space="preserve">We consider AGN's proposal to replace 1072 kilometres of mains is </w:t>
      </w:r>
      <w:r w:rsidR="002D1DB0">
        <w:t xml:space="preserve">sufficiently </w:t>
      </w:r>
      <w:r>
        <w:t>proximate to our alternative estimate of 985 kilometres of mains replacement</w:t>
      </w:r>
      <w:r w:rsidR="002D1DB0">
        <w:t xml:space="preserve"> to accept</w:t>
      </w:r>
      <w:r>
        <w:t>. Overall, our estimate supports the conclusion that over the 2016</w:t>
      </w:r>
      <w:r w:rsidR="00E345BB">
        <w:t>–</w:t>
      </w:r>
      <w:r>
        <w:t xml:space="preserve">21 access arrangement period the scale of AGN’s proposal and the associated </w:t>
      </w:r>
      <w:r w:rsidRPr="00116F4B">
        <w:t xml:space="preserve">$277.2 million </w:t>
      </w:r>
      <w:r>
        <w:t xml:space="preserve">it has proposed is that which a prudent service provider would incur, acting efficiently. We arrived at our estimate by applying an alternative approach to determine the kilometres of main pipes to replace over the next access arrangement period. This </w:t>
      </w:r>
      <w:r w:rsidRPr="00081A82">
        <w:t xml:space="preserve">approach is based on observing the historical trend in cracks </w:t>
      </w:r>
      <w:r>
        <w:t>on</w:t>
      </w:r>
      <w:r w:rsidRPr="00081A82">
        <w:t xml:space="preserve"> pipe mains</w:t>
      </w:r>
      <w:r>
        <w:t>,</w:t>
      </w:r>
      <w:r w:rsidRPr="00081A82">
        <w:t xml:space="preserve"> where the main</w:t>
      </w:r>
      <w:r>
        <w:t>s</w:t>
      </w:r>
      <w:r w:rsidRPr="00081A82">
        <w:t xml:space="preserve"> </w:t>
      </w:r>
      <w:r>
        <w:t xml:space="preserve">identified for </w:t>
      </w:r>
      <w:r w:rsidRPr="00081A82">
        <w:t>replace</w:t>
      </w:r>
      <w:r>
        <w:t>ment</w:t>
      </w:r>
      <w:r w:rsidRPr="00081A82">
        <w:t xml:space="preserve"> are those that demonstrate deterioration by </w:t>
      </w:r>
      <w:r>
        <w:t>exhibiting</w:t>
      </w:r>
      <w:r w:rsidRPr="00081A82">
        <w:t xml:space="preserve"> an increasing number of cra</w:t>
      </w:r>
      <w:r>
        <w:t>cks over the current access arrangement period.</w:t>
      </w:r>
    </w:p>
    <w:p w:rsidR="002B4FB8" w:rsidRPr="00116F4B" w:rsidRDefault="002B4FB8" w:rsidP="001D25F2">
      <w:r w:rsidRPr="00116F4B">
        <w:t xml:space="preserve">In accepting AGN's proposal of 1072 kilometres of mains replacement, our expectation is that AGN will undertake replacement works </w:t>
      </w:r>
      <w:r w:rsidR="001D25F2">
        <w:t xml:space="preserve">in the Adelaide central business district (CBD) </w:t>
      </w:r>
      <w:r w:rsidRPr="00116F4B">
        <w:t>over the 2016</w:t>
      </w:r>
      <w:r w:rsidR="00E345BB">
        <w:t>–</w:t>
      </w:r>
      <w:r w:rsidRPr="00116F4B">
        <w:t xml:space="preserve">21 </w:t>
      </w:r>
      <w:r w:rsidR="001D25F2">
        <w:t>access arrangement</w:t>
      </w:r>
      <w:r w:rsidRPr="00116F4B">
        <w:t xml:space="preserve"> period. </w:t>
      </w:r>
      <w:r w:rsidR="001D25F2">
        <w:t>O</w:t>
      </w:r>
      <w:r w:rsidRPr="00116F4B">
        <w:t>ur alternative estimate is predicated on AGN undertaking CBD replacement works. AGN has indicated throughout its revised proposal that replacement of CI mains in the CBD is a priority given the risks associated with these pipes.</w:t>
      </w:r>
      <w:r>
        <w:rPr>
          <w:rStyle w:val="FootnoteReference"/>
        </w:rPr>
        <w:footnoteReference w:id="57"/>
      </w:r>
      <w:r w:rsidRPr="00116F4B">
        <w:t xml:space="preserve"> We also note that the South Australian Office of the Technical Regulator regards CBD replacement works as a priority and has for some time.</w:t>
      </w:r>
      <w:r w:rsidR="00921F5F" w:rsidRPr="00921F5F">
        <w:rPr>
          <w:rStyle w:val="FootnoteReference"/>
        </w:rPr>
        <w:t xml:space="preserve"> </w:t>
      </w:r>
      <w:r w:rsidR="00921F5F">
        <w:rPr>
          <w:rStyle w:val="FootnoteReference"/>
        </w:rPr>
        <w:footnoteReference w:id="58"/>
      </w:r>
      <w:r w:rsidRPr="00116F4B">
        <w:t xml:space="preserve"> </w:t>
      </w:r>
    </w:p>
    <w:p w:rsidR="00783046" w:rsidRDefault="00783046" w:rsidP="00783046">
      <w:r>
        <w:t>We also accept AGN's revised unit rates across all categories of mains replacement and AGN's revised proposal of $10 million for its HDPE camera inspection and repair program, which forms part of AGN's wider risk mitigation strategy.</w:t>
      </w:r>
    </w:p>
    <w:p w:rsidR="002D1DB0" w:rsidRDefault="002D1DB0" w:rsidP="00783046">
      <w:r>
        <w:t>Our reasons for accepting AGN's forecast of mains replacement expenditure</w:t>
      </w:r>
      <w:r w:rsidR="00E345BB">
        <w:t>,</w:t>
      </w:r>
      <w:r>
        <w:t xml:space="preserve"> as part of our approved total capex forecast</w:t>
      </w:r>
      <w:r w:rsidR="00E345BB">
        <w:t>,</w:t>
      </w:r>
      <w:r>
        <w:t xml:space="preserve"> are set out in Attachment 6 to this final decision.</w:t>
      </w:r>
    </w:p>
    <w:p w:rsidR="00CF552D" w:rsidRDefault="00B23171" w:rsidP="00B23171">
      <w:pPr>
        <w:pStyle w:val="HeadingBoldBlue"/>
      </w:pPr>
      <w:r>
        <w:t>Growth assets</w:t>
      </w:r>
      <w:r w:rsidR="002B4FB8" w:rsidRPr="00116F4B">
        <w:t xml:space="preserve"> </w:t>
      </w:r>
    </w:p>
    <w:p w:rsidR="00070846" w:rsidRPr="00070846" w:rsidRDefault="00C8637F" w:rsidP="00070846">
      <w:r>
        <w:t>O</w:t>
      </w:r>
      <w:r w:rsidR="00070846" w:rsidRPr="00070846">
        <w:t>ur alternative capex estimate</w:t>
      </w:r>
      <w:r>
        <w:t xml:space="preserve"> includes </w:t>
      </w:r>
      <w:r w:rsidRPr="00070846">
        <w:t>$85.6 million ($2014–15, unescalated)</w:t>
      </w:r>
      <w:r>
        <w:t xml:space="preserve"> of growth assets capex</w:t>
      </w:r>
      <w:r w:rsidR="00070846" w:rsidRPr="00070846">
        <w:t>, compared to AGN's forecast expenditure of $114.1 million ($2014–15, unescalated) for its growth assets program.</w:t>
      </w:r>
      <w:r w:rsidR="00BA7158" w:rsidRPr="00BA7158">
        <w:t xml:space="preserve"> </w:t>
      </w:r>
      <w:r w:rsidR="00BA7158">
        <w:t>This is</w:t>
      </w:r>
      <w:r w:rsidR="00BA7158" w:rsidRPr="00070846">
        <w:t xml:space="preserve"> a reduction of $</w:t>
      </w:r>
      <w:r w:rsidR="00BA7158">
        <w:t xml:space="preserve">28.5 </w:t>
      </w:r>
      <w:r w:rsidR="00BA7158" w:rsidRPr="00070846">
        <w:t>m</w:t>
      </w:r>
      <w:r w:rsidR="00BA7158">
        <w:t>illion</w:t>
      </w:r>
      <w:r w:rsidR="00BA7158" w:rsidRPr="00070846">
        <w:t xml:space="preserve"> to AGN's forecast expenditure on growth assets.</w:t>
      </w:r>
    </w:p>
    <w:p w:rsidR="00276B1D" w:rsidRDefault="00070846" w:rsidP="00070846">
      <w:r>
        <w:t>AGN's revised proposal accepted our draft decision for mains growth, large customers, and both inlets and meters growth assets capex</w:t>
      </w:r>
      <w:r w:rsidR="00276B1D">
        <w:t>,</w:t>
      </w:r>
      <w:r>
        <w:t xml:space="preserve"> and we accept this </w:t>
      </w:r>
      <w:r w:rsidR="00276B1D">
        <w:t xml:space="preserve">element of its revised </w:t>
      </w:r>
      <w:r>
        <w:t xml:space="preserve">proposal ($85.6 million, $2014–15 unescalated). </w:t>
      </w:r>
    </w:p>
    <w:p w:rsidR="002E1246" w:rsidRDefault="00070846" w:rsidP="002E1246">
      <w:r>
        <w:t>However, we do not accept AGN's revised proposal for new growth area capex.</w:t>
      </w:r>
      <w:r w:rsidR="00276B1D">
        <w:t xml:space="preserve"> </w:t>
      </w:r>
      <w:r>
        <w:t>AGN's revised proposal include</w:t>
      </w:r>
      <w:r w:rsidR="00276B1D">
        <w:t>d</w:t>
      </w:r>
      <w:r>
        <w:t xml:space="preserve"> </w:t>
      </w:r>
      <w:r w:rsidR="002E1246" w:rsidRPr="002E1246">
        <w:t>$28.5 million for capex in new growth areas</w:t>
      </w:r>
      <w:r>
        <w:t xml:space="preserve"> in its capex forecast, consisting of:</w:t>
      </w:r>
      <w:r w:rsidR="002E1246" w:rsidRPr="002E1246">
        <w:t xml:space="preserve"> </w:t>
      </w:r>
    </w:p>
    <w:p w:rsidR="00070846" w:rsidRPr="002E1246" w:rsidRDefault="00070846" w:rsidP="00070846">
      <w:pPr>
        <w:pStyle w:val="AERbulletlistfirststyle"/>
      </w:pPr>
      <w:r w:rsidRPr="002E1246">
        <w:t xml:space="preserve">$5.0 million to extend its high pressure network by </w:t>
      </w:r>
      <w:r w:rsidR="00F07831">
        <w:t xml:space="preserve">nine </w:t>
      </w:r>
      <w:r w:rsidRPr="002E1246">
        <w:t>kilometres to the Two Wel</w:t>
      </w:r>
      <w:r>
        <w:t>ls township north of Adelaide.</w:t>
      </w:r>
    </w:p>
    <w:p w:rsidR="00070846" w:rsidRPr="002E1246" w:rsidRDefault="00070846" w:rsidP="00070846">
      <w:pPr>
        <w:pStyle w:val="AERbulletlistfirststyle"/>
      </w:pPr>
      <w:r w:rsidRPr="002E1246">
        <w:t>$23.5 million ($2014–15, unescalated) to expand its network 36 kilometres to Mount Barker</w:t>
      </w:r>
      <w:r>
        <w:t>.</w:t>
      </w:r>
      <w:r w:rsidRPr="002E1246">
        <w:t xml:space="preserve"> </w:t>
      </w:r>
    </w:p>
    <w:p w:rsidR="002E1246" w:rsidRPr="002E1246" w:rsidRDefault="002E1246" w:rsidP="002E1246">
      <w:r>
        <w:t>We are not satisfied that the amounts associated with these projects are conforming capex.</w:t>
      </w:r>
      <w:r w:rsidRPr="002E1246">
        <w:t xml:space="preserve"> </w:t>
      </w:r>
      <w:r w:rsidR="00070846">
        <w:t>C</w:t>
      </w:r>
      <w:r>
        <w:t>apex is conforming</w:t>
      </w:r>
      <w:r w:rsidR="00070846">
        <w:t xml:space="preserve"> (for the purposes of the NGR</w:t>
      </w:r>
      <w:r w:rsidR="00070846">
        <w:rPr>
          <w:rStyle w:val="FootnoteReference"/>
        </w:rPr>
        <w:footnoteReference w:id="59"/>
      </w:r>
      <w:r w:rsidR="00070846">
        <w:t>)</w:t>
      </w:r>
      <w:r>
        <w:t xml:space="preserve"> if the present value of the expected incremental revenue to be generated as a result of the expenditure exceeds the present value of the capex (NPV analysis). </w:t>
      </w:r>
    </w:p>
    <w:p w:rsidR="002E1246" w:rsidRDefault="00070846" w:rsidP="005C5059">
      <w:r>
        <w:t>However, w</w:t>
      </w:r>
      <w:r w:rsidR="002E1246">
        <w:t xml:space="preserve">e consider it is </w:t>
      </w:r>
      <w:r w:rsidR="00276B1D">
        <w:t>un</w:t>
      </w:r>
      <w:r w:rsidR="002E1246">
        <w:t xml:space="preserve">likely that the expected incremental revenue </w:t>
      </w:r>
      <w:r>
        <w:t xml:space="preserve">from these extensions </w:t>
      </w:r>
      <w:r w:rsidR="002E1246">
        <w:t>will exceed the present value of the capex</w:t>
      </w:r>
      <w:r>
        <w:t>,</w:t>
      </w:r>
      <w:r w:rsidR="002E1246">
        <w:t xml:space="preserve"> because </w:t>
      </w:r>
      <w:r w:rsidR="002F4E8E">
        <w:t xml:space="preserve">we find that </w:t>
      </w:r>
      <w:r w:rsidR="002E1246">
        <w:t>the penetration rate</w:t>
      </w:r>
      <w:r>
        <w:t xml:space="preserve"> in these areas</w:t>
      </w:r>
      <w:r w:rsidR="002E1246">
        <w:t xml:space="preserve"> is likely to be lower than that </w:t>
      </w:r>
      <w:r>
        <w:t>assumed in</w:t>
      </w:r>
      <w:r w:rsidR="002E1246">
        <w:t xml:space="preserve"> AGN</w:t>
      </w:r>
      <w:r>
        <w:t>'s proposal</w:t>
      </w:r>
      <w:r w:rsidR="002E1246">
        <w:t>.</w:t>
      </w:r>
      <w:r w:rsidR="004E5ABD" w:rsidRPr="004E5ABD">
        <w:t xml:space="preserve"> </w:t>
      </w:r>
      <w:r w:rsidR="004E5ABD">
        <w:t xml:space="preserve">AGN has relied on a forecast penetration rate of 95 per cent for both the Two Wells and Mount Barker extensions. </w:t>
      </w:r>
      <w:r w:rsidR="00DA121B">
        <w:t xml:space="preserve"> </w:t>
      </w:r>
      <w:r w:rsidR="002F4E8E">
        <w:t xml:space="preserve">Based on </w:t>
      </w:r>
      <w:r w:rsidR="00276B1D">
        <w:t>the information before us</w:t>
      </w:r>
      <w:r w:rsidR="002E1246">
        <w:t xml:space="preserve">, we are not satisfied that </w:t>
      </w:r>
      <w:r w:rsidR="004E5ABD">
        <w:t>this</w:t>
      </w:r>
      <w:r w:rsidR="002E1246">
        <w:t xml:space="preserve"> represents the best forecast or estimate possible in the circumstances.</w:t>
      </w:r>
      <w:r w:rsidR="004E5ABD">
        <w:t xml:space="preserve"> It is our view that the forecast network penetration rate of 6</w:t>
      </w:r>
      <w:r w:rsidR="005607FD">
        <w:t>5</w:t>
      </w:r>
      <w:bookmarkStart w:id="133" w:name="_GoBack"/>
      <w:bookmarkEnd w:id="133"/>
      <w:r w:rsidR="004E5ABD">
        <w:t xml:space="preserve"> per cent for new estates represents the best forecast in the circumstances because it better reflects current trends in gas connections.</w:t>
      </w:r>
      <w:r w:rsidR="00921F5F">
        <w:t xml:space="preserve"> Using this lower penetration rate in the NPV analysis results in the capex being NPV negative.</w:t>
      </w:r>
    </w:p>
    <w:p w:rsidR="00A311A2" w:rsidRDefault="00A311A2" w:rsidP="005C5059">
      <w:r>
        <w:t>The reasons for our decision are set out in Attachment 6 to this final decision.</w:t>
      </w:r>
    </w:p>
    <w:p w:rsidR="00CF00DE" w:rsidRDefault="00CF00DE" w:rsidP="00CF00DE">
      <w:pPr>
        <w:pStyle w:val="Heading2"/>
      </w:pPr>
      <w:bookmarkStart w:id="134" w:name="_Toc430002794"/>
      <w:bookmarkStart w:id="135" w:name="_Ref433375603"/>
      <w:bookmarkStart w:id="136" w:name="_Ref434321578"/>
      <w:bookmarkStart w:id="137" w:name="_Toc436037701"/>
      <w:bookmarkStart w:id="138" w:name="_Ref446590916"/>
      <w:bookmarkStart w:id="139" w:name="_Ref448495043"/>
      <w:bookmarkStart w:id="140" w:name="_Toc451873373"/>
      <w:r>
        <w:t>Operating expenditure</w:t>
      </w:r>
      <w:bookmarkEnd w:id="134"/>
      <w:bookmarkEnd w:id="135"/>
      <w:bookmarkEnd w:id="136"/>
      <w:bookmarkEnd w:id="137"/>
      <w:bookmarkEnd w:id="138"/>
      <w:bookmarkEnd w:id="139"/>
      <w:bookmarkEnd w:id="140"/>
    </w:p>
    <w:p w:rsidR="007909FB" w:rsidRDefault="007909FB" w:rsidP="007909FB">
      <w:r w:rsidRPr="002A35F5">
        <w:t xml:space="preserve">Forecast opex is the forecast </w:t>
      </w:r>
      <w:r w:rsidRPr="00C009DB">
        <w:t xml:space="preserve">of operating, maintenance and other non–capital costs incurred in the provision of </w:t>
      </w:r>
      <w:r>
        <w:t>reference</w:t>
      </w:r>
      <w:r w:rsidRPr="00C009DB">
        <w:t xml:space="preserve"> services. </w:t>
      </w:r>
    </w:p>
    <w:p w:rsidR="00727F7E" w:rsidRPr="003B6BBA" w:rsidRDefault="006543F2" w:rsidP="00727F7E">
      <w:r>
        <w:t>The total opex forecast in AGN's revised proposal was $36</w:t>
      </w:r>
      <w:r w:rsidR="00FB6FAF">
        <w:t>3.62</w:t>
      </w:r>
      <w:r>
        <w:t xml:space="preserve"> million ($2015–16) over the 2016–21 access arrangement period. This is an increase of two per cent</w:t>
      </w:r>
      <w:r w:rsidRPr="00AE59D7">
        <w:t xml:space="preserve"> </w:t>
      </w:r>
      <w:r>
        <w:t>from its</w:t>
      </w:r>
      <w:r w:rsidRPr="00AE59D7">
        <w:t xml:space="preserve"> </w:t>
      </w:r>
      <w:r>
        <w:t xml:space="preserve">original </w:t>
      </w:r>
      <w:r w:rsidRPr="00AE59D7">
        <w:t>proposal</w:t>
      </w:r>
      <w:r w:rsidRPr="0059338E">
        <w:t>.</w:t>
      </w:r>
      <w:r>
        <w:rPr>
          <w:rStyle w:val="FootnoteReference"/>
        </w:rPr>
        <w:footnoteReference w:id="60"/>
      </w:r>
      <w:r>
        <w:t xml:space="preserve"> </w:t>
      </w:r>
      <w:r w:rsidRPr="003B6BBA">
        <w:t xml:space="preserve">We are satisfied </w:t>
      </w:r>
      <w:r>
        <w:t>AGN's revised opex proposal</w:t>
      </w:r>
      <w:r w:rsidRPr="003B6BBA">
        <w:t xml:space="preserve"> complies with the opex criteria and the criteria for forecasts and estimates.</w:t>
      </w:r>
      <w:r>
        <w:rPr>
          <w:rStyle w:val="FootnoteReference"/>
        </w:rPr>
        <w:footnoteReference w:id="61"/>
      </w:r>
      <w:r>
        <w:t xml:space="preserve"> </w:t>
      </w:r>
      <w:r w:rsidR="00727F7E" w:rsidRPr="003B6BBA">
        <w:t xml:space="preserve">We therefore accept the forecast of opex </w:t>
      </w:r>
      <w:r w:rsidR="00727F7E">
        <w:t xml:space="preserve">AGN </w:t>
      </w:r>
      <w:r w:rsidR="00727F7E" w:rsidRPr="003B6BBA">
        <w:t xml:space="preserve">included in its </w:t>
      </w:r>
      <w:r w:rsidR="006F6EF7">
        <w:t xml:space="preserve">revised </w:t>
      </w:r>
      <w:r w:rsidR="00727F7E" w:rsidRPr="003B6BBA">
        <w:t>proposal. Our final decision</w:t>
      </w:r>
      <w:r>
        <w:t xml:space="preserve"> on total forecast opex</w:t>
      </w:r>
      <w:r w:rsidR="00727F7E" w:rsidRPr="003B6BBA">
        <w:t xml:space="preserve"> for the 2016–21 </w:t>
      </w:r>
      <w:r w:rsidR="00727F7E">
        <w:t xml:space="preserve">access arrangement </w:t>
      </w:r>
      <w:r w:rsidR="00727F7E" w:rsidRPr="003B6BBA">
        <w:t>period is shown in</w:t>
      </w:r>
      <w:r w:rsidR="0088053D">
        <w:t xml:space="preserve"> </w:t>
      </w:r>
      <w:r w:rsidR="0088053D">
        <w:fldChar w:fldCharType="begin"/>
      </w:r>
      <w:r w:rsidR="0088053D">
        <w:instrText xml:space="preserve"> REF _Ref446421740 \h </w:instrText>
      </w:r>
      <w:r w:rsidR="0088053D">
        <w:fldChar w:fldCharType="separate"/>
      </w:r>
      <w:r w:rsidR="006E1111">
        <w:t xml:space="preserve">Table </w:t>
      </w:r>
      <w:r w:rsidR="006E1111">
        <w:rPr>
          <w:noProof/>
        </w:rPr>
        <w:t>10</w:t>
      </w:r>
      <w:r w:rsidR="0088053D">
        <w:fldChar w:fldCharType="end"/>
      </w:r>
      <w:r w:rsidR="008A0437">
        <w:t>.</w:t>
      </w:r>
      <w:r w:rsidR="00727F7E" w:rsidRPr="003B6BBA">
        <w:t xml:space="preserve"> </w:t>
      </w:r>
    </w:p>
    <w:p w:rsidR="00727F7E" w:rsidRDefault="0088053D" w:rsidP="004C4F1E">
      <w:pPr>
        <w:pStyle w:val="Caption"/>
        <w:keepLines/>
      </w:pPr>
      <w:bookmarkStart w:id="141" w:name="_Ref446421740"/>
      <w:bookmarkStart w:id="142" w:name="_Ref444850594"/>
      <w:r>
        <w:t xml:space="preserve">Table </w:t>
      </w:r>
      <w:fldSimple w:instr=" SEQ Table \* ARABIC ">
        <w:r w:rsidR="006E1111">
          <w:rPr>
            <w:noProof/>
          </w:rPr>
          <w:t>10</w:t>
        </w:r>
      </w:fldSimple>
      <w:bookmarkEnd w:id="141"/>
      <w:r>
        <w:t xml:space="preserve"> </w:t>
      </w:r>
      <w:r w:rsidR="00727F7E">
        <w:t>Final decision on total opex ($million, 2015-16)</w:t>
      </w:r>
      <w:bookmarkEnd w:id="142"/>
    </w:p>
    <w:tbl>
      <w:tblPr>
        <w:tblStyle w:val="AERtable-numbers"/>
        <w:tblW w:w="0" w:type="auto"/>
        <w:tblLook w:val="04A0" w:firstRow="1" w:lastRow="0" w:firstColumn="1" w:lastColumn="0" w:noHBand="0" w:noVBand="1"/>
      </w:tblPr>
      <w:tblGrid>
        <w:gridCol w:w="2376"/>
        <w:gridCol w:w="1052"/>
        <w:gridCol w:w="1053"/>
        <w:gridCol w:w="1053"/>
        <w:gridCol w:w="1053"/>
        <w:gridCol w:w="1053"/>
        <w:gridCol w:w="1053"/>
      </w:tblGrid>
      <w:tr w:rsidR="00727F7E" w:rsidTr="006F6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27F7E" w:rsidRDefault="00727F7E" w:rsidP="004C4F1E">
            <w:pPr>
              <w:keepNext/>
              <w:keepLines/>
            </w:pPr>
          </w:p>
        </w:tc>
        <w:tc>
          <w:tcPr>
            <w:tcW w:w="1052" w:type="dxa"/>
          </w:tcPr>
          <w:p w:rsidR="00727F7E" w:rsidRPr="00727F7E" w:rsidRDefault="00727F7E" w:rsidP="004C4F1E">
            <w:pPr>
              <w:keepNext/>
              <w:keepLines/>
              <w:cnfStyle w:val="100000000000" w:firstRow="1" w:lastRow="0" w:firstColumn="0" w:lastColumn="0" w:oddVBand="0" w:evenVBand="0" w:oddHBand="0" w:evenHBand="0" w:firstRowFirstColumn="0" w:firstRowLastColumn="0" w:lastRowFirstColumn="0" w:lastRowLastColumn="0"/>
            </w:pPr>
            <w:r>
              <w:t>2016-17</w:t>
            </w:r>
          </w:p>
        </w:tc>
        <w:tc>
          <w:tcPr>
            <w:tcW w:w="1053" w:type="dxa"/>
          </w:tcPr>
          <w:p w:rsidR="00727F7E" w:rsidRPr="00727F7E" w:rsidRDefault="00727F7E" w:rsidP="004C4F1E">
            <w:pPr>
              <w:keepNext/>
              <w:keepLines/>
              <w:cnfStyle w:val="100000000000" w:firstRow="1" w:lastRow="0" w:firstColumn="0" w:lastColumn="0" w:oddVBand="0" w:evenVBand="0" w:oddHBand="0" w:evenHBand="0" w:firstRowFirstColumn="0" w:firstRowLastColumn="0" w:lastRowFirstColumn="0" w:lastRowLastColumn="0"/>
            </w:pPr>
            <w:r>
              <w:t>2017-18</w:t>
            </w:r>
          </w:p>
        </w:tc>
        <w:tc>
          <w:tcPr>
            <w:tcW w:w="1053" w:type="dxa"/>
          </w:tcPr>
          <w:p w:rsidR="00727F7E" w:rsidRPr="00727F7E" w:rsidRDefault="00727F7E" w:rsidP="004C4F1E">
            <w:pPr>
              <w:keepNext/>
              <w:keepLines/>
              <w:cnfStyle w:val="100000000000" w:firstRow="1" w:lastRow="0" w:firstColumn="0" w:lastColumn="0" w:oddVBand="0" w:evenVBand="0" w:oddHBand="0" w:evenHBand="0" w:firstRowFirstColumn="0" w:firstRowLastColumn="0" w:lastRowFirstColumn="0" w:lastRowLastColumn="0"/>
            </w:pPr>
            <w:r>
              <w:t>2018-19</w:t>
            </w:r>
          </w:p>
        </w:tc>
        <w:tc>
          <w:tcPr>
            <w:tcW w:w="1053" w:type="dxa"/>
          </w:tcPr>
          <w:p w:rsidR="00727F7E" w:rsidRPr="00727F7E" w:rsidRDefault="00727F7E" w:rsidP="004C4F1E">
            <w:pPr>
              <w:keepNext/>
              <w:keepLines/>
              <w:cnfStyle w:val="100000000000" w:firstRow="1" w:lastRow="0" w:firstColumn="0" w:lastColumn="0" w:oddVBand="0" w:evenVBand="0" w:oddHBand="0" w:evenHBand="0" w:firstRowFirstColumn="0" w:firstRowLastColumn="0" w:lastRowFirstColumn="0" w:lastRowLastColumn="0"/>
            </w:pPr>
            <w:r>
              <w:t>2019-20</w:t>
            </w:r>
          </w:p>
        </w:tc>
        <w:tc>
          <w:tcPr>
            <w:tcW w:w="1053" w:type="dxa"/>
          </w:tcPr>
          <w:p w:rsidR="00727F7E" w:rsidRPr="00727F7E" w:rsidRDefault="00727F7E" w:rsidP="004C4F1E">
            <w:pPr>
              <w:keepNext/>
              <w:keepLines/>
              <w:cnfStyle w:val="100000000000" w:firstRow="1" w:lastRow="0" w:firstColumn="0" w:lastColumn="0" w:oddVBand="0" w:evenVBand="0" w:oddHBand="0" w:evenHBand="0" w:firstRowFirstColumn="0" w:firstRowLastColumn="0" w:lastRowFirstColumn="0" w:lastRowLastColumn="0"/>
            </w:pPr>
            <w:r>
              <w:t>2020-21</w:t>
            </w:r>
          </w:p>
        </w:tc>
        <w:tc>
          <w:tcPr>
            <w:tcW w:w="1053" w:type="dxa"/>
          </w:tcPr>
          <w:p w:rsidR="00727F7E" w:rsidRPr="00727F7E" w:rsidRDefault="00727F7E" w:rsidP="004C4F1E">
            <w:pPr>
              <w:keepNext/>
              <w:keepLines/>
              <w:cnfStyle w:val="100000000000" w:firstRow="1" w:lastRow="0" w:firstColumn="0" w:lastColumn="0" w:oddVBand="0" w:evenVBand="0" w:oddHBand="0" w:evenHBand="0" w:firstRowFirstColumn="0" w:firstRowLastColumn="0" w:lastRowFirstColumn="0" w:lastRowLastColumn="0"/>
            </w:pPr>
            <w:r>
              <w:t>Total</w:t>
            </w:r>
          </w:p>
        </w:tc>
      </w:tr>
      <w:tr w:rsidR="00727F7E" w:rsidTr="006F6EF7">
        <w:tc>
          <w:tcPr>
            <w:cnfStyle w:val="001000000000" w:firstRow="0" w:lastRow="0" w:firstColumn="1" w:lastColumn="0" w:oddVBand="0" w:evenVBand="0" w:oddHBand="0" w:evenHBand="0" w:firstRowFirstColumn="0" w:firstRowLastColumn="0" w:lastRowFirstColumn="0" w:lastRowLastColumn="0"/>
            <w:tcW w:w="2376" w:type="dxa"/>
          </w:tcPr>
          <w:p w:rsidR="00727F7E" w:rsidRPr="00727F7E" w:rsidRDefault="00727F7E" w:rsidP="004C4F1E">
            <w:pPr>
              <w:keepNext/>
              <w:keepLines/>
            </w:pPr>
            <w:r>
              <w:t>AGN's initial proposal</w:t>
            </w:r>
          </w:p>
        </w:tc>
        <w:tc>
          <w:tcPr>
            <w:tcW w:w="1052" w:type="dxa"/>
          </w:tcPr>
          <w:p w:rsidR="00727F7E" w:rsidRPr="00727F7E" w:rsidRDefault="00727F7E" w:rsidP="004C4F1E">
            <w:pPr>
              <w:keepNext/>
              <w:keepLines/>
              <w:cnfStyle w:val="000000000000" w:firstRow="0" w:lastRow="0" w:firstColumn="0" w:lastColumn="0" w:oddVBand="0" w:evenVBand="0" w:oddHBand="0" w:evenHBand="0" w:firstRowFirstColumn="0" w:firstRowLastColumn="0" w:lastRowFirstColumn="0" w:lastRowLastColumn="0"/>
            </w:pPr>
            <w:r>
              <w:t>68.3</w:t>
            </w:r>
            <w:r w:rsidRPr="00727F7E">
              <w:t>9</w:t>
            </w:r>
          </w:p>
        </w:tc>
        <w:tc>
          <w:tcPr>
            <w:tcW w:w="1053" w:type="dxa"/>
          </w:tcPr>
          <w:p w:rsidR="00727F7E" w:rsidRPr="00727F7E" w:rsidRDefault="00727F7E" w:rsidP="004C4F1E">
            <w:pPr>
              <w:keepNext/>
              <w:keepLines/>
              <w:cnfStyle w:val="000000000000" w:firstRow="0" w:lastRow="0" w:firstColumn="0" w:lastColumn="0" w:oddVBand="0" w:evenVBand="0" w:oddHBand="0" w:evenHBand="0" w:firstRowFirstColumn="0" w:firstRowLastColumn="0" w:lastRowFirstColumn="0" w:lastRowLastColumn="0"/>
            </w:pPr>
            <w:r>
              <w:t>70.58</w:t>
            </w:r>
          </w:p>
        </w:tc>
        <w:tc>
          <w:tcPr>
            <w:tcW w:w="1053" w:type="dxa"/>
          </w:tcPr>
          <w:p w:rsidR="00727F7E" w:rsidRPr="00727F7E" w:rsidRDefault="00727F7E" w:rsidP="004C4F1E">
            <w:pPr>
              <w:keepNext/>
              <w:keepLines/>
              <w:cnfStyle w:val="000000000000" w:firstRow="0" w:lastRow="0" w:firstColumn="0" w:lastColumn="0" w:oddVBand="0" w:evenVBand="0" w:oddHBand="0" w:evenHBand="0" w:firstRowFirstColumn="0" w:firstRowLastColumn="0" w:lastRowFirstColumn="0" w:lastRowLastColumn="0"/>
            </w:pPr>
            <w:r>
              <w:t>72.44</w:t>
            </w:r>
          </w:p>
        </w:tc>
        <w:tc>
          <w:tcPr>
            <w:tcW w:w="1053" w:type="dxa"/>
          </w:tcPr>
          <w:p w:rsidR="00727F7E" w:rsidRPr="00727F7E" w:rsidRDefault="00727F7E" w:rsidP="004C4F1E">
            <w:pPr>
              <w:keepNext/>
              <w:keepLines/>
              <w:cnfStyle w:val="000000000000" w:firstRow="0" w:lastRow="0" w:firstColumn="0" w:lastColumn="0" w:oddVBand="0" w:evenVBand="0" w:oddHBand="0" w:evenHBand="0" w:firstRowFirstColumn="0" w:firstRowLastColumn="0" w:lastRowFirstColumn="0" w:lastRowLastColumn="0"/>
            </w:pPr>
            <w:r>
              <w:t>72.64</w:t>
            </w:r>
          </w:p>
        </w:tc>
        <w:tc>
          <w:tcPr>
            <w:tcW w:w="1053" w:type="dxa"/>
          </w:tcPr>
          <w:p w:rsidR="00727F7E" w:rsidRPr="00727F7E" w:rsidRDefault="00727F7E" w:rsidP="004C4F1E">
            <w:pPr>
              <w:keepNext/>
              <w:keepLines/>
              <w:cnfStyle w:val="000000000000" w:firstRow="0" w:lastRow="0" w:firstColumn="0" w:lastColumn="0" w:oddVBand="0" w:evenVBand="0" w:oddHBand="0" w:evenHBand="0" w:firstRowFirstColumn="0" w:firstRowLastColumn="0" w:lastRowFirstColumn="0" w:lastRowLastColumn="0"/>
            </w:pPr>
            <w:r>
              <w:t>73.39</w:t>
            </w:r>
          </w:p>
        </w:tc>
        <w:tc>
          <w:tcPr>
            <w:tcW w:w="1053" w:type="dxa"/>
          </w:tcPr>
          <w:p w:rsidR="00727F7E" w:rsidRPr="00727F7E" w:rsidRDefault="00727F7E" w:rsidP="004C4F1E">
            <w:pPr>
              <w:keepNext/>
              <w:keepLines/>
              <w:cnfStyle w:val="000000000000" w:firstRow="0" w:lastRow="0" w:firstColumn="0" w:lastColumn="0" w:oddVBand="0" w:evenVBand="0" w:oddHBand="0" w:evenHBand="0" w:firstRowFirstColumn="0" w:firstRowLastColumn="0" w:lastRowFirstColumn="0" w:lastRowLastColumn="0"/>
            </w:pPr>
            <w:r>
              <w:t>357.43</w:t>
            </w:r>
          </w:p>
        </w:tc>
      </w:tr>
      <w:tr w:rsidR="00727F7E" w:rsidTr="006F6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27F7E" w:rsidRPr="00727F7E" w:rsidRDefault="00727F7E" w:rsidP="004C4F1E">
            <w:pPr>
              <w:keepNext/>
              <w:keepLines/>
            </w:pPr>
            <w:r>
              <w:t>AER draft decision</w:t>
            </w:r>
            <w:r w:rsidRPr="00727F7E">
              <w:rPr>
                <w:rStyle w:val="FootnoteReference"/>
              </w:rPr>
              <w:footnoteReference w:id="62"/>
            </w:r>
          </w:p>
        </w:tc>
        <w:tc>
          <w:tcPr>
            <w:tcW w:w="1052" w:type="dxa"/>
          </w:tcPr>
          <w:p w:rsidR="00727F7E" w:rsidRPr="00727F7E" w:rsidRDefault="00727F7E" w:rsidP="004C4F1E">
            <w:pPr>
              <w:keepNext/>
              <w:keepLines/>
              <w:cnfStyle w:val="000000010000" w:firstRow="0" w:lastRow="0" w:firstColumn="0" w:lastColumn="0" w:oddVBand="0" w:evenVBand="0" w:oddHBand="0" w:evenHBand="1" w:firstRowFirstColumn="0" w:firstRowLastColumn="0" w:lastRowFirstColumn="0" w:lastRowLastColumn="0"/>
            </w:pPr>
            <w:r>
              <w:t>68.60</w:t>
            </w:r>
          </w:p>
        </w:tc>
        <w:tc>
          <w:tcPr>
            <w:tcW w:w="1053" w:type="dxa"/>
          </w:tcPr>
          <w:p w:rsidR="00727F7E" w:rsidRPr="00727F7E" w:rsidRDefault="00727F7E" w:rsidP="004C4F1E">
            <w:pPr>
              <w:keepNext/>
              <w:keepLines/>
              <w:cnfStyle w:val="000000010000" w:firstRow="0" w:lastRow="0" w:firstColumn="0" w:lastColumn="0" w:oddVBand="0" w:evenVBand="0" w:oddHBand="0" w:evenHBand="1" w:firstRowFirstColumn="0" w:firstRowLastColumn="0" w:lastRowFirstColumn="0" w:lastRowLastColumn="0"/>
            </w:pPr>
            <w:r>
              <w:t>69.53</w:t>
            </w:r>
          </w:p>
        </w:tc>
        <w:tc>
          <w:tcPr>
            <w:tcW w:w="1053" w:type="dxa"/>
          </w:tcPr>
          <w:p w:rsidR="00727F7E" w:rsidRPr="00727F7E" w:rsidRDefault="00727F7E" w:rsidP="004C4F1E">
            <w:pPr>
              <w:keepNext/>
              <w:keepLines/>
              <w:cnfStyle w:val="000000010000" w:firstRow="0" w:lastRow="0" w:firstColumn="0" w:lastColumn="0" w:oddVBand="0" w:evenVBand="0" w:oddHBand="0" w:evenHBand="1" w:firstRowFirstColumn="0" w:firstRowLastColumn="0" w:lastRowFirstColumn="0" w:lastRowLastColumn="0"/>
            </w:pPr>
            <w:r>
              <w:t>69.95</w:t>
            </w:r>
          </w:p>
        </w:tc>
        <w:tc>
          <w:tcPr>
            <w:tcW w:w="1053" w:type="dxa"/>
          </w:tcPr>
          <w:p w:rsidR="00727F7E" w:rsidRPr="00727F7E" w:rsidRDefault="00727F7E" w:rsidP="004C4F1E">
            <w:pPr>
              <w:keepNext/>
              <w:keepLines/>
              <w:cnfStyle w:val="000000010000" w:firstRow="0" w:lastRow="0" w:firstColumn="0" w:lastColumn="0" w:oddVBand="0" w:evenVBand="0" w:oddHBand="0" w:evenHBand="1" w:firstRowFirstColumn="0" w:firstRowLastColumn="0" w:lastRowFirstColumn="0" w:lastRowLastColumn="0"/>
            </w:pPr>
            <w:r>
              <w:t>69.73</w:t>
            </w:r>
          </w:p>
        </w:tc>
        <w:tc>
          <w:tcPr>
            <w:tcW w:w="1053" w:type="dxa"/>
          </w:tcPr>
          <w:p w:rsidR="00727F7E" w:rsidRPr="00727F7E" w:rsidRDefault="00727F7E" w:rsidP="004C4F1E">
            <w:pPr>
              <w:keepNext/>
              <w:keepLines/>
              <w:cnfStyle w:val="000000010000" w:firstRow="0" w:lastRow="0" w:firstColumn="0" w:lastColumn="0" w:oddVBand="0" w:evenVBand="0" w:oddHBand="0" w:evenHBand="1" w:firstRowFirstColumn="0" w:firstRowLastColumn="0" w:lastRowFirstColumn="0" w:lastRowLastColumn="0"/>
            </w:pPr>
            <w:r>
              <w:t>69.60</w:t>
            </w:r>
          </w:p>
        </w:tc>
        <w:tc>
          <w:tcPr>
            <w:tcW w:w="1053" w:type="dxa"/>
          </w:tcPr>
          <w:p w:rsidR="00727F7E" w:rsidRPr="00727F7E" w:rsidRDefault="00727F7E" w:rsidP="004C4F1E">
            <w:pPr>
              <w:keepNext/>
              <w:keepLines/>
              <w:cnfStyle w:val="000000010000" w:firstRow="0" w:lastRow="0" w:firstColumn="0" w:lastColumn="0" w:oddVBand="0" w:evenVBand="0" w:oddHBand="0" w:evenHBand="1" w:firstRowFirstColumn="0" w:firstRowLastColumn="0" w:lastRowFirstColumn="0" w:lastRowLastColumn="0"/>
            </w:pPr>
            <w:r>
              <w:t>347.40</w:t>
            </w:r>
          </w:p>
        </w:tc>
      </w:tr>
      <w:tr w:rsidR="00727F7E" w:rsidTr="006F6EF7">
        <w:tc>
          <w:tcPr>
            <w:cnfStyle w:val="001000000000" w:firstRow="0" w:lastRow="0" w:firstColumn="1" w:lastColumn="0" w:oddVBand="0" w:evenVBand="0" w:oddHBand="0" w:evenHBand="0" w:firstRowFirstColumn="0" w:firstRowLastColumn="0" w:lastRowFirstColumn="0" w:lastRowLastColumn="0"/>
            <w:tcW w:w="2376" w:type="dxa"/>
          </w:tcPr>
          <w:p w:rsidR="00727F7E" w:rsidRPr="00727F7E" w:rsidRDefault="00727F7E" w:rsidP="004C4F1E">
            <w:pPr>
              <w:keepNext/>
              <w:keepLines/>
            </w:pPr>
            <w:r>
              <w:t>AGN's revised proposal</w:t>
            </w:r>
          </w:p>
        </w:tc>
        <w:tc>
          <w:tcPr>
            <w:tcW w:w="1052" w:type="dxa"/>
          </w:tcPr>
          <w:p w:rsidR="00727F7E" w:rsidRPr="00727F7E" w:rsidRDefault="00727F7E" w:rsidP="004C4F1E">
            <w:pPr>
              <w:keepNext/>
              <w:keepLines/>
              <w:cnfStyle w:val="000000000000" w:firstRow="0" w:lastRow="0" w:firstColumn="0" w:lastColumn="0" w:oddVBand="0" w:evenVBand="0" w:oddHBand="0" w:evenHBand="0" w:firstRowFirstColumn="0" w:firstRowLastColumn="0" w:lastRowFirstColumn="0" w:lastRowLastColumn="0"/>
            </w:pPr>
            <w:r>
              <w:t>70.72</w:t>
            </w:r>
          </w:p>
        </w:tc>
        <w:tc>
          <w:tcPr>
            <w:tcW w:w="1053" w:type="dxa"/>
          </w:tcPr>
          <w:p w:rsidR="00727F7E" w:rsidRPr="00727F7E" w:rsidRDefault="00727F7E" w:rsidP="004C4F1E">
            <w:pPr>
              <w:keepNext/>
              <w:keepLines/>
              <w:cnfStyle w:val="000000000000" w:firstRow="0" w:lastRow="0" w:firstColumn="0" w:lastColumn="0" w:oddVBand="0" w:evenVBand="0" w:oddHBand="0" w:evenHBand="0" w:firstRowFirstColumn="0" w:firstRowLastColumn="0" w:lastRowFirstColumn="0" w:lastRowLastColumn="0"/>
            </w:pPr>
            <w:r>
              <w:t>72.10</w:t>
            </w:r>
          </w:p>
        </w:tc>
        <w:tc>
          <w:tcPr>
            <w:tcW w:w="1053" w:type="dxa"/>
          </w:tcPr>
          <w:p w:rsidR="00727F7E" w:rsidRPr="00727F7E" w:rsidRDefault="00727F7E" w:rsidP="004C4F1E">
            <w:pPr>
              <w:keepNext/>
              <w:keepLines/>
              <w:cnfStyle w:val="000000000000" w:firstRow="0" w:lastRow="0" w:firstColumn="0" w:lastColumn="0" w:oddVBand="0" w:evenVBand="0" w:oddHBand="0" w:evenHBand="0" w:firstRowFirstColumn="0" w:firstRowLastColumn="0" w:lastRowFirstColumn="0" w:lastRowLastColumn="0"/>
            </w:pPr>
            <w:r>
              <w:t>73.51</w:t>
            </w:r>
          </w:p>
        </w:tc>
        <w:tc>
          <w:tcPr>
            <w:tcW w:w="1053" w:type="dxa"/>
          </w:tcPr>
          <w:p w:rsidR="00727F7E" w:rsidRPr="00727F7E" w:rsidRDefault="00727F7E" w:rsidP="004C4F1E">
            <w:pPr>
              <w:keepNext/>
              <w:keepLines/>
              <w:cnfStyle w:val="000000000000" w:firstRow="0" w:lastRow="0" w:firstColumn="0" w:lastColumn="0" w:oddVBand="0" w:evenVBand="0" w:oddHBand="0" w:evenHBand="0" w:firstRowFirstColumn="0" w:firstRowLastColumn="0" w:lastRowFirstColumn="0" w:lastRowLastColumn="0"/>
            </w:pPr>
            <w:r>
              <w:t>73.56</w:t>
            </w:r>
          </w:p>
        </w:tc>
        <w:tc>
          <w:tcPr>
            <w:tcW w:w="1053" w:type="dxa"/>
          </w:tcPr>
          <w:p w:rsidR="00727F7E" w:rsidRPr="00727F7E" w:rsidRDefault="00727F7E" w:rsidP="004C4F1E">
            <w:pPr>
              <w:keepNext/>
              <w:keepLines/>
              <w:cnfStyle w:val="000000000000" w:firstRow="0" w:lastRow="0" w:firstColumn="0" w:lastColumn="0" w:oddVBand="0" w:evenVBand="0" w:oddHBand="0" w:evenHBand="0" w:firstRowFirstColumn="0" w:firstRowLastColumn="0" w:lastRowFirstColumn="0" w:lastRowLastColumn="0"/>
            </w:pPr>
            <w:r>
              <w:t>73.73</w:t>
            </w:r>
          </w:p>
        </w:tc>
        <w:tc>
          <w:tcPr>
            <w:tcW w:w="1053" w:type="dxa"/>
          </w:tcPr>
          <w:p w:rsidR="00727F7E" w:rsidRPr="00727F7E" w:rsidRDefault="00727F7E" w:rsidP="004C4F1E">
            <w:pPr>
              <w:keepNext/>
              <w:keepLines/>
              <w:cnfStyle w:val="000000000000" w:firstRow="0" w:lastRow="0" w:firstColumn="0" w:lastColumn="0" w:oddVBand="0" w:evenVBand="0" w:oddHBand="0" w:evenHBand="0" w:firstRowFirstColumn="0" w:firstRowLastColumn="0" w:lastRowFirstColumn="0" w:lastRowLastColumn="0"/>
            </w:pPr>
            <w:r>
              <w:t>363.62</w:t>
            </w:r>
          </w:p>
        </w:tc>
      </w:tr>
      <w:tr w:rsidR="00727F7E" w:rsidTr="006F6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27F7E" w:rsidRPr="00727F7E" w:rsidRDefault="00727F7E" w:rsidP="004C4F1E">
            <w:pPr>
              <w:keepNext/>
              <w:keepLines/>
            </w:pPr>
            <w:r>
              <w:t>AER final decision</w:t>
            </w:r>
          </w:p>
        </w:tc>
        <w:tc>
          <w:tcPr>
            <w:tcW w:w="1052" w:type="dxa"/>
          </w:tcPr>
          <w:p w:rsidR="00727F7E" w:rsidRPr="00727F7E" w:rsidRDefault="00727F7E" w:rsidP="004C4F1E">
            <w:pPr>
              <w:keepNext/>
              <w:keepLines/>
              <w:cnfStyle w:val="000000010000" w:firstRow="0" w:lastRow="0" w:firstColumn="0" w:lastColumn="0" w:oddVBand="0" w:evenVBand="0" w:oddHBand="0" w:evenHBand="1" w:firstRowFirstColumn="0" w:firstRowLastColumn="0" w:lastRowFirstColumn="0" w:lastRowLastColumn="0"/>
            </w:pPr>
            <w:r>
              <w:t>70.72</w:t>
            </w:r>
          </w:p>
        </w:tc>
        <w:tc>
          <w:tcPr>
            <w:tcW w:w="1053" w:type="dxa"/>
          </w:tcPr>
          <w:p w:rsidR="00727F7E" w:rsidRPr="00727F7E" w:rsidRDefault="00727F7E" w:rsidP="004C4F1E">
            <w:pPr>
              <w:keepNext/>
              <w:keepLines/>
              <w:cnfStyle w:val="000000010000" w:firstRow="0" w:lastRow="0" w:firstColumn="0" w:lastColumn="0" w:oddVBand="0" w:evenVBand="0" w:oddHBand="0" w:evenHBand="1" w:firstRowFirstColumn="0" w:firstRowLastColumn="0" w:lastRowFirstColumn="0" w:lastRowLastColumn="0"/>
            </w:pPr>
            <w:r>
              <w:t>72.10</w:t>
            </w:r>
          </w:p>
        </w:tc>
        <w:tc>
          <w:tcPr>
            <w:tcW w:w="1053" w:type="dxa"/>
          </w:tcPr>
          <w:p w:rsidR="00727F7E" w:rsidRPr="00727F7E" w:rsidRDefault="00727F7E" w:rsidP="004C4F1E">
            <w:pPr>
              <w:keepNext/>
              <w:keepLines/>
              <w:cnfStyle w:val="000000010000" w:firstRow="0" w:lastRow="0" w:firstColumn="0" w:lastColumn="0" w:oddVBand="0" w:evenVBand="0" w:oddHBand="0" w:evenHBand="1" w:firstRowFirstColumn="0" w:firstRowLastColumn="0" w:lastRowFirstColumn="0" w:lastRowLastColumn="0"/>
            </w:pPr>
            <w:r>
              <w:t>73.51</w:t>
            </w:r>
          </w:p>
        </w:tc>
        <w:tc>
          <w:tcPr>
            <w:tcW w:w="1053" w:type="dxa"/>
          </w:tcPr>
          <w:p w:rsidR="00727F7E" w:rsidRPr="00727F7E" w:rsidRDefault="00727F7E" w:rsidP="004C4F1E">
            <w:pPr>
              <w:keepNext/>
              <w:keepLines/>
              <w:cnfStyle w:val="000000010000" w:firstRow="0" w:lastRow="0" w:firstColumn="0" w:lastColumn="0" w:oddVBand="0" w:evenVBand="0" w:oddHBand="0" w:evenHBand="1" w:firstRowFirstColumn="0" w:firstRowLastColumn="0" w:lastRowFirstColumn="0" w:lastRowLastColumn="0"/>
            </w:pPr>
            <w:r>
              <w:t>73.56</w:t>
            </w:r>
          </w:p>
        </w:tc>
        <w:tc>
          <w:tcPr>
            <w:tcW w:w="1053" w:type="dxa"/>
          </w:tcPr>
          <w:p w:rsidR="00727F7E" w:rsidRPr="00727F7E" w:rsidRDefault="00727F7E" w:rsidP="004C4F1E">
            <w:pPr>
              <w:keepNext/>
              <w:keepLines/>
              <w:cnfStyle w:val="000000010000" w:firstRow="0" w:lastRow="0" w:firstColumn="0" w:lastColumn="0" w:oddVBand="0" w:evenVBand="0" w:oddHBand="0" w:evenHBand="1" w:firstRowFirstColumn="0" w:firstRowLastColumn="0" w:lastRowFirstColumn="0" w:lastRowLastColumn="0"/>
            </w:pPr>
            <w:r>
              <w:t>73.73</w:t>
            </w:r>
          </w:p>
        </w:tc>
        <w:tc>
          <w:tcPr>
            <w:tcW w:w="1053" w:type="dxa"/>
          </w:tcPr>
          <w:p w:rsidR="00727F7E" w:rsidRPr="00727F7E" w:rsidRDefault="00727F7E" w:rsidP="004C4F1E">
            <w:pPr>
              <w:keepNext/>
              <w:keepLines/>
              <w:cnfStyle w:val="000000010000" w:firstRow="0" w:lastRow="0" w:firstColumn="0" w:lastColumn="0" w:oddVBand="0" w:evenVBand="0" w:oddHBand="0" w:evenHBand="1" w:firstRowFirstColumn="0" w:firstRowLastColumn="0" w:lastRowFirstColumn="0" w:lastRowLastColumn="0"/>
            </w:pPr>
            <w:r>
              <w:t>363.62</w:t>
            </w:r>
          </w:p>
        </w:tc>
      </w:tr>
    </w:tbl>
    <w:p w:rsidR="00727F7E" w:rsidRDefault="00727F7E" w:rsidP="004C4F1E">
      <w:pPr>
        <w:pStyle w:val="AERtablesource"/>
        <w:keepNext/>
        <w:keepLines/>
      </w:pPr>
      <w:r>
        <w:t>Source: AER analysis</w:t>
      </w:r>
    </w:p>
    <w:p w:rsidR="00727F7E" w:rsidRDefault="00727F7E" w:rsidP="004C4F1E">
      <w:pPr>
        <w:pStyle w:val="AERtablesource"/>
        <w:keepNext/>
        <w:keepLines/>
      </w:pPr>
      <w:r>
        <w:t>Note: Excludes debt raising costs, numbers may not add due to rounding.</w:t>
      </w:r>
    </w:p>
    <w:p w:rsidR="004C4F1E" w:rsidRDefault="004C4F1E" w:rsidP="004C4F1E">
      <w:r>
        <w:t>In its revised proposal AGN adopted the same forecasting approach as in its initial proposal with some revisions to the inputs:</w:t>
      </w:r>
      <w:r>
        <w:rPr>
          <w:rStyle w:val="FootnoteReference"/>
        </w:rPr>
        <w:footnoteReference w:id="63"/>
      </w:r>
    </w:p>
    <w:p w:rsidR="004C4F1E" w:rsidRDefault="004C4F1E" w:rsidP="004C4F1E">
      <w:pPr>
        <w:pStyle w:val="AERbulletlistfirststyle"/>
      </w:pPr>
      <w:r>
        <w:t>2014</w:t>
      </w:r>
      <w:r w:rsidR="00E345BB">
        <w:t>–</w:t>
      </w:r>
      <w:r w:rsidRPr="002239E1">
        <w:t>15 opex</w:t>
      </w:r>
      <w:r>
        <w:t xml:space="preserve"> updated to reflect actual opex</w:t>
      </w:r>
    </w:p>
    <w:p w:rsidR="004C4F1E" w:rsidRDefault="008B3AE3" w:rsidP="004C4F1E">
      <w:pPr>
        <w:pStyle w:val="AERbulletlistfirststyle"/>
      </w:pPr>
      <w:r>
        <w:t>U</w:t>
      </w:r>
      <w:r w:rsidR="004C4F1E">
        <w:t>naccounted for gas (UAFG)</w:t>
      </w:r>
      <w:r w:rsidR="00ED6791">
        <w:t>—</w:t>
      </w:r>
      <w:r w:rsidR="004C4F1E">
        <w:t>AGN updated UAFG quantities to reflect its revised mains replacement program, and UAFG prices to reflect more recent price forecasts.</w:t>
      </w:r>
    </w:p>
    <w:p w:rsidR="004C4F1E" w:rsidRDefault="004C4F1E" w:rsidP="004C4F1E">
      <w:pPr>
        <w:pStyle w:val="AERbulletlistfirststyle"/>
      </w:pPr>
      <w:r>
        <w:t>Rate of change</w:t>
      </w:r>
      <w:r w:rsidR="00ED6791">
        <w:t>—</w:t>
      </w:r>
      <w:r>
        <w:t xml:space="preserve">AGN accepted our draft decision on input cost escalation and output growth but proposed a productivity adjustment of zero. </w:t>
      </w:r>
    </w:p>
    <w:p w:rsidR="004C4F1E" w:rsidRDefault="004C4F1E" w:rsidP="004C4F1E">
      <w:pPr>
        <w:pStyle w:val="AERbulletlistfirststyle"/>
      </w:pPr>
      <w:r>
        <w:t>Step changes</w:t>
      </w:r>
      <w:r w:rsidR="00ED6791">
        <w:t>—A</w:t>
      </w:r>
      <w:r>
        <w:t xml:space="preserve">GN re-proposed one step change and conditionally re-proposed another step change. </w:t>
      </w:r>
    </w:p>
    <w:p w:rsidR="004C4F1E" w:rsidRDefault="004C4F1E" w:rsidP="004C4F1E">
      <w:pPr>
        <w:pStyle w:val="AERbulletlistfirststyle"/>
      </w:pPr>
      <w:r>
        <w:t>Re-categorisation of projects</w:t>
      </w:r>
      <w:r w:rsidR="00ED6791">
        <w:t>—</w:t>
      </w:r>
      <w:r w:rsidR="00A3396C">
        <w:t xml:space="preserve">consistent with </w:t>
      </w:r>
      <w:r w:rsidR="008B3AE3">
        <w:t xml:space="preserve">our </w:t>
      </w:r>
      <w:r w:rsidR="00A3396C">
        <w:t xml:space="preserve">draft decision </w:t>
      </w:r>
      <w:r>
        <w:t xml:space="preserve">AGN accepted the re-categorisation of three projects to opex </w:t>
      </w:r>
      <w:r w:rsidR="00A3396C">
        <w:t xml:space="preserve">and their </w:t>
      </w:r>
      <w:r>
        <w:t xml:space="preserve">incorporation into </w:t>
      </w:r>
      <w:r w:rsidR="00DB304A">
        <w:t xml:space="preserve">the </w:t>
      </w:r>
      <w:r>
        <w:t>base year</w:t>
      </w:r>
      <w:r w:rsidR="00DB304A">
        <w:t xml:space="preserve"> opex</w:t>
      </w:r>
      <w:r>
        <w:t xml:space="preserve">. </w:t>
      </w:r>
    </w:p>
    <w:p w:rsidR="00727F7E" w:rsidRDefault="007C0A30" w:rsidP="007C0A30">
      <w:r>
        <w:t>W</w:t>
      </w:r>
      <w:r w:rsidR="008A0437">
        <w:t>e do not agree with AGN on all the elements of its total opex forecast</w:t>
      </w:r>
      <w:r>
        <w:t xml:space="preserve">. For example, while we have adopted </w:t>
      </w:r>
      <w:r w:rsidR="00B23171">
        <w:t>AGN's</w:t>
      </w:r>
      <w:r>
        <w:t xml:space="preserve"> proposed productivity adjustment of zero, we have not adopted all of its proposed step changes. However</w:t>
      </w:r>
      <w:r w:rsidR="008A0437">
        <w:t>, w</w:t>
      </w:r>
      <w:r w:rsidR="008A0437" w:rsidRPr="00DE6CB2">
        <w:t xml:space="preserve">hen we compare </w:t>
      </w:r>
      <w:r w:rsidR="008A0437">
        <w:t>AGN</w:t>
      </w:r>
      <w:r w:rsidR="008A0437" w:rsidRPr="00DE6CB2">
        <w:t>'</w:t>
      </w:r>
      <w:r w:rsidR="008A0437">
        <w:t>s</w:t>
      </w:r>
      <w:r w:rsidR="008A0437" w:rsidRPr="00DE6CB2">
        <w:t xml:space="preserve"> </w:t>
      </w:r>
      <w:r w:rsidR="00B23171">
        <w:t>total opex forecast</w:t>
      </w:r>
      <w:r w:rsidR="008A0437" w:rsidRPr="00DE6CB2">
        <w:t xml:space="preserve"> with our </w:t>
      </w:r>
      <w:r w:rsidR="008A0437">
        <w:t xml:space="preserve">own </w:t>
      </w:r>
      <w:r w:rsidR="008A0437" w:rsidRPr="00DE6CB2">
        <w:t xml:space="preserve">estimate of the efficient opex a prudent operator would require, </w:t>
      </w:r>
      <w:r w:rsidR="008A0437">
        <w:t>the two are</w:t>
      </w:r>
      <w:r w:rsidR="008A0437" w:rsidRPr="00DE6CB2">
        <w:t xml:space="preserve"> not materially different.</w:t>
      </w:r>
      <w:r w:rsidR="00727F7E">
        <w:t xml:space="preserve"> </w:t>
      </w:r>
    </w:p>
    <w:p w:rsidR="00727F7E" w:rsidRDefault="005C5837" w:rsidP="00727F7E">
      <w:r>
        <w:fldChar w:fldCharType="begin"/>
      </w:r>
      <w:r>
        <w:instrText xml:space="preserve"> REF _Ref446421969 \h </w:instrText>
      </w:r>
      <w:r>
        <w:fldChar w:fldCharType="separate"/>
      </w:r>
      <w:r w:rsidR="006E1111">
        <w:t xml:space="preserve">Figure </w:t>
      </w:r>
      <w:r w:rsidR="006E1111">
        <w:rPr>
          <w:noProof/>
        </w:rPr>
        <w:t>9</w:t>
      </w:r>
      <w:r>
        <w:fldChar w:fldCharType="end"/>
      </w:r>
      <w:r>
        <w:t xml:space="preserve"> </w:t>
      </w:r>
      <w:r w:rsidR="00727F7E" w:rsidRPr="003B6BBA">
        <w:t>shows our final decision compared to A</w:t>
      </w:r>
      <w:r w:rsidR="00727F7E">
        <w:t>GN</w:t>
      </w:r>
      <w:r w:rsidR="00727F7E" w:rsidRPr="003B6BBA">
        <w:t xml:space="preserve">'s proposal, </w:t>
      </w:r>
      <w:r w:rsidR="007909FB">
        <w:t xml:space="preserve">as well as </w:t>
      </w:r>
      <w:r w:rsidR="00727F7E" w:rsidRPr="003B6BBA">
        <w:t xml:space="preserve">its </w:t>
      </w:r>
      <w:r w:rsidR="007909FB">
        <w:t>forecast and actual opex in the current period</w:t>
      </w:r>
      <w:r w:rsidR="00727F7E" w:rsidRPr="003B6BBA">
        <w:t>.</w:t>
      </w:r>
    </w:p>
    <w:p w:rsidR="00727F7E" w:rsidRDefault="005C5837" w:rsidP="00DB5002">
      <w:pPr>
        <w:pStyle w:val="Caption"/>
      </w:pPr>
      <w:bookmarkStart w:id="143" w:name="_Ref446421969"/>
      <w:bookmarkStart w:id="144" w:name="_Ref444851225"/>
      <w:r>
        <w:t xml:space="preserve">Figure </w:t>
      </w:r>
      <w:fldSimple w:instr=" SEQ Figure \* ARABIC ">
        <w:r w:rsidR="006E1111">
          <w:rPr>
            <w:noProof/>
          </w:rPr>
          <w:t>9</w:t>
        </w:r>
      </w:fldSimple>
      <w:bookmarkEnd w:id="143"/>
      <w:r>
        <w:t xml:space="preserve"> </w:t>
      </w:r>
      <w:r w:rsidR="00727F7E" w:rsidRPr="003B6BBA">
        <w:t xml:space="preserve">Final decision compared to </w:t>
      </w:r>
      <w:r w:rsidR="00727F7E">
        <w:t>AGN</w:t>
      </w:r>
      <w:r w:rsidR="00727F7E" w:rsidRPr="003B6BBA">
        <w:t>'s past and proposed opex ($</w:t>
      </w:r>
      <w:r w:rsidR="00727F7E">
        <w:t> </w:t>
      </w:r>
      <w:r w:rsidR="00727F7E" w:rsidRPr="003B6BBA">
        <w:t>million, 2015–16)</w:t>
      </w:r>
    </w:p>
    <w:bookmarkEnd w:id="144"/>
    <w:p w:rsidR="00727F7E" w:rsidRDefault="00727F7E" w:rsidP="00DB5002">
      <w:pPr>
        <w:keepNext/>
        <w:rPr>
          <w:rStyle w:val="AERtexthighlight"/>
        </w:rPr>
      </w:pPr>
      <w:r w:rsidRPr="00727F7E">
        <w:rPr>
          <w:noProof/>
          <w:lang w:eastAsia="en-AU"/>
        </w:rPr>
        <w:drawing>
          <wp:inline distT="0" distB="0" distL="0" distR="0" wp14:anchorId="7D3D24BB" wp14:editId="2DB72168">
            <wp:extent cx="5382895" cy="333567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3335678"/>
                    </a:xfrm>
                    <a:prstGeom prst="rect">
                      <a:avLst/>
                    </a:prstGeom>
                    <a:noFill/>
                    <a:ln>
                      <a:noFill/>
                    </a:ln>
                  </pic:spPr>
                </pic:pic>
              </a:graphicData>
            </a:graphic>
          </wp:inline>
        </w:drawing>
      </w:r>
    </w:p>
    <w:p w:rsidR="00727F7E" w:rsidRPr="002E45E0" w:rsidRDefault="00727F7E" w:rsidP="00DB5002">
      <w:pPr>
        <w:pStyle w:val="AERtablesource"/>
        <w:keepNext/>
      </w:pPr>
      <w:r w:rsidRPr="002E45E0">
        <w:t>Source:</w:t>
      </w:r>
      <w:r w:rsidRPr="002E45E0">
        <w:tab/>
        <w:t>AER analysis</w:t>
      </w:r>
    </w:p>
    <w:p w:rsidR="00CF00DE" w:rsidRDefault="00CF00DE" w:rsidP="00CF00DE">
      <w:pPr>
        <w:pStyle w:val="Heading2"/>
      </w:pPr>
      <w:bookmarkStart w:id="145" w:name="_Toc430002795"/>
      <w:bookmarkStart w:id="146" w:name="_Ref433706606"/>
      <w:bookmarkStart w:id="147" w:name="_Ref433714490"/>
      <w:bookmarkStart w:id="148" w:name="_Toc436037702"/>
      <w:bookmarkStart w:id="149" w:name="_Ref446590813"/>
      <w:bookmarkStart w:id="150" w:name="_Toc451873374"/>
      <w:r w:rsidRPr="005B27F4">
        <w:t xml:space="preserve">Efficiency carryover </w:t>
      </w:r>
      <w:r w:rsidRPr="00CF00DE">
        <w:t>mechanism</w:t>
      </w:r>
      <w:bookmarkEnd w:id="145"/>
      <w:bookmarkEnd w:id="146"/>
      <w:bookmarkEnd w:id="147"/>
      <w:bookmarkEnd w:id="148"/>
      <w:bookmarkEnd w:id="149"/>
      <w:r w:rsidR="006543F2">
        <w:t xml:space="preserve"> amounts</w:t>
      </w:r>
      <w:bookmarkEnd w:id="150"/>
    </w:p>
    <w:p w:rsidR="00480F97" w:rsidRPr="00281FFB" w:rsidRDefault="00480F97" w:rsidP="00480F97">
      <w:r w:rsidRPr="00281FFB">
        <w:t xml:space="preserve">The </w:t>
      </w:r>
      <w:r w:rsidR="007909FB">
        <w:t xml:space="preserve">opex </w:t>
      </w:r>
      <w:r w:rsidRPr="00281FFB">
        <w:t xml:space="preserve">efficiency carryover mechanism </w:t>
      </w:r>
      <w:r w:rsidR="006543F2">
        <w:t xml:space="preserve">(ECM) </w:t>
      </w:r>
      <w:r w:rsidRPr="00281FFB">
        <w:t>provides an additional incentive for service providers to pursue efficiency improvements in opex.</w:t>
      </w:r>
    </w:p>
    <w:p w:rsidR="00480F97" w:rsidRPr="00281FFB" w:rsidRDefault="00480F97" w:rsidP="00480F97">
      <w:r w:rsidRPr="00281FFB">
        <w:t>To encourage a service provider to become more efficient during the access arrangement period</w:t>
      </w:r>
      <w:r w:rsidR="005E4186">
        <w:t>,</w:t>
      </w:r>
      <w:r w:rsidRPr="00281FFB">
        <w:t xml:space="preserve"> it is allowed to keep any difference between its approved forecast and its actual opex during </w:t>
      </w:r>
      <w:r w:rsidR="007909FB">
        <w:t>the</w:t>
      </w:r>
      <w:r w:rsidR="007909FB" w:rsidRPr="00281FFB">
        <w:t xml:space="preserve"> </w:t>
      </w:r>
      <w:r w:rsidRPr="00281FFB">
        <w:t xml:space="preserve">access arrangement period. This is supplemented </w:t>
      </w:r>
      <w:r w:rsidR="007909FB">
        <w:t>with</w:t>
      </w:r>
      <w:r w:rsidRPr="00281FFB">
        <w:t xml:space="preserve"> the </w:t>
      </w:r>
      <w:r w:rsidR="006543F2">
        <w:t>ECM,</w:t>
      </w:r>
      <w:r w:rsidRPr="00281FFB">
        <w:t xml:space="preserve"> which provides the service provider with an additional reward for reductions in opex and additional penalties for increases in opex. </w:t>
      </w:r>
    </w:p>
    <w:p w:rsidR="00480F97" w:rsidRPr="00281FFB" w:rsidRDefault="00480F97" w:rsidP="00480F97">
      <w:r w:rsidRPr="00281FFB">
        <w:t xml:space="preserve">Together, these rewards and penalties work to provide a continuous incentive for a service provider to pursue efficiency gains over the access arrangement period. The </w:t>
      </w:r>
      <w:r w:rsidR="006543F2">
        <w:t>ECM</w:t>
      </w:r>
      <w:r w:rsidRPr="00281FFB">
        <w:t xml:space="preserve"> also </w:t>
      </w:r>
      <w:r w:rsidR="007909FB">
        <w:t xml:space="preserve">acts to </w:t>
      </w:r>
      <w:r w:rsidRPr="00281FFB">
        <w:t xml:space="preserve">discourage a service provider from </w:t>
      </w:r>
      <w:r w:rsidR="007909FB">
        <w:t>inflating its</w:t>
      </w:r>
      <w:r w:rsidRPr="00281FFB">
        <w:t xml:space="preserve"> base year</w:t>
      </w:r>
      <w:r w:rsidR="007909FB">
        <w:t xml:space="preserve"> opex</w:t>
      </w:r>
      <w:r w:rsidRPr="00281FFB">
        <w:t xml:space="preserve"> in order to receive a higher opex allowance in the following access arrangement period. </w:t>
      </w:r>
    </w:p>
    <w:p w:rsidR="00480F97" w:rsidRDefault="00480F97" w:rsidP="00480F97">
      <w:r w:rsidRPr="00281FFB">
        <w:t xml:space="preserve">An </w:t>
      </w:r>
      <w:r w:rsidR="00964EAB">
        <w:t>ECM</w:t>
      </w:r>
      <w:r w:rsidRPr="00281FFB">
        <w:t xml:space="preserve"> applied to AGN during the 2011–16 access arrangement period. </w:t>
      </w:r>
    </w:p>
    <w:p w:rsidR="00480F97" w:rsidRPr="00281FFB" w:rsidRDefault="00480F97" w:rsidP="00480F97">
      <w:r w:rsidRPr="00281FFB">
        <w:t xml:space="preserve">Our final decision is to </w:t>
      </w:r>
      <w:r w:rsidR="00393E57">
        <w:t xml:space="preserve">approve carryover amounts under this </w:t>
      </w:r>
      <w:r w:rsidR="00AB4082">
        <w:t>mechanism</w:t>
      </w:r>
      <w:r w:rsidR="00393E57">
        <w:t xml:space="preserve"> totalling </w:t>
      </w:r>
      <w:r w:rsidR="00964EAB">
        <w:t xml:space="preserve">minus </w:t>
      </w:r>
      <w:r w:rsidRPr="00281FFB">
        <w:t>$0.</w:t>
      </w:r>
      <w:r>
        <w:t>5</w:t>
      </w:r>
      <w:r w:rsidRPr="00281FFB">
        <w:t xml:space="preserve"> million ($2015–16) from the 2011–16 access arrangement period. </w:t>
      </w:r>
      <w:r>
        <w:fldChar w:fldCharType="begin"/>
      </w:r>
      <w:r>
        <w:instrText xml:space="preserve"> REF _Ref446417962 \h </w:instrText>
      </w:r>
      <w:r>
        <w:fldChar w:fldCharType="separate"/>
      </w:r>
      <w:r w:rsidR="006E1111">
        <w:t xml:space="preserve">Table </w:t>
      </w:r>
      <w:r w:rsidR="006E1111">
        <w:rPr>
          <w:noProof/>
        </w:rPr>
        <w:t>11</w:t>
      </w:r>
      <w:r>
        <w:fldChar w:fldCharType="end"/>
      </w:r>
      <w:r>
        <w:t xml:space="preserve"> </w:t>
      </w:r>
      <w:r w:rsidRPr="00281FFB">
        <w:t xml:space="preserve">shows our final decision on the carryover amounts, </w:t>
      </w:r>
      <w:r>
        <w:t>which are the same as those proposed by AGN in its revised proposal.</w:t>
      </w:r>
      <w:r>
        <w:rPr>
          <w:rStyle w:val="FootnoteReference"/>
        </w:rPr>
        <w:footnoteReference w:id="64"/>
      </w:r>
    </w:p>
    <w:p w:rsidR="00480F97" w:rsidRPr="00281FFB" w:rsidRDefault="00480F97" w:rsidP="00DB5002">
      <w:pPr>
        <w:pStyle w:val="Caption"/>
      </w:pPr>
      <w:bookmarkStart w:id="151" w:name="_Ref446417962"/>
      <w:r>
        <w:t xml:space="preserve">Table </w:t>
      </w:r>
      <w:fldSimple w:instr=" SEQ Table \* ARABIC ">
        <w:r w:rsidR="006E1111">
          <w:rPr>
            <w:noProof/>
          </w:rPr>
          <w:t>11</w:t>
        </w:r>
      </w:fldSimple>
      <w:bookmarkEnd w:id="151"/>
      <w:r>
        <w:tab/>
      </w:r>
      <w:r w:rsidRPr="00281FFB">
        <w:t>AER final decision on carryover amounts ($million, $2015–16)</w:t>
      </w:r>
    </w:p>
    <w:tbl>
      <w:tblPr>
        <w:tblStyle w:val="AERtable-numbers"/>
        <w:tblW w:w="4811" w:type="pct"/>
        <w:tblInd w:w="108" w:type="dxa"/>
        <w:tblLayout w:type="fixed"/>
        <w:tblLook w:val="04A0" w:firstRow="1" w:lastRow="0" w:firstColumn="1" w:lastColumn="0" w:noHBand="0" w:noVBand="1"/>
      </w:tblPr>
      <w:tblGrid>
        <w:gridCol w:w="3189"/>
        <w:gridCol w:w="862"/>
        <w:gridCol w:w="863"/>
        <w:gridCol w:w="863"/>
        <w:gridCol w:w="861"/>
        <w:gridCol w:w="863"/>
        <w:gridCol w:w="863"/>
      </w:tblGrid>
      <w:tr w:rsidR="00480F97" w:rsidRPr="004664BA" w:rsidTr="00CA2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pct"/>
            <w:vAlign w:val="top"/>
          </w:tcPr>
          <w:p w:rsidR="00480F97" w:rsidRPr="00281FFB" w:rsidRDefault="00480F97" w:rsidP="00DB5002">
            <w:pPr>
              <w:keepNext/>
            </w:pPr>
          </w:p>
        </w:tc>
        <w:tc>
          <w:tcPr>
            <w:tcW w:w="515" w:type="pct"/>
            <w:vAlign w:val="top"/>
          </w:tcPr>
          <w:p w:rsidR="00480F97" w:rsidRPr="00480F97" w:rsidRDefault="00480F97" w:rsidP="00DB5002">
            <w:pPr>
              <w:keepNext/>
              <w:cnfStyle w:val="100000000000" w:firstRow="1" w:lastRow="0" w:firstColumn="0" w:lastColumn="0" w:oddVBand="0" w:evenVBand="0" w:oddHBand="0" w:evenHBand="0" w:firstRowFirstColumn="0" w:firstRowLastColumn="0" w:lastRowFirstColumn="0" w:lastRowLastColumn="0"/>
            </w:pPr>
            <w:r w:rsidRPr="00281FFB">
              <w:t>2016</w:t>
            </w:r>
            <w:r w:rsidRPr="00281FFB">
              <w:noBreakHyphen/>
              <w:t>17</w:t>
            </w:r>
          </w:p>
        </w:tc>
        <w:tc>
          <w:tcPr>
            <w:tcW w:w="516" w:type="pct"/>
            <w:vAlign w:val="top"/>
          </w:tcPr>
          <w:p w:rsidR="00480F97" w:rsidRPr="00480F97" w:rsidRDefault="00480F97" w:rsidP="00DB5002">
            <w:pPr>
              <w:keepNext/>
              <w:cnfStyle w:val="100000000000" w:firstRow="1" w:lastRow="0" w:firstColumn="0" w:lastColumn="0" w:oddVBand="0" w:evenVBand="0" w:oddHBand="0" w:evenHBand="0" w:firstRowFirstColumn="0" w:firstRowLastColumn="0" w:lastRowFirstColumn="0" w:lastRowLastColumn="0"/>
            </w:pPr>
            <w:r w:rsidRPr="00281FFB">
              <w:t>2017</w:t>
            </w:r>
            <w:r w:rsidRPr="00281FFB">
              <w:noBreakHyphen/>
              <w:t>18</w:t>
            </w:r>
          </w:p>
        </w:tc>
        <w:tc>
          <w:tcPr>
            <w:tcW w:w="516" w:type="pct"/>
            <w:vAlign w:val="top"/>
          </w:tcPr>
          <w:p w:rsidR="00480F97" w:rsidRPr="00480F97" w:rsidRDefault="00480F97" w:rsidP="00DB5002">
            <w:pPr>
              <w:keepNext/>
              <w:cnfStyle w:val="100000000000" w:firstRow="1" w:lastRow="0" w:firstColumn="0" w:lastColumn="0" w:oddVBand="0" w:evenVBand="0" w:oddHBand="0" w:evenHBand="0" w:firstRowFirstColumn="0" w:firstRowLastColumn="0" w:lastRowFirstColumn="0" w:lastRowLastColumn="0"/>
            </w:pPr>
            <w:r w:rsidRPr="00281FFB">
              <w:t>2018</w:t>
            </w:r>
            <w:r w:rsidRPr="00281FFB">
              <w:noBreakHyphen/>
            </w:r>
            <w:r w:rsidRPr="00480F97">
              <w:t>19</w:t>
            </w:r>
          </w:p>
        </w:tc>
        <w:tc>
          <w:tcPr>
            <w:tcW w:w="515" w:type="pct"/>
            <w:vAlign w:val="top"/>
          </w:tcPr>
          <w:p w:rsidR="00480F97" w:rsidRPr="00480F97" w:rsidRDefault="00480F97" w:rsidP="00DB5002">
            <w:pPr>
              <w:keepNext/>
              <w:cnfStyle w:val="100000000000" w:firstRow="1" w:lastRow="0" w:firstColumn="0" w:lastColumn="0" w:oddVBand="0" w:evenVBand="0" w:oddHBand="0" w:evenHBand="0" w:firstRowFirstColumn="0" w:firstRowLastColumn="0" w:lastRowFirstColumn="0" w:lastRowLastColumn="0"/>
            </w:pPr>
            <w:r w:rsidRPr="00281FFB">
              <w:t>2019</w:t>
            </w:r>
            <w:r w:rsidRPr="00281FFB">
              <w:noBreakHyphen/>
              <w:t>20</w:t>
            </w:r>
          </w:p>
        </w:tc>
        <w:tc>
          <w:tcPr>
            <w:tcW w:w="516" w:type="pct"/>
            <w:vAlign w:val="top"/>
          </w:tcPr>
          <w:p w:rsidR="00480F97" w:rsidRPr="00480F97" w:rsidRDefault="00480F97" w:rsidP="00DB5002">
            <w:pPr>
              <w:keepNext/>
              <w:cnfStyle w:val="100000000000" w:firstRow="1" w:lastRow="0" w:firstColumn="0" w:lastColumn="0" w:oddVBand="0" w:evenVBand="0" w:oddHBand="0" w:evenHBand="0" w:firstRowFirstColumn="0" w:firstRowLastColumn="0" w:lastRowFirstColumn="0" w:lastRowLastColumn="0"/>
            </w:pPr>
            <w:r w:rsidRPr="00281FFB">
              <w:t>2020</w:t>
            </w:r>
            <w:r w:rsidRPr="00281FFB">
              <w:noBreakHyphen/>
              <w:t>21</w:t>
            </w:r>
          </w:p>
        </w:tc>
        <w:tc>
          <w:tcPr>
            <w:tcW w:w="516" w:type="pct"/>
          </w:tcPr>
          <w:p w:rsidR="00480F97" w:rsidRPr="00480F97" w:rsidRDefault="00480F97" w:rsidP="00DB5002">
            <w:pPr>
              <w:keepNext/>
              <w:cnfStyle w:val="100000000000" w:firstRow="1" w:lastRow="0" w:firstColumn="0" w:lastColumn="0" w:oddVBand="0" w:evenVBand="0" w:oddHBand="0" w:evenHBand="0" w:firstRowFirstColumn="0" w:firstRowLastColumn="0" w:lastRowFirstColumn="0" w:lastRowLastColumn="0"/>
            </w:pPr>
            <w:r w:rsidRPr="00281FFB">
              <w:t>Total</w:t>
            </w:r>
          </w:p>
        </w:tc>
      </w:tr>
      <w:tr w:rsidR="00964EAB" w:rsidRPr="004664BA" w:rsidTr="001E66BC">
        <w:tc>
          <w:tcPr>
            <w:cnfStyle w:val="001000000000" w:firstRow="0" w:lastRow="0" w:firstColumn="1" w:lastColumn="0" w:oddVBand="0" w:evenVBand="0" w:oddHBand="0" w:evenHBand="0" w:firstRowFirstColumn="0" w:firstRowLastColumn="0" w:lastRowFirstColumn="0" w:lastRowLastColumn="0"/>
            <w:tcW w:w="1906" w:type="pct"/>
            <w:vAlign w:val="top"/>
          </w:tcPr>
          <w:p w:rsidR="00964EAB" w:rsidRPr="00964EAB" w:rsidRDefault="00964EAB" w:rsidP="00DB5002">
            <w:pPr>
              <w:keepNext/>
            </w:pPr>
            <w:r w:rsidRPr="00281FFB">
              <w:t>AGN revised proposal</w:t>
            </w:r>
          </w:p>
        </w:tc>
        <w:tc>
          <w:tcPr>
            <w:tcW w:w="515" w:type="pct"/>
            <w:vAlign w:val="top"/>
          </w:tcPr>
          <w:p w:rsidR="00964EAB" w:rsidRPr="00964EAB" w:rsidRDefault="00964EAB" w:rsidP="00DB5002">
            <w:pPr>
              <w:keepNext/>
              <w:cnfStyle w:val="000000000000" w:firstRow="0" w:lastRow="0" w:firstColumn="0" w:lastColumn="0" w:oddVBand="0" w:evenVBand="0" w:oddHBand="0" w:evenHBand="0" w:firstRowFirstColumn="0" w:firstRowLastColumn="0" w:lastRowFirstColumn="0" w:lastRowLastColumn="0"/>
            </w:pPr>
            <w:r w:rsidRPr="00281FFB">
              <w:t>5.</w:t>
            </w:r>
            <w:r w:rsidRPr="00964EAB">
              <w:t>4</w:t>
            </w:r>
          </w:p>
        </w:tc>
        <w:tc>
          <w:tcPr>
            <w:tcW w:w="516" w:type="pct"/>
            <w:vAlign w:val="top"/>
          </w:tcPr>
          <w:p w:rsidR="00964EAB" w:rsidRPr="00964EAB" w:rsidRDefault="00964EAB" w:rsidP="00DB5002">
            <w:pPr>
              <w:keepNext/>
              <w:cnfStyle w:val="000000000000" w:firstRow="0" w:lastRow="0" w:firstColumn="0" w:lastColumn="0" w:oddVBand="0" w:evenVBand="0" w:oddHBand="0" w:evenHBand="0" w:firstRowFirstColumn="0" w:firstRowLastColumn="0" w:lastRowFirstColumn="0" w:lastRowLastColumn="0"/>
            </w:pPr>
            <w:r w:rsidRPr="00281FFB">
              <w:t>(2.</w:t>
            </w:r>
            <w:r w:rsidRPr="00964EAB">
              <w:t>7)</w:t>
            </w:r>
          </w:p>
        </w:tc>
        <w:tc>
          <w:tcPr>
            <w:tcW w:w="516" w:type="pct"/>
            <w:vAlign w:val="top"/>
          </w:tcPr>
          <w:p w:rsidR="00964EAB" w:rsidRPr="00964EAB" w:rsidRDefault="00964EAB" w:rsidP="00DB5002">
            <w:pPr>
              <w:keepNext/>
              <w:cnfStyle w:val="000000000000" w:firstRow="0" w:lastRow="0" w:firstColumn="0" w:lastColumn="0" w:oddVBand="0" w:evenVBand="0" w:oddHBand="0" w:evenHBand="0" w:firstRowFirstColumn="0" w:firstRowLastColumn="0" w:lastRowFirstColumn="0" w:lastRowLastColumn="0"/>
            </w:pPr>
            <w:r w:rsidRPr="00281FFB">
              <w:t>(3.</w:t>
            </w:r>
            <w:r w:rsidRPr="00964EAB">
              <w:t>5)</w:t>
            </w:r>
          </w:p>
        </w:tc>
        <w:tc>
          <w:tcPr>
            <w:tcW w:w="515" w:type="pct"/>
            <w:vAlign w:val="top"/>
          </w:tcPr>
          <w:p w:rsidR="00964EAB" w:rsidRPr="00964EAB" w:rsidRDefault="00964EAB" w:rsidP="00DB5002">
            <w:pPr>
              <w:keepNext/>
              <w:cnfStyle w:val="000000000000" w:firstRow="0" w:lastRow="0" w:firstColumn="0" w:lastColumn="0" w:oddVBand="0" w:evenVBand="0" w:oddHBand="0" w:evenHBand="0" w:firstRowFirstColumn="0" w:firstRowLastColumn="0" w:lastRowFirstColumn="0" w:lastRowLastColumn="0"/>
            </w:pPr>
            <w:r w:rsidRPr="00281FFB">
              <w:t>0.</w:t>
            </w:r>
            <w:r w:rsidRPr="00964EAB">
              <w:t>3</w:t>
            </w:r>
          </w:p>
        </w:tc>
        <w:tc>
          <w:tcPr>
            <w:tcW w:w="516" w:type="pct"/>
            <w:vAlign w:val="top"/>
          </w:tcPr>
          <w:p w:rsidR="00964EAB" w:rsidRPr="00964EAB" w:rsidRDefault="00964EAB" w:rsidP="00DB5002">
            <w:pPr>
              <w:keepNext/>
              <w:cnfStyle w:val="000000000000" w:firstRow="0" w:lastRow="0" w:firstColumn="0" w:lastColumn="0" w:oddVBand="0" w:evenVBand="0" w:oddHBand="0" w:evenHBand="0" w:firstRowFirstColumn="0" w:firstRowLastColumn="0" w:lastRowFirstColumn="0" w:lastRowLastColumn="0"/>
            </w:pPr>
            <w:r w:rsidRPr="00281FFB">
              <w:t>0.0</w:t>
            </w:r>
          </w:p>
        </w:tc>
        <w:tc>
          <w:tcPr>
            <w:tcW w:w="516" w:type="pct"/>
            <w:vAlign w:val="top"/>
          </w:tcPr>
          <w:p w:rsidR="00964EAB" w:rsidRPr="00964EAB" w:rsidRDefault="00964EAB" w:rsidP="00DB5002">
            <w:pPr>
              <w:keepNext/>
              <w:cnfStyle w:val="000000000000" w:firstRow="0" w:lastRow="0" w:firstColumn="0" w:lastColumn="0" w:oddVBand="0" w:evenVBand="0" w:oddHBand="0" w:evenHBand="0" w:firstRowFirstColumn="0" w:firstRowLastColumn="0" w:lastRowFirstColumn="0" w:lastRowLastColumn="0"/>
            </w:pPr>
            <w:r>
              <w:t>–0.5</w:t>
            </w:r>
          </w:p>
        </w:tc>
      </w:tr>
      <w:tr w:rsidR="00480F97" w:rsidRPr="004664BA" w:rsidTr="00CA2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pct"/>
            <w:vAlign w:val="top"/>
          </w:tcPr>
          <w:p w:rsidR="00480F97" w:rsidRPr="00480F97" w:rsidRDefault="00480F97" w:rsidP="00DB5002">
            <w:pPr>
              <w:keepNext/>
            </w:pPr>
            <w:r w:rsidRPr="00281FFB">
              <w:t xml:space="preserve">AER final decision </w:t>
            </w:r>
          </w:p>
        </w:tc>
        <w:tc>
          <w:tcPr>
            <w:tcW w:w="515" w:type="pct"/>
            <w:vAlign w:val="top"/>
          </w:tcPr>
          <w:p w:rsidR="00480F97" w:rsidRPr="00480F97" w:rsidRDefault="00480F97" w:rsidP="00DB5002">
            <w:pPr>
              <w:keepNext/>
              <w:cnfStyle w:val="000000010000" w:firstRow="0" w:lastRow="0" w:firstColumn="0" w:lastColumn="0" w:oddVBand="0" w:evenVBand="0" w:oddHBand="0" w:evenHBand="1" w:firstRowFirstColumn="0" w:firstRowLastColumn="0" w:lastRowFirstColumn="0" w:lastRowLastColumn="0"/>
            </w:pPr>
            <w:r w:rsidRPr="00281FFB">
              <w:t>5.</w:t>
            </w:r>
            <w:r w:rsidRPr="00480F97">
              <w:t>4</w:t>
            </w:r>
          </w:p>
        </w:tc>
        <w:tc>
          <w:tcPr>
            <w:tcW w:w="516" w:type="pct"/>
            <w:vAlign w:val="top"/>
          </w:tcPr>
          <w:p w:rsidR="00480F97" w:rsidRPr="00480F97" w:rsidRDefault="00480F97" w:rsidP="00DB5002">
            <w:pPr>
              <w:keepNext/>
              <w:cnfStyle w:val="000000010000" w:firstRow="0" w:lastRow="0" w:firstColumn="0" w:lastColumn="0" w:oddVBand="0" w:evenVBand="0" w:oddHBand="0" w:evenHBand="1" w:firstRowFirstColumn="0" w:firstRowLastColumn="0" w:lastRowFirstColumn="0" w:lastRowLastColumn="0"/>
            </w:pPr>
            <w:r w:rsidRPr="00281FFB">
              <w:t>(2.</w:t>
            </w:r>
            <w:r w:rsidRPr="00480F97">
              <w:t>7)</w:t>
            </w:r>
          </w:p>
        </w:tc>
        <w:tc>
          <w:tcPr>
            <w:tcW w:w="516" w:type="pct"/>
            <w:vAlign w:val="top"/>
          </w:tcPr>
          <w:p w:rsidR="00480F97" w:rsidRPr="00480F97" w:rsidRDefault="00480F97" w:rsidP="00DB5002">
            <w:pPr>
              <w:keepNext/>
              <w:cnfStyle w:val="000000010000" w:firstRow="0" w:lastRow="0" w:firstColumn="0" w:lastColumn="0" w:oddVBand="0" w:evenVBand="0" w:oddHBand="0" w:evenHBand="1" w:firstRowFirstColumn="0" w:firstRowLastColumn="0" w:lastRowFirstColumn="0" w:lastRowLastColumn="0"/>
            </w:pPr>
            <w:r w:rsidRPr="00281FFB">
              <w:t>(3.</w:t>
            </w:r>
            <w:r w:rsidRPr="00480F97">
              <w:t>5)</w:t>
            </w:r>
          </w:p>
        </w:tc>
        <w:tc>
          <w:tcPr>
            <w:tcW w:w="515" w:type="pct"/>
            <w:vAlign w:val="top"/>
          </w:tcPr>
          <w:p w:rsidR="00480F97" w:rsidRPr="00480F97" w:rsidRDefault="00480F97" w:rsidP="00DB5002">
            <w:pPr>
              <w:keepNext/>
              <w:cnfStyle w:val="000000010000" w:firstRow="0" w:lastRow="0" w:firstColumn="0" w:lastColumn="0" w:oddVBand="0" w:evenVBand="0" w:oddHBand="0" w:evenHBand="1" w:firstRowFirstColumn="0" w:firstRowLastColumn="0" w:lastRowFirstColumn="0" w:lastRowLastColumn="0"/>
            </w:pPr>
            <w:r w:rsidRPr="00281FFB">
              <w:t>0.</w:t>
            </w:r>
            <w:r w:rsidRPr="00480F97">
              <w:t>3</w:t>
            </w:r>
          </w:p>
        </w:tc>
        <w:tc>
          <w:tcPr>
            <w:tcW w:w="516" w:type="pct"/>
            <w:vAlign w:val="top"/>
          </w:tcPr>
          <w:p w:rsidR="00480F97" w:rsidRPr="00480F97" w:rsidRDefault="00480F97" w:rsidP="00DB5002">
            <w:pPr>
              <w:keepNext/>
              <w:cnfStyle w:val="000000010000" w:firstRow="0" w:lastRow="0" w:firstColumn="0" w:lastColumn="0" w:oddVBand="0" w:evenVBand="0" w:oddHBand="0" w:evenHBand="1" w:firstRowFirstColumn="0" w:firstRowLastColumn="0" w:lastRowFirstColumn="0" w:lastRowLastColumn="0"/>
            </w:pPr>
            <w:r w:rsidRPr="00281FFB">
              <w:t>0.0</w:t>
            </w:r>
          </w:p>
        </w:tc>
        <w:tc>
          <w:tcPr>
            <w:tcW w:w="516" w:type="pct"/>
            <w:vAlign w:val="top"/>
          </w:tcPr>
          <w:p w:rsidR="00480F97" w:rsidRPr="00480F97" w:rsidRDefault="00480F97" w:rsidP="00DB5002">
            <w:pPr>
              <w:keepNext/>
              <w:cnfStyle w:val="000000010000" w:firstRow="0" w:lastRow="0" w:firstColumn="0" w:lastColumn="0" w:oddVBand="0" w:evenVBand="0" w:oddHBand="0" w:evenHBand="1" w:firstRowFirstColumn="0" w:firstRowLastColumn="0" w:lastRowFirstColumn="0" w:lastRowLastColumn="0"/>
            </w:pPr>
            <w:r>
              <w:t>–0.5</w:t>
            </w:r>
          </w:p>
        </w:tc>
      </w:tr>
    </w:tbl>
    <w:p w:rsidR="00480F97" w:rsidRPr="00281FFB" w:rsidRDefault="00480F97" w:rsidP="00DB5002">
      <w:pPr>
        <w:pStyle w:val="AERtablesource"/>
        <w:keepNext/>
      </w:pPr>
      <w:r w:rsidRPr="00281FFB">
        <w:t>Source:</w:t>
      </w:r>
      <w:r w:rsidRPr="00281FFB">
        <w:tab/>
        <w:t>AER analysis; AGN</w:t>
      </w:r>
      <w:r w:rsidR="008B3728">
        <w:t>,</w:t>
      </w:r>
      <w:r w:rsidRPr="00281FFB">
        <w:t xml:space="preserve"> </w:t>
      </w:r>
      <w:r w:rsidRPr="008C1980">
        <w:rPr>
          <w:rStyle w:val="AERtextitalic"/>
        </w:rPr>
        <w:t>Revised Access Arrangement Information for AGN's SA Natural Gas Distribution Network</w:t>
      </w:r>
      <w:r w:rsidR="008B3728" w:rsidRPr="008C1980">
        <w:rPr>
          <w:rStyle w:val="AERtextitalic"/>
        </w:rPr>
        <w:t>,</w:t>
      </w:r>
      <w:r w:rsidRPr="008C1980">
        <w:rPr>
          <w:rStyle w:val="AERtextitalic"/>
        </w:rPr>
        <w:t xml:space="preserve"> Attachment 1.5A South Australian Post tax Revenue Model, ECM spreadsheet</w:t>
      </w:r>
      <w:r w:rsidR="008B3728">
        <w:t>, January 2016</w:t>
      </w:r>
      <w:r w:rsidRPr="00281FFB">
        <w:t>.</w:t>
      </w:r>
    </w:p>
    <w:p w:rsidR="00480F97" w:rsidRPr="00480F97" w:rsidRDefault="00480F97" w:rsidP="00480F97">
      <w:r w:rsidRPr="00281FFB">
        <w:t xml:space="preserve">AGN </w:t>
      </w:r>
      <w:r>
        <w:t xml:space="preserve">also </w:t>
      </w:r>
      <w:r w:rsidRPr="00281FFB">
        <w:t xml:space="preserve">proposed an efficiency carryover mechanism </w:t>
      </w:r>
      <w:r>
        <w:t xml:space="preserve">continue to </w:t>
      </w:r>
      <w:r w:rsidRPr="00281FFB">
        <w:t>apply to it in the 2016–21 access arrangement period.</w:t>
      </w:r>
      <w:r w:rsidR="00393E57">
        <w:t xml:space="preserve"> We discuss this in section </w:t>
      </w:r>
      <w:r w:rsidR="00393E57">
        <w:fldChar w:fldCharType="begin"/>
      </w:r>
      <w:r w:rsidR="00393E57">
        <w:instrText xml:space="preserve"> REF _Ref446590628 \r \h </w:instrText>
      </w:r>
      <w:r w:rsidR="00393E57">
        <w:fldChar w:fldCharType="separate"/>
      </w:r>
      <w:r w:rsidR="006E1111">
        <w:t>5.4</w:t>
      </w:r>
      <w:r w:rsidR="00393E57">
        <w:fldChar w:fldCharType="end"/>
      </w:r>
      <w:r w:rsidR="00393E57">
        <w:t>.</w:t>
      </w:r>
      <w:r>
        <w:t xml:space="preserve"> </w:t>
      </w:r>
    </w:p>
    <w:p w:rsidR="00CF00DE" w:rsidRPr="00CF00DE" w:rsidRDefault="00CF00DE" w:rsidP="00CF00DE">
      <w:pPr>
        <w:pStyle w:val="Heading2"/>
      </w:pPr>
      <w:bookmarkStart w:id="152" w:name="_Toc430002796"/>
      <w:bookmarkStart w:id="153" w:name="_Toc436037703"/>
      <w:bookmarkStart w:id="154" w:name="_Toc451873375"/>
      <w:r>
        <w:t>Corporate income tax</w:t>
      </w:r>
      <w:bookmarkEnd w:id="152"/>
      <w:bookmarkEnd w:id="153"/>
      <w:bookmarkEnd w:id="154"/>
    </w:p>
    <w:p w:rsidR="007909FB" w:rsidRDefault="007909FB" w:rsidP="007909FB">
      <w:r>
        <w:t>The NGR require us to make a decision on the estimated cost of corporate income tax for AGN's 2016–21 access arrangement period.</w:t>
      </w:r>
      <w:r w:rsidRPr="00FD50DB">
        <w:rPr>
          <w:rStyle w:val="FootnoteReference"/>
        </w:rPr>
        <w:footnoteReference w:id="65"/>
      </w:r>
      <w:r>
        <w:t xml:space="preserve"> The estimated cost of corporate income tax contributes to our determination of the total revenue requirements for AGN over the 2016–21 access arrangement period. It provides for AGN to recover the costs associated with the estimated corporate income tax payable during the period.</w:t>
      </w:r>
    </w:p>
    <w:p w:rsidR="00C666C6" w:rsidRDefault="000447EE" w:rsidP="00C666C6">
      <w:r>
        <w:t>Our final decision includes an estimated cost of corporate income tax of $</w:t>
      </w:r>
      <w:r w:rsidR="00E67A61">
        <w:t>8.7</w:t>
      </w:r>
      <w:r>
        <w:t xml:space="preserve"> million ($nominal) for AGN </w:t>
      </w:r>
      <w:r w:rsidR="00882A27">
        <w:t xml:space="preserve">over the 2016–21 access arrangement period </w:t>
      </w:r>
      <w:r>
        <w:t xml:space="preserve">as shown in </w:t>
      </w:r>
      <w:r>
        <w:fldChar w:fldCharType="begin"/>
      </w:r>
      <w:r>
        <w:instrText xml:space="preserve"> REF _Ref447534287 \h </w:instrText>
      </w:r>
      <w:r>
        <w:fldChar w:fldCharType="separate"/>
      </w:r>
      <w:r w:rsidR="006E1111">
        <w:t xml:space="preserve">Table </w:t>
      </w:r>
      <w:r w:rsidR="006E1111">
        <w:rPr>
          <w:noProof/>
        </w:rPr>
        <w:t>12</w:t>
      </w:r>
      <w:r>
        <w:fldChar w:fldCharType="end"/>
      </w:r>
      <w:r>
        <w:t xml:space="preserve">. This </w:t>
      </w:r>
      <w:r w:rsidR="00C666C6" w:rsidRPr="002616BC">
        <w:rPr>
          <w:rStyle w:val="AERbody"/>
        </w:rPr>
        <w:t>is a reduction of $</w:t>
      </w:r>
      <w:r w:rsidR="00E67A61">
        <w:rPr>
          <w:rStyle w:val="AERbody"/>
        </w:rPr>
        <w:t>35.9</w:t>
      </w:r>
      <w:r w:rsidR="00C666C6">
        <w:rPr>
          <w:rStyle w:val="AERbody"/>
        </w:rPr>
        <w:t xml:space="preserve"> </w:t>
      </w:r>
      <w:r w:rsidR="00C666C6" w:rsidRPr="002616BC">
        <w:rPr>
          <w:rStyle w:val="AERbody"/>
        </w:rPr>
        <w:t xml:space="preserve">million ($nominal) or </w:t>
      </w:r>
      <w:r w:rsidR="00E67A61">
        <w:rPr>
          <w:rStyle w:val="AERbody"/>
        </w:rPr>
        <w:t>80.5</w:t>
      </w:r>
      <w:r w:rsidR="00C666C6">
        <w:rPr>
          <w:rStyle w:val="AERbody"/>
        </w:rPr>
        <w:t xml:space="preserve"> </w:t>
      </w:r>
      <w:r w:rsidR="00C666C6" w:rsidRPr="002616BC">
        <w:rPr>
          <w:rStyle w:val="AERbody"/>
        </w:rPr>
        <w:t>per cent</w:t>
      </w:r>
      <w:r w:rsidR="00C666C6" w:rsidRPr="00407443">
        <w:t xml:space="preserve"> </w:t>
      </w:r>
      <w:r w:rsidR="00C666C6">
        <w:t>from</w:t>
      </w:r>
      <w:r w:rsidR="00C666C6" w:rsidRPr="00407443">
        <w:t xml:space="preserve"> </w:t>
      </w:r>
      <w:r w:rsidR="00C666C6">
        <w:t>AGN’</w:t>
      </w:r>
      <w:r w:rsidR="00C666C6" w:rsidRPr="00407443">
        <w:t xml:space="preserve">s </w:t>
      </w:r>
      <w:r w:rsidR="00C666C6">
        <w:t xml:space="preserve">revised </w:t>
      </w:r>
      <w:r w:rsidR="00C666C6" w:rsidRPr="00407443">
        <w:t>proposal.</w:t>
      </w:r>
    </w:p>
    <w:p w:rsidR="00930255" w:rsidRPr="00FD50DB" w:rsidRDefault="00930255" w:rsidP="00DB5002">
      <w:pPr>
        <w:pStyle w:val="Caption"/>
      </w:pPr>
      <w:bookmarkStart w:id="155" w:name="_Ref447534287"/>
      <w:r>
        <w:t xml:space="preserve">Table </w:t>
      </w:r>
      <w:fldSimple w:instr=" SEQ Table \* ARABIC ">
        <w:r w:rsidR="006E1111">
          <w:rPr>
            <w:noProof/>
          </w:rPr>
          <w:t>12</w:t>
        </w:r>
      </w:fldSimple>
      <w:bookmarkEnd w:id="155"/>
      <w:r>
        <w:tab/>
        <w:t>AER’</w:t>
      </w:r>
      <w:r w:rsidRPr="00FD50DB">
        <w:t xml:space="preserve">s </w:t>
      </w:r>
      <w:r>
        <w:t>final</w:t>
      </w:r>
      <w:r w:rsidRPr="00FD50DB">
        <w:t xml:space="preserve"> decision on corporate income tax allowance for </w:t>
      </w:r>
      <w:r>
        <w:t>AGN</w:t>
      </w:r>
      <w:r w:rsidRPr="00FD50DB">
        <w:t xml:space="preserve"> ($million, nominal)  </w:t>
      </w:r>
    </w:p>
    <w:tbl>
      <w:tblPr>
        <w:tblStyle w:val="AERtable-numbers"/>
        <w:tblW w:w="8688" w:type="dxa"/>
        <w:tblLayout w:type="fixed"/>
        <w:tblLook w:val="01E0" w:firstRow="1" w:lastRow="1" w:firstColumn="1" w:lastColumn="1" w:noHBand="0" w:noVBand="0"/>
      </w:tblPr>
      <w:tblGrid>
        <w:gridCol w:w="3085"/>
        <w:gridCol w:w="933"/>
        <w:gridCol w:w="934"/>
        <w:gridCol w:w="934"/>
        <w:gridCol w:w="934"/>
        <w:gridCol w:w="934"/>
        <w:gridCol w:w="934"/>
      </w:tblGrid>
      <w:tr w:rsidR="00930255" w:rsidRPr="007F4A10" w:rsidTr="00FD6A13">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5" w:type="dxa"/>
          </w:tcPr>
          <w:p w:rsidR="00930255" w:rsidRPr="007F4A10" w:rsidRDefault="00930255" w:rsidP="00DB5002">
            <w:pPr>
              <w:keepNext/>
            </w:pPr>
          </w:p>
        </w:tc>
        <w:tc>
          <w:tcPr>
            <w:tcW w:w="933" w:type="dxa"/>
          </w:tcPr>
          <w:p w:rsidR="00930255" w:rsidRPr="00930255" w:rsidRDefault="00930255" w:rsidP="00DB5002">
            <w:pPr>
              <w:keepNext/>
              <w:cnfStyle w:val="100000000000" w:firstRow="1" w:lastRow="0" w:firstColumn="0" w:lastColumn="0" w:oddVBand="0" w:evenVBand="0" w:oddHBand="0" w:evenHBand="0" w:firstRowFirstColumn="0" w:firstRowLastColumn="0" w:lastRowFirstColumn="0" w:lastRowLastColumn="0"/>
            </w:pPr>
            <w:r w:rsidRPr="007F4A10">
              <w:t>2016–17</w:t>
            </w:r>
          </w:p>
        </w:tc>
        <w:tc>
          <w:tcPr>
            <w:tcW w:w="934" w:type="dxa"/>
          </w:tcPr>
          <w:p w:rsidR="00930255" w:rsidRPr="00930255" w:rsidRDefault="00930255" w:rsidP="00DB5002">
            <w:pPr>
              <w:keepNext/>
              <w:cnfStyle w:val="100000000000" w:firstRow="1" w:lastRow="0" w:firstColumn="0" w:lastColumn="0" w:oddVBand="0" w:evenVBand="0" w:oddHBand="0" w:evenHBand="0" w:firstRowFirstColumn="0" w:firstRowLastColumn="0" w:lastRowFirstColumn="0" w:lastRowLastColumn="0"/>
            </w:pPr>
            <w:r w:rsidRPr="007F4A10">
              <w:t>2017–18</w:t>
            </w:r>
          </w:p>
        </w:tc>
        <w:tc>
          <w:tcPr>
            <w:tcW w:w="934" w:type="dxa"/>
          </w:tcPr>
          <w:p w:rsidR="00930255" w:rsidRPr="00930255" w:rsidRDefault="00930255" w:rsidP="00DB5002">
            <w:pPr>
              <w:keepNext/>
              <w:cnfStyle w:val="100000000000" w:firstRow="1" w:lastRow="0" w:firstColumn="0" w:lastColumn="0" w:oddVBand="0" w:evenVBand="0" w:oddHBand="0" w:evenHBand="0" w:firstRowFirstColumn="0" w:firstRowLastColumn="0" w:lastRowFirstColumn="0" w:lastRowLastColumn="0"/>
            </w:pPr>
            <w:r w:rsidRPr="007F4A10">
              <w:t>2018–19</w:t>
            </w:r>
          </w:p>
        </w:tc>
        <w:tc>
          <w:tcPr>
            <w:tcW w:w="934" w:type="dxa"/>
          </w:tcPr>
          <w:p w:rsidR="00930255" w:rsidRPr="00930255" w:rsidRDefault="00930255" w:rsidP="00DB5002">
            <w:pPr>
              <w:keepNext/>
              <w:cnfStyle w:val="100000000000" w:firstRow="1" w:lastRow="0" w:firstColumn="0" w:lastColumn="0" w:oddVBand="0" w:evenVBand="0" w:oddHBand="0" w:evenHBand="0" w:firstRowFirstColumn="0" w:firstRowLastColumn="0" w:lastRowFirstColumn="0" w:lastRowLastColumn="0"/>
            </w:pPr>
            <w:r w:rsidRPr="007F4A10">
              <w:t>2019–20</w:t>
            </w:r>
          </w:p>
        </w:tc>
        <w:tc>
          <w:tcPr>
            <w:tcW w:w="934" w:type="dxa"/>
          </w:tcPr>
          <w:p w:rsidR="00930255" w:rsidRPr="00930255" w:rsidRDefault="00930255" w:rsidP="00DB5002">
            <w:pPr>
              <w:keepNext/>
              <w:cnfStyle w:val="100000000000" w:firstRow="1" w:lastRow="0" w:firstColumn="0" w:lastColumn="0" w:oddVBand="0" w:evenVBand="0" w:oddHBand="0" w:evenHBand="0" w:firstRowFirstColumn="0" w:firstRowLastColumn="0" w:lastRowFirstColumn="0" w:lastRowLastColumn="0"/>
            </w:pPr>
            <w:r w:rsidRPr="007F4A10">
              <w:t>2020–21</w:t>
            </w:r>
          </w:p>
        </w:tc>
        <w:tc>
          <w:tcPr>
            <w:tcW w:w="934" w:type="dxa"/>
          </w:tcPr>
          <w:p w:rsidR="00930255" w:rsidRPr="00930255" w:rsidRDefault="00930255" w:rsidP="00DB5002">
            <w:pPr>
              <w:keepNext/>
              <w:cnfStyle w:val="100000000000" w:firstRow="1" w:lastRow="0" w:firstColumn="0" w:lastColumn="0" w:oddVBand="0" w:evenVBand="0" w:oddHBand="0" w:evenHBand="0" w:firstRowFirstColumn="0" w:firstRowLastColumn="0" w:lastRowFirstColumn="0" w:lastRowLastColumn="0"/>
            </w:pPr>
            <w:r w:rsidRPr="007F4A10">
              <w:t>Total</w:t>
            </w:r>
          </w:p>
        </w:tc>
      </w:tr>
      <w:tr w:rsidR="00A168B9" w:rsidRPr="007F4A10" w:rsidTr="00FD6A13">
        <w:trPr>
          <w:trHeight w:val="278"/>
        </w:trPr>
        <w:tc>
          <w:tcPr>
            <w:cnfStyle w:val="001000000000" w:firstRow="0" w:lastRow="0" w:firstColumn="1" w:lastColumn="0" w:oddVBand="0" w:evenVBand="0" w:oddHBand="0" w:evenHBand="0" w:firstRowFirstColumn="0" w:firstRowLastColumn="0" w:lastRowFirstColumn="0" w:lastRowLastColumn="0"/>
            <w:tcW w:w="3085" w:type="dxa"/>
          </w:tcPr>
          <w:p w:rsidR="00A168B9" w:rsidRPr="00A168B9" w:rsidRDefault="00A168B9" w:rsidP="00DB5002">
            <w:pPr>
              <w:keepNext/>
            </w:pPr>
            <w:r w:rsidRPr="00A168B9">
              <w:t>Tax payable</w:t>
            </w:r>
          </w:p>
        </w:tc>
        <w:tc>
          <w:tcPr>
            <w:tcW w:w="933" w:type="dxa"/>
          </w:tcPr>
          <w:p w:rsidR="00A168B9" w:rsidRPr="00A168B9" w:rsidRDefault="00E67A61" w:rsidP="00DB5002">
            <w:pPr>
              <w:keepNext/>
              <w:cnfStyle w:val="000000000000" w:firstRow="0" w:lastRow="0" w:firstColumn="0" w:lastColumn="0" w:oddVBand="0" w:evenVBand="0" w:oddHBand="0" w:evenHBand="0" w:firstRowFirstColumn="0" w:firstRowLastColumn="0" w:lastRowFirstColumn="0" w:lastRowLastColumn="0"/>
            </w:pPr>
            <w:r>
              <w:t>3.7</w:t>
            </w:r>
          </w:p>
        </w:tc>
        <w:tc>
          <w:tcPr>
            <w:tcW w:w="934" w:type="dxa"/>
          </w:tcPr>
          <w:p w:rsidR="00A168B9" w:rsidRPr="00A168B9" w:rsidRDefault="00E67A61" w:rsidP="00DB5002">
            <w:pPr>
              <w:keepNext/>
              <w:cnfStyle w:val="000000000000" w:firstRow="0" w:lastRow="0" w:firstColumn="0" w:lastColumn="0" w:oddVBand="0" w:evenVBand="0" w:oddHBand="0" w:evenHBand="0" w:firstRowFirstColumn="0" w:firstRowLastColumn="0" w:lastRowFirstColumn="0" w:lastRowLastColumn="0"/>
            </w:pPr>
            <w:r>
              <w:t>3.0</w:t>
            </w:r>
          </w:p>
        </w:tc>
        <w:tc>
          <w:tcPr>
            <w:tcW w:w="934" w:type="dxa"/>
          </w:tcPr>
          <w:p w:rsidR="00A168B9" w:rsidRPr="00A168B9" w:rsidRDefault="00E67A61" w:rsidP="00DB5002">
            <w:pPr>
              <w:keepNext/>
              <w:cnfStyle w:val="000000000000" w:firstRow="0" w:lastRow="0" w:firstColumn="0" w:lastColumn="0" w:oddVBand="0" w:evenVBand="0" w:oddHBand="0" w:evenHBand="0" w:firstRowFirstColumn="0" w:firstRowLastColumn="0" w:lastRowFirstColumn="0" w:lastRowLastColumn="0"/>
            </w:pPr>
            <w:r>
              <w:t>2.7</w:t>
            </w:r>
          </w:p>
        </w:tc>
        <w:tc>
          <w:tcPr>
            <w:tcW w:w="934" w:type="dxa"/>
          </w:tcPr>
          <w:p w:rsidR="00A168B9" w:rsidRPr="00A168B9" w:rsidRDefault="00E67A61" w:rsidP="00DB5002">
            <w:pPr>
              <w:keepNext/>
              <w:cnfStyle w:val="000000000000" w:firstRow="0" w:lastRow="0" w:firstColumn="0" w:lastColumn="0" w:oddVBand="0" w:evenVBand="0" w:oddHBand="0" w:evenHBand="0" w:firstRowFirstColumn="0" w:firstRowLastColumn="0" w:lastRowFirstColumn="0" w:lastRowLastColumn="0"/>
            </w:pPr>
            <w:r>
              <w:t>3.7</w:t>
            </w:r>
          </w:p>
        </w:tc>
        <w:tc>
          <w:tcPr>
            <w:tcW w:w="934" w:type="dxa"/>
          </w:tcPr>
          <w:p w:rsidR="00A168B9" w:rsidRPr="00A168B9" w:rsidRDefault="00E67A61" w:rsidP="00DB5002">
            <w:pPr>
              <w:keepNext/>
              <w:cnfStyle w:val="000000000000" w:firstRow="0" w:lastRow="0" w:firstColumn="0" w:lastColumn="0" w:oddVBand="0" w:evenVBand="0" w:oddHBand="0" w:evenHBand="0" w:firstRowFirstColumn="0" w:firstRowLastColumn="0" w:lastRowFirstColumn="0" w:lastRowLastColumn="0"/>
            </w:pPr>
            <w:r>
              <w:t>1.4</w:t>
            </w:r>
          </w:p>
        </w:tc>
        <w:tc>
          <w:tcPr>
            <w:tcW w:w="934" w:type="dxa"/>
          </w:tcPr>
          <w:p w:rsidR="00A168B9" w:rsidRPr="00A168B9" w:rsidRDefault="00E67A61" w:rsidP="00DB5002">
            <w:pPr>
              <w:keepNext/>
              <w:cnfStyle w:val="000000000000" w:firstRow="0" w:lastRow="0" w:firstColumn="0" w:lastColumn="0" w:oddVBand="0" w:evenVBand="0" w:oddHBand="0" w:evenHBand="0" w:firstRowFirstColumn="0" w:firstRowLastColumn="0" w:lastRowFirstColumn="0" w:lastRowLastColumn="0"/>
            </w:pPr>
            <w:r>
              <w:t>14.5</w:t>
            </w:r>
          </w:p>
        </w:tc>
      </w:tr>
      <w:tr w:rsidR="00A168B9" w:rsidRPr="007F4A10" w:rsidTr="00FD6A13">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085" w:type="dxa"/>
          </w:tcPr>
          <w:p w:rsidR="00A168B9" w:rsidRPr="00A168B9" w:rsidRDefault="00A168B9" w:rsidP="00DB5002">
            <w:pPr>
              <w:keepNext/>
            </w:pPr>
            <w:r w:rsidRPr="00952C61">
              <w:rPr>
                <w:rStyle w:val="AERtextitalic"/>
              </w:rPr>
              <w:t>Less:</w:t>
            </w:r>
            <w:r w:rsidRPr="00A168B9">
              <w:t xml:space="preserve"> value of imputation credits</w:t>
            </w:r>
          </w:p>
        </w:tc>
        <w:tc>
          <w:tcPr>
            <w:tcW w:w="933" w:type="dxa"/>
          </w:tcPr>
          <w:p w:rsidR="00A168B9" w:rsidRPr="00A168B9" w:rsidRDefault="00E67A61" w:rsidP="00DB5002">
            <w:pPr>
              <w:keepNext/>
              <w:cnfStyle w:val="000000010000" w:firstRow="0" w:lastRow="0" w:firstColumn="0" w:lastColumn="0" w:oddVBand="0" w:evenVBand="0" w:oddHBand="0" w:evenHBand="1" w:firstRowFirstColumn="0" w:firstRowLastColumn="0" w:lastRowFirstColumn="0" w:lastRowLastColumn="0"/>
            </w:pPr>
            <w:r>
              <w:t>1.5</w:t>
            </w:r>
          </w:p>
        </w:tc>
        <w:tc>
          <w:tcPr>
            <w:tcW w:w="934" w:type="dxa"/>
          </w:tcPr>
          <w:p w:rsidR="00A168B9" w:rsidRPr="00A168B9" w:rsidRDefault="00E67A61" w:rsidP="00DB5002">
            <w:pPr>
              <w:keepNext/>
              <w:cnfStyle w:val="000000010000" w:firstRow="0" w:lastRow="0" w:firstColumn="0" w:lastColumn="0" w:oddVBand="0" w:evenVBand="0" w:oddHBand="0" w:evenHBand="1" w:firstRowFirstColumn="0" w:firstRowLastColumn="0" w:lastRowFirstColumn="0" w:lastRowLastColumn="0"/>
            </w:pPr>
            <w:r>
              <w:t>1.2</w:t>
            </w:r>
          </w:p>
        </w:tc>
        <w:tc>
          <w:tcPr>
            <w:tcW w:w="934" w:type="dxa"/>
          </w:tcPr>
          <w:p w:rsidR="00A168B9" w:rsidRPr="00A168B9" w:rsidRDefault="00E67A61" w:rsidP="00DB5002">
            <w:pPr>
              <w:keepNext/>
              <w:cnfStyle w:val="000000010000" w:firstRow="0" w:lastRow="0" w:firstColumn="0" w:lastColumn="0" w:oddVBand="0" w:evenVBand="0" w:oddHBand="0" w:evenHBand="1" w:firstRowFirstColumn="0" w:firstRowLastColumn="0" w:lastRowFirstColumn="0" w:lastRowLastColumn="0"/>
            </w:pPr>
            <w:r>
              <w:t>1.1</w:t>
            </w:r>
          </w:p>
        </w:tc>
        <w:tc>
          <w:tcPr>
            <w:tcW w:w="934" w:type="dxa"/>
          </w:tcPr>
          <w:p w:rsidR="00A168B9" w:rsidRPr="00A168B9" w:rsidRDefault="00E67A61" w:rsidP="00DB5002">
            <w:pPr>
              <w:keepNext/>
              <w:cnfStyle w:val="000000010000" w:firstRow="0" w:lastRow="0" w:firstColumn="0" w:lastColumn="0" w:oddVBand="0" w:evenVBand="0" w:oddHBand="0" w:evenHBand="1" w:firstRowFirstColumn="0" w:firstRowLastColumn="0" w:lastRowFirstColumn="0" w:lastRowLastColumn="0"/>
            </w:pPr>
            <w:r>
              <w:t>1.5</w:t>
            </w:r>
          </w:p>
        </w:tc>
        <w:tc>
          <w:tcPr>
            <w:tcW w:w="934" w:type="dxa"/>
          </w:tcPr>
          <w:p w:rsidR="00A168B9" w:rsidRPr="00A168B9" w:rsidRDefault="00E67A61" w:rsidP="00DB5002">
            <w:pPr>
              <w:keepNext/>
              <w:cnfStyle w:val="000000010000" w:firstRow="0" w:lastRow="0" w:firstColumn="0" w:lastColumn="0" w:oddVBand="0" w:evenVBand="0" w:oddHBand="0" w:evenHBand="1" w:firstRowFirstColumn="0" w:firstRowLastColumn="0" w:lastRowFirstColumn="0" w:lastRowLastColumn="0"/>
            </w:pPr>
            <w:r>
              <w:t>0.5</w:t>
            </w:r>
          </w:p>
        </w:tc>
        <w:tc>
          <w:tcPr>
            <w:tcW w:w="934" w:type="dxa"/>
          </w:tcPr>
          <w:p w:rsidR="00A168B9" w:rsidRPr="00A168B9" w:rsidRDefault="00E67A61" w:rsidP="00DB5002">
            <w:pPr>
              <w:keepNext/>
              <w:cnfStyle w:val="000000010000" w:firstRow="0" w:lastRow="0" w:firstColumn="0" w:lastColumn="0" w:oddVBand="0" w:evenVBand="0" w:oddHBand="0" w:evenHBand="1" w:firstRowFirstColumn="0" w:firstRowLastColumn="0" w:lastRowFirstColumn="0" w:lastRowLastColumn="0"/>
            </w:pPr>
            <w:r>
              <w:t>5.8</w:t>
            </w:r>
          </w:p>
        </w:tc>
      </w:tr>
      <w:tr w:rsidR="00A168B9" w:rsidRPr="00882A27" w:rsidTr="00FD6A13">
        <w:trPr>
          <w:trHeight w:val="467"/>
        </w:trPr>
        <w:tc>
          <w:tcPr>
            <w:cnfStyle w:val="001000000000" w:firstRow="0" w:lastRow="0" w:firstColumn="1" w:lastColumn="0" w:oddVBand="0" w:evenVBand="0" w:oddHBand="0" w:evenHBand="0" w:firstRowFirstColumn="0" w:firstRowLastColumn="0" w:lastRowFirstColumn="0" w:lastRowLastColumn="0"/>
            <w:tcW w:w="3085" w:type="dxa"/>
          </w:tcPr>
          <w:p w:rsidR="00A168B9" w:rsidRPr="00952C61" w:rsidRDefault="00A168B9" w:rsidP="00DB5002">
            <w:pPr>
              <w:keepNext/>
              <w:rPr>
                <w:rStyle w:val="Strong"/>
              </w:rPr>
            </w:pPr>
            <w:r w:rsidRPr="00952C61">
              <w:rPr>
                <w:rStyle w:val="Strong"/>
              </w:rPr>
              <w:t>Net corporate income tax allowance</w:t>
            </w:r>
          </w:p>
        </w:tc>
        <w:tc>
          <w:tcPr>
            <w:tcW w:w="933" w:type="dxa"/>
          </w:tcPr>
          <w:p w:rsidR="00A168B9" w:rsidRPr="00952C61" w:rsidRDefault="00E67A61" w:rsidP="00DB5002">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2.2</w:t>
            </w:r>
          </w:p>
        </w:tc>
        <w:tc>
          <w:tcPr>
            <w:tcW w:w="934" w:type="dxa"/>
          </w:tcPr>
          <w:p w:rsidR="00A168B9" w:rsidRPr="00952C61" w:rsidRDefault="00E67A61" w:rsidP="00DB5002">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1.8</w:t>
            </w:r>
          </w:p>
        </w:tc>
        <w:tc>
          <w:tcPr>
            <w:tcW w:w="934" w:type="dxa"/>
          </w:tcPr>
          <w:p w:rsidR="00A168B9" w:rsidRPr="00952C61" w:rsidRDefault="00E67A61" w:rsidP="00DB5002">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1.6</w:t>
            </w:r>
          </w:p>
        </w:tc>
        <w:tc>
          <w:tcPr>
            <w:tcW w:w="934" w:type="dxa"/>
          </w:tcPr>
          <w:p w:rsidR="00A168B9" w:rsidRPr="00952C61" w:rsidRDefault="00E67A61" w:rsidP="00DB5002">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2.2</w:t>
            </w:r>
          </w:p>
        </w:tc>
        <w:tc>
          <w:tcPr>
            <w:tcW w:w="934" w:type="dxa"/>
          </w:tcPr>
          <w:p w:rsidR="00A168B9" w:rsidRPr="00952C61" w:rsidRDefault="00E67A61" w:rsidP="00DB5002">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0.8</w:t>
            </w:r>
          </w:p>
        </w:tc>
        <w:tc>
          <w:tcPr>
            <w:tcW w:w="934" w:type="dxa"/>
          </w:tcPr>
          <w:p w:rsidR="00A168B9" w:rsidRPr="00952C61" w:rsidRDefault="00E67A61" w:rsidP="00DB5002">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8.7</w:t>
            </w:r>
          </w:p>
        </w:tc>
      </w:tr>
    </w:tbl>
    <w:p w:rsidR="00930255" w:rsidRPr="00FD50DB" w:rsidRDefault="00930255" w:rsidP="00DB5002">
      <w:pPr>
        <w:pStyle w:val="AERtablesource"/>
        <w:keepNext/>
      </w:pPr>
      <w:r w:rsidRPr="00FD50DB">
        <w:t xml:space="preserve">Source: </w:t>
      </w:r>
      <w:r w:rsidRPr="00FD50DB">
        <w:tab/>
        <w:t>AER analysis.</w:t>
      </w:r>
    </w:p>
    <w:p w:rsidR="00C666C6" w:rsidRPr="00407443" w:rsidRDefault="002457B6" w:rsidP="00C666C6">
      <w:r>
        <w:t>Consistent with</w:t>
      </w:r>
      <w:r w:rsidR="00C666C6">
        <w:t xml:space="preserve"> our draft decision, we accept AGN's proposed approach for calculating the cost of corporate income tax for the 2016–21 access arrangement period. In accepting the approach</w:t>
      </w:r>
      <w:r w:rsidR="00C666C6" w:rsidRPr="00407443">
        <w:t xml:space="preserve">, </w:t>
      </w:r>
      <w:r w:rsidR="00C666C6">
        <w:t xml:space="preserve">however, </w:t>
      </w:r>
      <w:r w:rsidR="00C666C6" w:rsidRPr="00407443">
        <w:t>we</w:t>
      </w:r>
      <w:r w:rsidR="00C666C6">
        <w:t xml:space="preserve"> have</w:t>
      </w:r>
      <w:r w:rsidR="00C666C6" w:rsidRPr="00407443">
        <w:t xml:space="preserve"> adjusted </w:t>
      </w:r>
      <w:r w:rsidR="007909FB">
        <w:t>a number of</w:t>
      </w:r>
      <w:r w:rsidR="007909FB" w:rsidRPr="00407443">
        <w:t xml:space="preserve"> </w:t>
      </w:r>
      <w:r w:rsidR="00C666C6" w:rsidRPr="00407443">
        <w:t xml:space="preserve">inputs </w:t>
      </w:r>
      <w:r w:rsidR="00C666C6">
        <w:t xml:space="preserve">in AGN’s </w:t>
      </w:r>
      <w:r w:rsidR="00C46BD8">
        <w:t xml:space="preserve">revised </w:t>
      </w:r>
      <w:r w:rsidR="00C666C6" w:rsidRPr="00407443">
        <w:t xml:space="preserve">proposed </w:t>
      </w:r>
      <w:r w:rsidR="00C666C6">
        <w:t>PTRM</w:t>
      </w:r>
      <w:r w:rsidR="00C666C6" w:rsidRPr="00407443">
        <w:t xml:space="preserve"> for calculating the </w:t>
      </w:r>
      <w:r w:rsidR="00C666C6">
        <w:t xml:space="preserve">cost of </w:t>
      </w:r>
      <w:r w:rsidR="00C666C6" w:rsidRPr="00407443">
        <w:t xml:space="preserve">corporate income tax. These </w:t>
      </w:r>
      <w:r w:rsidR="00C666C6">
        <w:t>adjustments, which reflect our final decisions on other elements of AGN's revised proposal, include</w:t>
      </w:r>
      <w:r w:rsidR="00C666C6" w:rsidRPr="00407443">
        <w:t>:</w:t>
      </w:r>
    </w:p>
    <w:p w:rsidR="00C666C6" w:rsidRPr="00215716" w:rsidRDefault="00C666C6" w:rsidP="00C666C6">
      <w:pPr>
        <w:pStyle w:val="AERbulletlistfirststyle"/>
        <w:rPr>
          <w:rStyle w:val="AERtexthighlight"/>
        </w:rPr>
      </w:pPr>
      <w:r>
        <w:t xml:space="preserve">changing </w:t>
      </w:r>
      <w:r w:rsidRPr="00215716">
        <w:t xml:space="preserve">the value of </w:t>
      </w:r>
      <w:r w:rsidRPr="00215716">
        <w:rPr>
          <w:rStyle w:val="AERbody"/>
        </w:rPr>
        <w:t xml:space="preserve">gamma to 0.4 from 0.25 </w:t>
      </w:r>
    </w:p>
    <w:p w:rsidR="00CF00DE" w:rsidRPr="00FD50DB" w:rsidRDefault="00C666C6" w:rsidP="0066139E">
      <w:pPr>
        <w:pStyle w:val="AERbulletlistfirststyle"/>
      </w:pPr>
      <w:r w:rsidRPr="00F8282A">
        <w:t xml:space="preserve">changes </w:t>
      </w:r>
      <w:r w:rsidRPr="00215716">
        <w:rPr>
          <w:rStyle w:val="AERbody"/>
        </w:rPr>
        <w:t>to other building block components including forecast rate of return</w:t>
      </w:r>
      <w:r w:rsidR="00882A27">
        <w:rPr>
          <w:rStyle w:val="AERbody"/>
        </w:rPr>
        <w:t xml:space="preserve"> and</w:t>
      </w:r>
      <w:r w:rsidRPr="00215716">
        <w:rPr>
          <w:rStyle w:val="AERbody"/>
        </w:rPr>
        <w:t xml:space="preserve"> forecast capex </w:t>
      </w:r>
      <w:r>
        <w:rPr>
          <w:rStyle w:val="AERbody"/>
        </w:rPr>
        <w:t>that impact the forecast cost of corporate income tax</w:t>
      </w:r>
      <w:r w:rsidRPr="00215716">
        <w:t>.</w:t>
      </w:r>
      <w:r w:rsidRPr="00215716">
        <w:rPr>
          <w:rStyle w:val="FootnoteReference"/>
        </w:rPr>
        <w:footnoteReference w:id="66"/>
      </w:r>
    </w:p>
    <w:p w:rsidR="00CF00DE" w:rsidRDefault="00CF00DE" w:rsidP="00CF00DE">
      <w:pPr>
        <w:pStyle w:val="Heading1"/>
      </w:pPr>
      <w:bookmarkStart w:id="156" w:name="_Toc430002797"/>
      <w:bookmarkStart w:id="157" w:name="_Ref434479226"/>
      <w:bookmarkStart w:id="158" w:name="_Toc436037704"/>
      <w:bookmarkStart w:id="159" w:name="_Toc451873376"/>
      <w:r>
        <w:t xml:space="preserve">Demand, reference </w:t>
      </w:r>
      <w:bookmarkEnd w:id="156"/>
      <w:r>
        <w:t>tariffs and incentive schemes</w:t>
      </w:r>
      <w:bookmarkEnd w:id="157"/>
      <w:bookmarkEnd w:id="158"/>
      <w:bookmarkEnd w:id="159"/>
    </w:p>
    <w:p w:rsidR="00CA2ABE" w:rsidRDefault="00CA2ABE" w:rsidP="00CA2ABE">
      <w:pPr>
        <w:pStyle w:val="Heading2"/>
      </w:pPr>
      <w:bookmarkStart w:id="160" w:name="_Toc451873377"/>
      <w:r>
        <w:t>Demand</w:t>
      </w:r>
      <w:bookmarkEnd w:id="160"/>
    </w:p>
    <w:p w:rsidR="00290AE1" w:rsidRDefault="00290AE1" w:rsidP="00290AE1">
      <w:r>
        <w:t xml:space="preserve">Demand is an important input to the derivation of AGN’s reference tariffs. In simple terms, tariff prices are determined by </w:t>
      </w:r>
      <w:r w:rsidR="001A6997">
        <w:t xml:space="preserve">dividing </w:t>
      </w:r>
      <w:r>
        <w:t>cost</w:t>
      </w:r>
      <w:r w:rsidR="007909FB">
        <w:t xml:space="preserve"> (as reflected in forecast revenue)</w:t>
      </w:r>
      <w:r>
        <w:t xml:space="preserve"> by total demand (GJ/day), such that an increase in forecast demand has the effect of reducing the tariff price and vice versa. Demand forecasts also affect capex and opex linked to increased network capacity.</w:t>
      </w:r>
    </w:p>
    <w:p w:rsidR="00CA2ABE" w:rsidRDefault="00290AE1" w:rsidP="00CA2ABE">
      <w:r>
        <w:t>Our draft decision identified concerns with the forecasting method that AGN had used to forecast consumption per connection for residential and commercial (or 'volume') customers.</w:t>
      </w:r>
      <w:r w:rsidRPr="00AC4CA1">
        <w:t xml:space="preserve"> </w:t>
      </w:r>
      <w:r>
        <w:t>We approved alternative demand forecasts to address these concerns and comply with the NGR. AGN's revised proposal incorporates our alternative forecasts, and our final decision accepts these.</w:t>
      </w:r>
    </w:p>
    <w:p w:rsidR="00CA2ABE" w:rsidRDefault="00CA2ABE" w:rsidP="00CA2ABE">
      <w:pPr>
        <w:pStyle w:val="Heading2"/>
      </w:pPr>
      <w:bookmarkStart w:id="161" w:name="_Toc451873378"/>
      <w:r>
        <w:t>Services covered by the access arrangement</w:t>
      </w:r>
      <w:bookmarkEnd w:id="161"/>
    </w:p>
    <w:p w:rsidR="00CA2ABE" w:rsidRDefault="00CA2ABE" w:rsidP="00CA2ABE">
      <w:r>
        <w:t>AGN did not propose any changes to the services we approved in our draft decision.</w:t>
      </w:r>
      <w:r>
        <w:rPr>
          <w:rStyle w:val="FootnoteReference"/>
        </w:rPr>
        <w:footnoteReference w:id="67"/>
      </w:r>
      <w:r>
        <w:t xml:space="preserve"> The services it will </w:t>
      </w:r>
      <w:r w:rsidR="0066139E">
        <w:t xml:space="preserve">provide </w:t>
      </w:r>
      <w:r>
        <w:t>over the 2016–21 access arrangement period are:</w:t>
      </w:r>
    </w:p>
    <w:p w:rsidR="00CA2ABE" w:rsidRDefault="00CA2ABE" w:rsidP="00CA2ABE">
      <w:pPr>
        <w:pStyle w:val="AERbulletlistfirststyle"/>
      </w:pPr>
      <w:r>
        <w:t>the reference services, comprising:</w:t>
      </w:r>
    </w:p>
    <w:p w:rsidR="00CA2ABE" w:rsidRDefault="00CA2ABE" w:rsidP="00CA2ABE">
      <w:pPr>
        <w:pStyle w:val="AERbulletlistsecondstyle"/>
      </w:pPr>
      <w:r>
        <w:t>haulage reference services</w:t>
      </w:r>
    </w:p>
    <w:p w:rsidR="00CA2ABE" w:rsidRDefault="00CA2ABE" w:rsidP="00CA2ABE">
      <w:pPr>
        <w:pStyle w:val="AERbulletlistsecondstyle"/>
      </w:pPr>
      <w:r>
        <w:t>ancillary reference services, and</w:t>
      </w:r>
    </w:p>
    <w:p w:rsidR="00CA2ABE" w:rsidRDefault="00CA2ABE" w:rsidP="00CA2ABE">
      <w:pPr>
        <w:pStyle w:val="AERbulletlistfirststyle"/>
      </w:pPr>
      <w:r>
        <w:t>non</w:t>
      </w:r>
      <w:r>
        <w:noBreakHyphen/>
        <w:t>reference services.</w:t>
      </w:r>
      <w:r>
        <w:rPr>
          <w:rStyle w:val="FootnoteReference"/>
        </w:rPr>
        <w:footnoteReference w:id="68"/>
      </w:r>
    </w:p>
    <w:p w:rsidR="00CA2ABE" w:rsidRDefault="00CA2ABE" w:rsidP="001A6997">
      <w:r>
        <w:t xml:space="preserve">Our final decision has not disaggregated meter data services from the haulage reference services as </w:t>
      </w:r>
      <w:r w:rsidR="00DC3B91">
        <w:t xml:space="preserve">recommended </w:t>
      </w:r>
      <w:r>
        <w:t>by the Consumer Challenge Panel.</w:t>
      </w:r>
      <w:r>
        <w:rPr>
          <w:rStyle w:val="FootnoteReference"/>
        </w:rPr>
        <w:footnoteReference w:id="69"/>
      </w:r>
      <w:r>
        <w:t xml:space="preserve"> </w:t>
      </w:r>
      <w:r w:rsidR="001A6997">
        <w:t>T</w:t>
      </w:r>
      <w:r w:rsidRPr="00B278CD">
        <w:t>he market to implement gas meter reading contestability in South Australia has not changed over the current access arrangement period</w:t>
      </w:r>
      <w:r w:rsidR="001A6997">
        <w:t>. W</w:t>
      </w:r>
      <w:r>
        <w:t xml:space="preserve">e have not been provided with compelling evidence to demonstrate </w:t>
      </w:r>
      <w:r w:rsidRPr="00B278CD">
        <w:t>contestability</w:t>
      </w:r>
      <w:r>
        <w:t xml:space="preserve"> in t</w:t>
      </w:r>
      <w:r w:rsidRPr="00B278CD">
        <w:t xml:space="preserve">he market </w:t>
      </w:r>
      <w:r>
        <w:t>for</w:t>
      </w:r>
      <w:r w:rsidRPr="00B278CD">
        <w:t xml:space="preserve"> meter</w:t>
      </w:r>
      <w:r>
        <w:t>ing services</w:t>
      </w:r>
      <w:r w:rsidRPr="00B278CD">
        <w:t xml:space="preserve"> in South Australia </w:t>
      </w:r>
      <w:r>
        <w:t xml:space="preserve">will </w:t>
      </w:r>
      <w:r w:rsidRPr="00B278CD">
        <w:t>change over the</w:t>
      </w:r>
      <w:r>
        <w:t xml:space="preserve"> forthcoming access arrangement period.</w:t>
      </w:r>
    </w:p>
    <w:p w:rsidR="00CA2ABE" w:rsidRDefault="00CA2ABE" w:rsidP="00CA2ABE">
      <w:r>
        <w:t xml:space="preserve">We note that price signals are a key element in the development of contestability in services. We consider sufficient price signals will be available over the </w:t>
      </w:r>
      <w:r w:rsidRPr="00B57B06">
        <w:t>2016–21 access arrangement</w:t>
      </w:r>
      <w:r>
        <w:t xml:space="preserve"> period to assist in the development of contestability since AGN's list of ancillary network services contains prices for most metering services it provides.</w:t>
      </w:r>
    </w:p>
    <w:p w:rsidR="00CA2ABE" w:rsidRDefault="00CA2ABE" w:rsidP="00CA2ABE">
      <w:r>
        <w:t>As noted in our draft decision, we will monitor the market for metering services over the coming years to see whether their disaggregation from the haulage reference services is warranted for future access arrangements.</w:t>
      </w:r>
      <w:r>
        <w:rPr>
          <w:rStyle w:val="FootnoteReference"/>
        </w:rPr>
        <w:footnoteReference w:id="70"/>
      </w:r>
      <w:r>
        <w:t xml:space="preserve"> </w:t>
      </w:r>
    </w:p>
    <w:p w:rsidR="00CA2ABE" w:rsidRDefault="00CA2ABE" w:rsidP="00CA2ABE">
      <w:pPr>
        <w:pStyle w:val="Heading2"/>
      </w:pPr>
      <w:bookmarkStart w:id="162" w:name="_Toc451873379"/>
      <w:r>
        <w:t>Reference tariffs and reference tariff variation mechanism</w:t>
      </w:r>
      <w:bookmarkEnd w:id="162"/>
    </w:p>
    <w:p w:rsidR="00C15B40" w:rsidRDefault="00C15B40" w:rsidP="00C15B40">
      <w:r>
        <w:t>Service providers are required under the NGR to specify a reference tariff for each reference service.</w:t>
      </w:r>
      <w:r>
        <w:rPr>
          <w:rStyle w:val="FootnoteReference"/>
        </w:rPr>
        <w:footnoteReference w:id="71"/>
      </w:r>
      <w:r>
        <w:t xml:space="preserve"> Reference tariffs are updated annually in accordance with the reference tariff variation mechanism.</w:t>
      </w:r>
    </w:p>
    <w:p w:rsidR="005D796B" w:rsidRDefault="00CA2ABE" w:rsidP="005D796B">
      <w:r>
        <w:t>O</w:t>
      </w:r>
      <w:r w:rsidRPr="002E05CE">
        <w:t>ur final decision is to apply the structure of reference tariffs proposed by AGN</w:t>
      </w:r>
      <w:r w:rsidR="005D796B">
        <w:t xml:space="preserve"> in its original proposal</w:t>
      </w:r>
      <w:r w:rsidRPr="002E05CE">
        <w:t xml:space="preserve"> for the 2016–21 access arrangement</w:t>
      </w:r>
      <w:r w:rsidR="005D796B">
        <w:t>, which was</w:t>
      </w:r>
      <w:r w:rsidRPr="002E05CE">
        <w:t xml:space="preserve"> accepted in our draft decision.</w:t>
      </w:r>
      <w:r w:rsidRPr="002E05CE">
        <w:rPr>
          <w:rStyle w:val="FootnoteReference"/>
        </w:rPr>
        <w:footnoteReference w:id="72"/>
      </w:r>
      <w:r w:rsidRPr="002E05CE">
        <w:t xml:space="preserve"> </w:t>
      </w:r>
      <w:r w:rsidR="005D796B">
        <w:t>Final decision reference tariffs have</w:t>
      </w:r>
      <w:r w:rsidR="005D796B" w:rsidRPr="002E05CE">
        <w:t xml:space="preserve"> be</w:t>
      </w:r>
      <w:r w:rsidR="005D796B">
        <w:t>en</w:t>
      </w:r>
      <w:r w:rsidR="005D796B" w:rsidRPr="002E05CE">
        <w:t xml:space="preserve"> amended to reflect our final decision </w:t>
      </w:r>
      <w:r w:rsidR="005D796B">
        <w:t xml:space="preserve">total </w:t>
      </w:r>
      <w:r w:rsidR="005D796B" w:rsidRPr="002E05CE">
        <w:t xml:space="preserve">revenue </w:t>
      </w:r>
      <w:r w:rsidR="005D796B">
        <w:t>requirement</w:t>
      </w:r>
      <w:r w:rsidR="005D796B" w:rsidRPr="002E05CE">
        <w:t>.</w:t>
      </w:r>
    </w:p>
    <w:p w:rsidR="00CA2ABE" w:rsidRDefault="001A6997" w:rsidP="00CA2ABE">
      <w:r>
        <w:t xml:space="preserve">The tariff structure in </w:t>
      </w:r>
      <w:r w:rsidR="005D796B">
        <w:t xml:space="preserve">AGN's revised proposal is consistent with its </w:t>
      </w:r>
      <w:r>
        <w:t xml:space="preserve">original </w:t>
      </w:r>
      <w:r w:rsidR="005D796B">
        <w:t>proposal</w:t>
      </w:r>
      <w:r>
        <w:t xml:space="preserve"> </w:t>
      </w:r>
      <w:r w:rsidR="005D796B">
        <w:t>but for the addition of new tariffs</w:t>
      </w:r>
      <w:r w:rsidR="005D796B" w:rsidRPr="009E74FC">
        <w:t xml:space="preserve"> for the Mount Barker region</w:t>
      </w:r>
      <w:r w:rsidR="005D796B">
        <w:t>, which flow from its proposed extension of the network</w:t>
      </w:r>
      <w:r w:rsidR="005D796B" w:rsidRPr="009E74FC">
        <w:t>.</w:t>
      </w:r>
      <w:r w:rsidR="005D796B" w:rsidRPr="009E74FC">
        <w:rPr>
          <w:rStyle w:val="FootnoteReference"/>
        </w:rPr>
        <w:footnoteReference w:id="73"/>
      </w:r>
      <w:r w:rsidR="005D796B" w:rsidRPr="009E74FC">
        <w:t xml:space="preserve"> However, our final decision</w:t>
      </w:r>
      <w:r w:rsidR="005D796B">
        <w:t xml:space="preserve"> </w:t>
      </w:r>
      <w:r>
        <w:t xml:space="preserve">(discussed in section </w:t>
      </w:r>
      <w:r>
        <w:fldChar w:fldCharType="begin"/>
      </w:r>
      <w:r>
        <w:instrText xml:space="preserve"> REF _Ref446602152 \r \h </w:instrText>
      </w:r>
      <w:r>
        <w:fldChar w:fldCharType="separate"/>
      </w:r>
      <w:r w:rsidR="006E1111">
        <w:t>4.5</w:t>
      </w:r>
      <w:r>
        <w:fldChar w:fldCharType="end"/>
      </w:r>
      <w:r>
        <w:t xml:space="preserve">, above) </w:t>
      </w:r>
      <w:r w:rsidR="005D796B">
        <w:t xml:space="preserve">is that AGN's </w:t>
      </w:r>
      <w:r>
        <w:t>forecast</w:t>
      </w:r>
      <w:r w:rsidR="005D796B">
        <w:t xml:space="preserve"> capex for the M</w:t>
      </w:r>
      <w:r w:rsidR="001171FF">
        <w:t>ount</w:t>
      </w:r>
      <w:r w:rsidR="005D796B">
        <w:t xml:space="preserve"> Barker extension is not conforming capex for the 2016–21 access arrangement period. It follows that these tariffs are not </w:t>
      </w:r>
      <w:r w:rsidR="005D796B" w:rsidRPr="009E74FC">
        <w:t>required</w:t>
      </w:r>
      <w:r w:rsidR="005D796B">
        <w:t xml:space="preserve"> in that period</w:t>
      </w:r>
      <w:r w:rsidR="005D796B" w:rsidRPr="009E74FC">
        <w:t>.</w:t>
      </w:r>
      <w:r w:rsidR="005D796B">
        <w:t xml:space="preserve"> We otherwise remain </w:t>
      </w:r>
      <w:r w:rsidR="00CA2ABE" w:rsidRPr="002E05CE">
        <w:t xml:space="preserve">satisfied the </w:t>
      </w:r>
      <w:r>
        <w:t xml:space="preserve">reference tariff </w:t>
      </w:r>
      <w:r w:rsidR="00CA2ABE" w:rsidRPr="002E05CE">
        <w:t xml:space="preserve">structure </w:t>
      </w:r>
      <w:r w:rsidR="00CA2ABE">
        <w:t>initially proposed by AGN and</w:t>
      </w:r>
      <w:r w:rsidR="00CA2ABE" w:rsidRPr="002E05CE">
        <w:t xml:space="preserve"> accepted in our draft decision complies with the requirements of the NGR.</w:t>
      </w:r>
      <w:r w:rsidR="00CA2ABE" w:rsidRPr="002E05CE">
        <w:rPr>
          <w:rStyle w:val="FootnoteReference"/>
        </w:rPr>
        <w:footnoteReference w:id="74"/>
      </w:r>
    </w:p>
    <w:p w:rsidR="00A7171D" w:rsidRDefault="00A7171D" w:rsidP="00A7171D">
      <w:r>
        <w:t xml:space="preserve">In its revised proposal, AGN largely incorporated the revisions our draft decision </w:t>
      </w:r>
      <w:r w:rsidR="000D6673">
        <w:t>required</w:t>
      </w:r>
      <w:r>
        <w:t xml:space="preserve"> to its reference tariff variation mechanism.</w:t>
      </w:r>
      <w:r w:rsidRPr="003B2F97">
        <w:t xml:space="preserve"> </w:t>
      </w:r>
      <w:r>
        <w:t xml:space="preserve">However, it proposed a change to the adjustment factor formula to accommodate price variations in </w:t>
      </w:r>
      <w:r w:rsidR="008C1980">
        <w:t>UAFG</w:t>
      </w:r>
      <w:r>
        <w:t>. AGN proposed:</w:t>
      </w:r>
    </w:p>
    <w:p w:rsidR="00A7171D" w:rsidRDefault="00A7171D" w:rsidP="00A7171D">
      <w:pPr>
        <w:pStyle w:val="AERbulletlistfirststyle"/>
      </w:pPr>
      <w:r>
        <w:t>a change in the timing of the true</w:t>
      </w:r>
      <w:r>
        <w:noBreakHyphen/>
        <w:t xml:space="preserve">up of forecast and actual price for </w:t>
      </w:r>
      <w:r w:rsidR="001344B2">
        <w:t>UAFG</w:t>
      </w:r>
      <w:r>
        <w:t xml:space="preserve"> to year t–1 rather than year t–2 as per our draft decision</w:t>
      </w:r>
    </w:p>
    <w:p w:rsidR="00A7171D" w:rsidRDefault="00A7171D" w:rsidP="00A7171D">
      <w:pPr>
        <w:pStyle w:val="AERbulletlistfirststyle"/>
      </w:pPr>
      <w:r>
        <w:t>the removal of the forecast quantities from the calculation.</w:t>
      </w:r>
      <w:r>
        <w:rPr>
          <w:rStyle w:val="FootnoteReference"/>
        </w:rPr>
        <w:footnoteReference w:id="75"/>
      </w:r>
      <w:r>
        <w:t xml:space="preserve"> </w:t>
      </w:r>
    </w:p>
    <w:p w:rsidR="00A7171D" w:rsidRPr="00A7171D" w:rsidRDefault="00A7171D" w:rsidP="00A7171D">
      <w:r w:rsidRPr="00A7171D">
        <w:t xml:space="preserve">We do not accept AGN's proposed changes. Our final decision applies </w:t>
      </w:r>
      <w:r w:rsidR="001A6997">
        <w:t>the same</w:t>
      </w:r>
      <w:r w:rsidRPr="00A7171D">
        <w:t xml:space="preserve"> timing of the true</w:t>
      </w:r>
      <w:r w:rsidRPr="00A7171D">
        <w:noBreakHyphen/>
        <w:t xml:space="preserve">up of forecast and actual price of year t–2 </w:t>
      </w:r>
      <w:r w:rsidR="001A6997">
        <w:t xml:space="preserve">as </w:t>
      </w:r>
      <w:r w:rsidR="002F4E8E">
        <w:t xml:space="preserve">in </w:t>
      </w:r>
      <w:r w:rsidR="001A6997">
        <w:t>our draft decision</w:t>
      </w:r>
      <w:r w:rsidRPr="00A7171D">
        <w:t>.</w:t>
      </w:r>
      <w:r w:rsidR="002D0068">
        <w:t xml:space="preserve"> </w:t>
      </w:r>
      <w:r w:rsidR="002F4E8E">
        <w:t>A</w:t>
      </w:r>
      <w:r w:rsidRPr="00A7171D">
        <w:t xml:space="preserve">utomatic adjustment factors in other gas distribution networks' reference tariff variation mechanisms all apply a method using year t–2 as the basis. </w:t>
      </w:r>
      <w:r w:rsidR="002F4E8E">
        <w:t>While the outcomes of the two approaches are not materially different, we</w:t>
      </w:r>
      <w:r w:rsidRPr="00A7171D">
        <w:t xml:space="preserve"> consider </w:t>
      </w:r>
      <w:r w:rsidR="002D0068">
        <w:t xml:space="preserve">a </w:t>
      </w:r>
      <w:r w:rsidRPr="00A7171D">
        <w:t xml:space="preserve">consistent approach across gas distribution networks and jurisdictions is </w:t>
      </w:r>
      <w:r w:rsidR="00DD36E4">
        <w:t>desirable</w:t>
      </w:r>
      <w:r w:rsidRPr="00A7171D">
        <w:t xml:space="preserve"> as it </w:t>
      </w:r>
      <w:r w:rsidR="001A6997">
        <w:t>provides</w:t>
      </w:r>
      <w:r w:rsidRPr="00A7171D">
        <w:t xml:space="preserve"> regulators, retailers, policy makers and end users greater transparency in the pricing effects of these adjustment factors.</w:t>
      </w:r>
      <w:r w:rsidRPr="00A7171D">
        <w:rPr>
          <w:rStyle w:val="FootnoteReference"/>
        </w:rPr>
        <w:footnoteReference w:id="76"/>
      </w:r>
    </w:p>
    <w:p w:rsidR="00335BA3" w:rsidRDefault="00A7171D" w:rsidP="00A7171D">
      <w:r w:rsidRPr="00A7171D">
        <w:t xml:space="preserve">Our final decision also maintains the use of forecast quantities in the method to calculate the adjustment factor to accommodate </w:t>
      </w:r>
      <w:r w:rsidR="001344B2">
        <w:t>UAFG</w:t>
      </w:r>
      <w:r w:rsidRPr="00A7171D">
        <w:t xml:space="preserve"> price variations for transparency. Our final decision revenue requirement for forecast </w:t>
      </w:r>
      <w:r w:rsidR="001344B2">
        <w:t>UAFG</w:t>
      </w:r>
      <w:r w:rsidRPr="00A7171D">
        <w:t xml:space="preserve"> is based on </w:t>
      </w:r>
      <w:r w:rsidR="001A6997">
        <w:t>both</w:t>
      </w:r>
      <w:r w:rsidRPr="00A7171D">
        <w:t xml:space="preserve"> forecast price and </w:t>
      </w:r>
      <w:r w:rsidR="001A6997">
        <w:t xml:space="preserve">forecast </w:t>
      </w:r>
      <w:r w:rsidRPr="00A7171D">
        <w:t xml:space="preserve">quantities. </w:t>
      </w:r>
      <w:r w:rsidR="001A6997">
        <w:t>Including</w:t>
      </w:r>
      <w:r w:rsidRPr="00A7171D">
        <w:t xml:space="preserve"> the forecast quantities in the method to calculate the true</w:t>
      </w:r>
      <w:r w:rsidRPr="00A7171D">
        <w:noBreakHyphen/>
        <w:t xml:space="preserve">up </w:t>
      </w:r>
      <w:r w:rsidR="001A6997">
        <w:t>provides greater</w:t>
      </w:r>
      <w:r w:rsidRPr="00A7171D">
        <w:t xml:space="preserve"> transparency in the annual movement of both price and revenues. Our final decision has updated the </w:t>
      </w:r>
      <w:r w:rsidR="001344B2">
        <w:t>UAFG</w:t>
      </w:r>
      <w:r w:rsidRPr="00A7171D">
        <w:t xml:space="preserve"> forecast quantities from our draft decision </w:t>
      </w:r>
      <w:r>
        <w:t xml:space="preserve">to reflect </w:t>
      </w:r>
      <w:r w:rsidRPr="00A7171D">
        <w:t>our final decision</w:t>
      </w:r>
      <w:r>
        <w:t>s</w:t>
      </w:r>
      <w:r w:rsidRPr="00A7171D">
        <w:t xml:space="preserve"> on AGN's </w:t>
      </w:r>
      <w:r w:rsidR="001A6997" w:rsidRPr="00A7171D">
        <w:t xml:space="preserve">mains replacement </w:t>
      </w:r>
      <w:r w:rsidR="001A6997">
        <w:t>capex</w:t>
      </w:r>
      <w:r w:rsidR="001A6997" w:rsidRPr="00A7171D">
        <w:t xml:space="preserve"> </w:t>
      </w:r>
      <w:r w:rsidR="001A6997">
        <w:t xml:space="preserve">and </w:t>
      </w:r>
      <w:r w:rsidR="001344B2">
        <w:t>UAFG</w:t>
      </w:r>
      <w:r w:rsidRPr="00A7171D">
        <w:t xml:space="preserve"> forecast. </w:t>
      </w:r>
    </w:p>
    <w:p w:rsidR="00606084" w:rsidRDefault="00606084" w:rsidP="00606084">
      <w:r>
        <w:t xml:space="preserve">We also note that our draft decision contained errors in </w:t>
      </w:r>
      <w:r w:rsidRPr="00606084">
        <w:t xml:space="preserve">the adjustment factor formula to accommodate price variations in </w:t>
      </w:r>
      <w:r w:rsidR="001344B2">
        <w:t>UAFG</w:t>
      </w:r>
      <w:r>
        <w:t>. Our final decision is to apply an amended version of our draft decision annual reference tariff variation mechanism which corrects these errors.</w:t>
      </w:r>
      <w:r>
        <w:rPr>
          <w:rStyle w:val="FootnoteReference"/>
        </w:rPr>
        <w:footnoteReference w:id="77"/>
      </w:r>
    </w:p>
    <w:p w:rsidR="000D6673" w:rsidRPr="00335BA3" w:rsidRDefault="000D6673" w:rsidP="00A7171D">
      <w:r>
        <w:t xml:space="preserve">AGN's revised proposal also largely incorporated our draft decision amendments to its proposed cost pass through events. Our final decision approves all but one of AGN's proposed events. As in our draft decision, we remain of the view that a pass through event for </w:t>
      </w:r>
      <w:r w:rsidR="006B5777">
        <w:t xml:space="preserve">future decisions by AGN to </w:t>
      </w:r>
      <w:r>
        <w:t>exten</w:t>
      </w:r>
      <w:r w:rsidR="006B5777">
        <w:t>d its</w:t>
      </w:r>
      <w:r>
        <w:t xml:space="preserve"> network (</w:t>
      </w:r>
      <w:r w:rsidR="00072819">
        <w:t>which AGN put forward as</w:t>
      </w:r>
      <w:r>
        <w:t xml:space="preserve"> an alternative to </w:t>
      </w:r>
      <w:r w:rsidR="00072819">
        <w:t>its forecast capex for the M</w:t>
      </w:r>
      <w:r w:rsidR="00BE5ACB">
        <w:t>ount</w:t>
      </w:r>
      <w:r w:rsidR="00072819">
        <w:t xml:space="preserve"> Barker extension</w:t>
      </w:r>
      <w:r w:rsidR="005D17DF">
        <w:t xml:space="preserve">—see section </w:t>
      </w:r>
      <w:r w:rsidR="005D17DF">
        <w:fldChar w:fldCharType="begin"/>
      </w:r>
      <w:r w:rsidR="005D17DF">
        <w:instrText xml:space="preserve"> REF _Ref446602152 \r \h </w:instrText>
      </w:r>
      <w:r w:rsidR="005D17DF">
        <w:fldChar w:fldCharType="separate"/>
      </w:r>
      <w:r w:rsidR="006E1111">
        <w:t>4.5</w:t>
      </w:r>
      <w:r w:rsidR="005D17DF">
        <w:fldChar w:fldCharType="end"/>
      </w:r>
      <w:r w:rsidR="005D17DF">
        <w:t xml:space="preserve"> above</w:t>
      </w:r>
      <w:r w:rsidR="00072819">
        <w:t>) is not necessary or appropriate.</w:t>
      </w:r>
    </w:p>
    <w:p w:rsidR="00CA2ABE" w:rsidRDefault="00CA2ABE" w:rsidP="00CA2ABE">
      <w:pPr>
        <w:pStyle w:val="Heading2"/>
      </w:pPr>
      <w:bookmarkStart w:id="163" w:name="_Ref446590628"/>
      <w:bookmarkStart w:id="164" w:name="_Toc451873380"/>
      <w:r>
        <w:t>Incentive schemes</w:t>
      </w:r>
      <w:bookmarkEnd w:id="163"/>
      <w:bookmarkEnd w:id="164"/>
    </w:p>
    <w:p w:rsidR="002E45E0" w:rsidRDefault="002E45E0" w:rsidP="00393E57">
      <w:r>
        <w:t xml:space="preserve">A full access arrangement may include (or we may require it to include) one or more incentive mechanisms to encourage efficiency in the provision of services by the service provider.  Incentive mechanisms may provide for carrying over increments for efficiency gains, or decrements for efficiency losses, from one access arrangement period into the next.  </w:t>
      </w:r>
    </w:p>
    <w:p w:rsidR="00393E57" w:rsidRDefault="002E45E0" w:rsidP="00393E57">
      <w:r>
        <w:t>In the current access arrangement period</w:t>
      </w:r>
      <w:r w:rsidR="00B7156D">
        <w:t>,</w:t>
      </w:r>
      <w:r>
        <w:t xml:space="preserve"> AGN was subject to an opex incentive scheme</w:t>
      </w:r>
      <w:r w:rsidR="00B7156D">
        <w:t xml:space="preserve"> –</w:t>
      </w:r>
      <w:r w:rsidR="001E66BC">
        <w:t xml:space="preserve"> the ECM</w:t>
      </w:r>
      <w:r>
        <w:t xml:space="preserve">. Our </w:t>
      </w:r>
      <w:r w:rsidR="00393E57">
        <w:t xml:space="preserve">final decision on the outcomes of </w:t>
      </w:r>
      <w:r w:rsidR="001E66BC">
        <w:t>the ECM in the current period</w:t>
      </w:r>
      <w:r>
        <w:t xml:space="preserve"> is set out in section </w:t>
      </w:r>
      <w:r>
        <w:fldChar w:fldCharType="begin"/>
      </w:r>
      <w:r>
        <w:instrText xml:space="preserve"> REF _Ref446590813 \r \h </w:instrText>
      </w:r>
      <w:r>
        <w:fldChar w:fldCharType="separate"/>
      </w:r>
      <w:r w:rsidR="006E1111">
        <w:t>4.7</w:t>
      </w:r>
      <w:r>
        <w:fldChar w:fldCharType="end"/>
      </w:r>
      <w:r>
        <w:t xml:space="preserve"> above</w:t>
      </w:r>
      <w:r w:rsidR="00393E57">
        <w:t xml:space="preserve">. </w:t>
      </w:r>
      <w:r w:rsidR="00393E57" w:rsidRPr="00281FFB">
        <w:t xml:space="preserve">AGN </w:t>
      </w:r>
      <w:r>
        <w:t xml:space="preserve">has </w:t>
      </w:r>
      <w:r w:rsidR="00393E57" w:rsidRPr="00281FFB">
        <w:t>proposed</w:t>
      </w:r>
      <w:r>
        <w:t>, and we have approved, the continued application of</w:t>
      </w:r>
      <w:r w:rsidR="00393E57" w:rsidRPr="00281FFB">
        <w:t xml:space="preserve"> an </w:t>
      </w:r>
      <w:r w:rsidR="001E66BC">
        <w:t>ECM</w:t>
      </w:r>
      <w:r w:rsidR="00393E57" w:rsidRPr="00281FFB">
        <w:t xml:space="preserve"> in the 2016–21 access arrangement period.</w:t>
      </w:r>
      <w:r w:rsidR="00393E57">
        <w:t xml:space="preserve"> </w:t>
      </w:r>
      <w:r w:rsidR="00393E57" w:rsidRPr="00281FFB">
        <w:t>In its revised proposal, AGN accepted</w:t>
      </w:r>
      <w:r w:rsidR="00393E57">
        <w:t xml:space="preserve"> </w:t>
      </w:r>
      <w:r w:rsidR="00393E57" w:rsidRPr="00281FFB">
        <w:t xml:space="preserve">our draft decision to apply an </w:t>
      </w:r>
      <w:r w:rsidR="001E66BC">
        <w:t>ECM</w:t>
      </w:r>
      <w:r w:rsidR="00393E57" w:rsidRPr="00281FFB">
        <w:t xml:space="preserve"> consistent with version two of our </w:t>
      </w:r>
      <w:r>
        <w:t>Efficiency Benefit Sharing Scheme (</w:t>
      </w:r>
      <w:r w:rsidR="00393E57" w:rsidRPr="00281FFB">
        <w:t>EBSS</w:t>
      </w:r>
      <w:r>
        <w:t>)</w:t>
      </w:r>
      <w:r w:rsidR="00393E57" w:rsidRPr="00281FFB">
        <w:t xml:space="preserve"> in the </w:t>
      </w:r>
      <w:r w:rsidR="00393E57" w:rsidRPr="00A11502">
        <w:t xml:space="preserve">2016–21 </w:t>
      </w:r>
      <w:r w:rsidR="00393E57" w:rsidRPr="00281FFB">
        <w:t>access arrangement</w:t>
      </w:r>
      <w:r w:rsidR="00393E57">
        <w:t xml:space="preserve"> period</w:t>
      </w:r>
      <w:r w:rsidR="00393E57" w:rsidRPr="00281FFB">
        <w:t>.</w:t>
      </w:r>
      <w:r w:rsidR="00393E57">
        <w:rPr>
          <w:rStyle w:val="FootnoteReference"/>
        </w:rPr>
        <w:footnoteReference w:id="78"/>
      </w:r>
      <w:r w:rsidR="00393E57">
        <w:t xml:space="preserve"> Our final decision approves this element of AGN's revised proposal. </w:t>
      </w:r>
    </w:p>
    <w:p w:rsidR="002E45E0" w:rsidRPr="00DF49D8" w:rsidRDefault="00393E57" w:rsidP="002E45E0">
      <w:r>
        <w:t xml:space="preserve">AGN also proposed that we introduce a </w:t>
      </w:r>
      <w:r w:rsidR="002E45E0">
        <w:t>Capital Expenditure Sharing Scheme (CESS)</w:t>
      </w:r>
      <w:r>
        <w:t xml:space="preserve"> to its access arrangement. </w:t>
      </w:r>
      <w:r w:rsidR="002E45E0">
        <w:t>Our draft decision did not accept this element of AGN's proposal. The arguments for the introduction of a CESS in AGN's revised proposal are largely the same as those in its original proposal. However, its revised proposal replaced the CESS AGN originally proposed with the</w:t>
      </w:r>
      <w:r w:rsidR="002E45E0" w:rsidRPr="00DF49D8">
        <w:t xml:space="preserve"> </w:t>
      </w:r>
      <w:r w:rsidR="002E45E0" w:rsidRPr="00C34584">
        <w:t xml:space="preserve">electricity </w:t>
      </w:r>
      <w:r w:rsidR="002E45E0">
        <w:t>CESS</w:t>
      </w:r>
      <w:r w:rsidR="002E45E0" w:rsidRPr="00C34584">
        <w:t xml:space="preserve"> </w:t>
      </w:r>
      <w:r w:rsidR="002E45E0" w:rsidRPr="00DF49D8">
        <w:t>we developed under the NER as part of our Better Regulation program in 2013</w:t>
      </w:r>
      <w:r w:rsidR="002E45E0">
        <w:t xml:space="preserve">. </w:t>
      </w:r>
      <w:r w:rsidR="002E45E0" w:rsidRPr="00DF49D8">
        <w:t>AGN argued that "sufficient industry consultation has occurred for the CESS applied in electricity to also apply in gas".</w:t>
      </w:r>
      <w:r w:rsidR="002E45E0" w:rsidRPr="00DF49D8">
        <w:rPr>
          <w:rStyle w:val="FootnoteReference"/>
        </w:rPr>
        <w:footnoteReference w:id="79"/>
      </w:r>
      <w:r w:rsidR="002E45E0" w:rsidRPr="00DF49D8">
        <w:t xml:space="preserve"> </w:t>
      </w:r>
    </w:p>
    <w:p w:rsidR="00393E57" w:rsidRDefault="002F4E8E" w:rsidP="00393E57">
      <w:r>
        <w:t>We maintain our decision</w:t>
      </w:r>
      <w:r w:rsidR="00393E57">
        <w:t xml:space="preserve"> </w:t>
      </w:r>
      <w:r w:rsidR="00393E57" w:rsidRPr="00910181">
        <w:t>not</w:t>
      </w:r>
      <w:r w:rsidR="00393E57">
        <w:t xml:space="preserve"> to accept AGN’s proposal to implement a </w:t>
      </w:r>
      <w:r w:rsidR="002E45E0">
        <w:t>CESS</w:t>
      </w:r>
      <w:r w:rsidR="00393E57">
        <w:t xml:space="preserve"> in the 2016–21 access arrangement period.</w:t>
      </w:r>
    </w:p>
    <w:p w:rsidR="00393E57" w:rsidRPr="00A30289" w:rsidRDefault="00393E57" w:rsidP="00393E57">
      <w:pPr>
        <w:rPr>
          <w:rStyle w:val="AERtexthighlight"/>
        </w:rPr>
      </w:pPr>
      <w:r>
        <w:t>Despite the po</w:t>
      </w:r>
      <w:r w:rsidR="002E45E0">
        <w:t>tential benefits of a CESS, we</w:t>
      </w:r>
      <w:r>
        <w:t xml:space="preserve"> remain concerned that </w:t>
      </w:r>
      <w:r w:rsidRPr="0051769D">
        <w:t xml:space="preserve">the </w:t>
      </w:r>
      <w:r>
        <w:t>addition</w:t>
      </w:r>
      <w:r w:rsidRPr="0051769D">
        <w:t xml:space="preserve"> of a CESS to AGN</w:t>
      </w:r>
      <w:r>
        <w:t>'s access arrangement</w:t>
      </w:r>
      <w:r w:rsidRPr="0051769D">
        <w:t xml:space="preserve"> </w:t>
      </w:r>
      <w:r>
        <w:t>has the potential to</w:t>
      </w:r>
      <w:r w:rsidRPr="0051769D">
        <w:t xml:space="preserve"> create an </w:t>
      </w:r>
      <w:r>
        <w:t xml:space="preserve">overall </w:t>
      </w:r>
      <w:r w:rsidRPr="0051769D">
        <w:t xml:space="preserve">imbalance in incentives under its access arrangement. </w:t>
      </w:r>
      <w:r>
        <w:t>This could undermine incentives for efficient investment in AGN's network</w:t>
      </w:r>
      <w:r w:rsidRPr="00B82A7E">
        <w:t xml:space="preserve">, and potentially incentivise </w:t>
      </w:r>
      <w:r w:rsidR="002F4E8E">
        <w:t>AGN to reduce capex at the expense of network safety and reliability</w:t>
      </w:r>
      <w:r w:rsidRPr="00B82A7E">
        <w:t>.</w:t>
      </w:r>
      <w:r w:rsidRPr="00A858AF">
        <w:rPr>
          <w:rStyle w:val="FootnoteReference"/>
        </w:rPr>
        <w:footnoteReference w:id="80"/>
      </w:r>
      <w:r w:rsidRPr="00A858AF">
        <w:rPr>
          <w:rStyle w:val="FootnoteReference"/>
        </w:rPr>
        <w:t xml:space="preserve"> </w:t>
      </w:r>
      <w:r w:rsidRPr="00B82A7E">
        <w:t>Such an outcome would not promote efficient investment in, and efficient operation and use of, natural gas services for the long term interests of consumers of natural gas with respect to price, quality, safety, reliability and security of supply of natural gas</w:t>
      </w:r>
      <w:r>
        <w:t>.</w:t>
      </w:r>
    </w:p>
    <w:p w:rsidR="00646ED5" w:rsidRPr="00E056D7" w:rsidRDefault="00646ED5" w:rsidP="00646ED5">
      <w:r>
        <w:t>AGN's revised proposal reiterated the</w:t>
      </w:r>
      <w:r w:rsidRPr="00E056D7">
        <w:t xml:space="preserve"> potential benefits from the application of a CESS</w:t>
      </w:r>
      <w:r>
        <w:t xml:space="preserve"> it identified in its original proposal. At a high level</w:t>
      </w:r>
      <w:r w:rsidR="002D6C18">
        <w:t>, AGN submitted that</w:t>
      </w:r>
      <w:r w:rsidRPr="00E056D7">
        <w:t>:</w:t>
      </w:r>
    </w:p>
    <w:p w:rsidR="00646ED5" w:rsidRPr="00E056D7" w:rsidRDefault="00646ED5" w:rsidP="001E66BC">
      <w:pPr>
        <w:pStyle w:val="AERbulletlistfirststyle"/>
      </w:pPr>
      <w:r w:rsidRPr="00E056D7">
        <w:t>best practice incentive regulation should be focussed on providing the right incentives to reveal efficient outcomes</w:t>
      </w:r>
      <w:r w:rsidRPr="00E056D7">
        <w:rPr>
          <w:rStyle w:val="FootnoteReference"/>
        </w:rPr>
        <w:footnoteReference w:id="81"/>
      </w:r>
    </w:p>
    <w:p w:rsidR="00646ED5" w:rsidRPr="00E056D7" w:rsidRDefault="00646ED5" w:rsidP="001E66BC">
      <w:pPr>
        <w:pStyle w:val="AERbulletlistfirststyle"/>
      </w:pPr>
      <w:r w:rsidRPr="00E056D7">
        <w:t>the combination of the EBSS and the CESS provide the correct incentives in order for AGN to incur the most efficient form of expenditure (opex or capex)</w:t>
      </w:r>
      <w:r w:rsidRPr="00E056D7">
        <w:rPr>
          <w:rStyle w:val="FootnoteReference"/>
        </w:rPr>
        <w:footnoteReference w:id="82"/>
      </w:r>
    </w:p>
    <w:p w:rsidR="00646ED5" w:rsidRPr="00E056D7" w:rsidRDefault="00646ED5" w:rsidP="001E66BC">
      <w:pPr>
        <w:pStyle w:val="AERbulletlistfirststyle"/>
      </w:pPr>
      <w:r w:rsidRPr="00E056D7">
        <w:t>the CESS provides the appropriate incentive to continually seek capex efficiencies throughout the access arrangement period, which would otherwise decline over the period.</w:t>
      </w:r>
      <w:r w:rsidRPr="00E056D7">
        <w:rPr>
          <w:rStyle w:val="FootnoteReference"/>
        </w:rPr>
        <w:footnoteReference w:id="83"/>
      </w:r>
    </w:p>
    <w:p w:rsidR="00646ED5" w:rsidRDefault="00646ED5" w:rsidP="00646ED5">
      <w:r>
        <w:t xml:space="preserve">We recognised these potential benefits in our draft decision. However, our draft decision also </w:t>
      </w:r>
      <w:r w:rsidRPr="00E87316">
        <w:t xml:space="preserve">set out a number of concerns with AGN’s proposal to add a </w:t>
      </w:r>
      <w:r>
        <w:t>CESS</w:t>
      </w:r>
      <w:r w:rsidRPr="00E87316">
        <w:t xml:space="preserve"> to its 2016–21 access arrangement</w:t>
      </w:r>
      <w:r w:rsidRPr="00EC1045">
        <w:t xml:space="preserve"> </w:t>
      </w:r>
      <w:r>
        <w:t>that</w:t>
      </w:r>
      <w:r w:rsidRPr="00EC1045">
        <w:t xml:space="preserve"> </w:t>
      </w:r>
      <w:r>
        <w:t>have not been</w:t>
      </w:r>
      <w:r w:rsidRPr="00EC1045">
        <w:t xml:space="preserve"> adequately addressed in AGN’s original </w:t>
      </w:r>
      <w:r>
        <w:t xml:space="preserve">or revised </w:t>
      </w:r>
      <w:r w:rsidRPr="00EC1045">
        <w:t xml:space="preserve">proposal. </w:t>
      </w:r>
    </w:p>
    <w:p w:rsidR="00646ED5" w:rsidRPr="00E056D7" w:rsidRDefault="00646ED5" w:rsidP="00646ED5">
      <w:r>
        <w:t>First, there are differences between</w:t>
      </w:r>
      <w:r w:rsidRPr="006A604E">
        <w:t xml:space="preserve"> the capex assessment and forecasting toolkits we use for electricity and gas</w:t>
      </w:r>
      <w:r w:rsidRPr="00646ED5">
        <w:t xml:space="preserve"> </w:t>
      </w:r>
      <w:r>
        <w:t xml:space="preserve">that </w:t>
      </w:r>
      <w:r w:rsidR="001E66BC">
        <w:t>were not considered</w:t>
      </w:r>
      <w:r>
        <w:t xml:space="preserve"> by AGN in its original or revised proposals, or as part of our Better Regulation consultation on the CESS for electricity. </w:t>
      </w:r>
      <w:r w:rsidRPr="006A604E">
        <w:t xml:space="preserve">The electricity CESS was developed in conjunction with an extensive refinement of our electricity forecasting toolkit as part of the Better Regulation program. </w:t>
      </w:r>
      <w:r w:rsidR="002F4E8E">
        <w:t>In order to ensure a robust and holistic assessment of a possible CESS</w:t>
      </w:r>
      <w:r w:rsidRPr="006A604E">
        <w:t xml:space="preserve">, we would </w:t>
      </w:r>
      <w:r w:rsidR="002F4E8E">
        <w:t xml:space="preserve">need to </w:t>
      </w:r>
      <w:r w:rsidRPr="006A604E">
        <w:t xml:space="preserve">assess both elements of the gas framework together before changes were implemented, rather than considering the CESS in isolation. </w:t>
      </w:r>
      <w:r>
        <w:t xml:space="preserve"> </w:t>
      </w:r>
    </w:p>
    <w:p w:rsidR="00646ED5" w:rsidRDefault="00646ED5" w:rsidP="00646ED5">
      <w:r>
        <w:t>Under the NER, t</w:t>
      </w:r>
      <w:r w:rsidRPr="00336299">
        <w:t xml:space="preserve">he </w:t>
      </w:r>
      <w:r w:rsidR="002F4E8E">
        <w:t>Service Target Performance Incentive Scheme (</w:t>
      </w:r>
      <w:r w:rsidRPr="00336299">
        <w:t>STPIS</w:t>
      </w:r>
      <w:r w:rsidR="002F4E8E">
        <w:t>)</w:t>
      </w:r>
      <w:r w:rsidRPr="00336299">
        <w:t xml:space="preserve"> balances the incentives the CESS creates to reduce </w:t>
      </w:r>
      <w:r>
        <w:t>capex</w:t>
      </w:r>
      <w:r w:rsidRPr="00336299">
        <w:t xml:space="preserve"> with a financial incentive to maintain</w:t>
      </w:r>
      <w:r>
        <w:t xml:space="preserve"> or improve on the performance levels funded through the approved forecast revenue requirement. B</w:t>
      </w:r>
      <w:r w:rsidRPr="00C15160">
        <w:t>y putting revenue at risk where performance falls below pre-defined targets</w:t>
      </w:r>
      <w:r>
        <w:t>, the STPIS discourages</w:t>
      </w:r>
      <w:r w:rsidRPr="00336299">
        <w:t xml:space="preserve"> a business </w:t>
      </w:r>
      <w:r>
        <w:t xml:space="preserve">from </w:t>
      </w:r>
      <w:r w:rsidRPr="00336299">
        <w:t>seek</w:t>
      </w:r>
      <w:r>
        <w:t>ing</w:t>
      </w:r>
      <w:r w:rsidRPr="00336299">
        <w:t xml:space="preserve"> to maximise benefits from the CESS by </w:t>
      </w:r>
      <w:r>
        <w:t>reducing capex at the expense of the reliability, safety and security of its network</w:t>
      </w:r>
      <w:r w:rsidRPr="00336299">
        <w:t xml:space="preserve">. </w:t>
      </w:r>
      <w:r w:rsidR="002F4E8E">
        <w:t xml:space="preserve">We find that AGN's proposal for a CESS—while it notes some potential balancing incentives—does not provide for a similar and sufficient counter balance. </w:t>
      </w:r>
      <w:r w:rsidR="001E66BC">
        <w:t>The absence of an equivalent revenue incentive in AGN's access arrangement</w:t>
      </w:r>
      <w:r w:rsidRPr="00336299">
        <w:t xml:space="preserve"> is</w:t>
      </w:r>
      <w:r>
        <w:t xml:space="preserve"> </w:t>
      </w:r>
      <w:r w:rsidRPr="00336299">
        <w:t xml:space="preserve">one of the key differences between the electricity and gas frameworks that AGN’s </w:t>
      </w:r>
      <w:r>
        <w:t xml:space="preserve">original </w:t>
      </w:r>
      <w:r w:rsidRPr="00336299">
        <w:t>and revised proposal</w:t>
      </w:r>
      <w:r>
        <w:t>s</w:t>
      </w:r>
      <w:r w:rsidRPr="00336299">
        <w:t xml:space="preserve"> </w:t>
      </w:r>
      <w:r>
        <w:t>have</w:t>
      </w:r>
      <w:r w:rsidRPr="00336299">
        <w:t xml:space="preserve"> not </w:t>
      </w:r>
      <w:r>
        <w:t xml:space="preserve">adequately </w:t>
      </w:r>
      <w:r w:rsidRPr="00336299">
        <w:t>address</w:t>
      </w:r>
      <w:r>
        <w:t>ed</w:t>
      </w:r>
      <w:r w:rsidRPr="00336299">
        <w:t xml:space="preserve">. </w:t>
      </w:r>
    </w:p>
    <w:p w:rsidR="00CA2ABE" w:rsidRPr="00CA2ABE" w:rsidRDefault="00646ED5" w:rsidP="00CA2ABE">
      <w:r>
        <w:t>We remain of the view that</w:t>
      </w:r>
      <w:r w:rsidRPr="00E87316">
        <w:t xml:space="preserve"> </w:t>
      </w:r>
      <w:r>
        <w:t>these matters</w:t>
      </w:r>
      <w:r w:rsidRPr="00E87316">
        <w:t xml:space="preserve"> </w:t>
      </w:r>
      <w:r>
        <w:t xml:space="preserve">have not been </w:t>
      </w:r>
      <w:r w:rsidR="00AF045B">
        <w:t xml:space="preserve">adequately </w:t>
      </w:r>
      <w:r>
        <w:t xml:space="preserve">addressed by the information </w:t>
      </w:r>
      <w:r w:rsidR="002F4E8E">
        <w:t>submitted by AGN and others</w:t>
      </w:r>
      <w:r>
        <w:t xml:space="preserve"> in</w:t>
      </w:r>
      <w:r w:rsidR="002F4E8E">
        <w:t xml:space="preserve"> </w:t>
      </w:r>
      <w:r>
        <w:t>this review, or through our consultation on a CESS under the NER. Our final decision is not to approve the addition of a CESS to AGN's 2016–21 access arrangement.</w:t>
      </w:r>
    </w:p>
    <w:p w:rsidR="00CF00DE" w:rsidRDefault="00CF00DE" w:rsidP="00CF00DE">
      <w:pPr>
        <w:pStyle w:val="Heading1"/>
      </w:pPr>
      <w:bookmarkStart w:id="165" w:name="_Toc430002798"/>
      <w:bookmarkStart w:id="166" w:name="_Ref434479237"/>
      <w:bookmarkStart w:id="167" w:name="_Ref434479243"/>
      <w:bookmarkStart w:id="168" w:name="_Ref434479445"/>
      <w:bookmarkStart w:id="169" w:name="_Toc436037710"/>
      <w:bookmarkStart w:id="170" w:name="_Toc451873381"/>
      <w:r>
        <w:t>Non-tariff components</w:t>
      </w:r>
      <w:bookmarkEnd w:id="165"/>
      <w:bookmarkEnd w:id="166"/>
      <w:bookmarkEnd w:id="167"/>
      <w:bookmarkEnd w:id="168"/>
      <w:bookmarkEnd w:id="169"/>
      <w:bookmarkEnd w:id="170"/>
    </w:p>
    <w:p w:rsidR="00256DA0" w:rsidRDefault="00256DA0" w:rsidP="00256DA0">
      <w:r>
        <w:t xml:space="preserve">We have accepted all but one element of AGN's revised proposal on </w:t>
      </w:r>
      <w:r w:rsidR="00781D8E">
        <w:t>the non-tariff components of its access arrangement</w:t>
      </w:r>
      <w:r>
        <w:t>.</w:t>
      </w:r>
    </w:p>
    <w:p w:rsidR="00256DA0" w:rsidRDefault="00256DA0" w:rsidP="00256DA0">
      <w:r>
        <w:t xml:space="preserve">AGN's </w:t>
      </w:r>
      <w:r w:rsidRPr="00AA6990">
        <w:t xml:space="preserve">revised proposal restated without revision its original proposals on </w:t>
      </w:r>
      <w:r>
        <w:t>queuing requirements and extension and expansion requirements, which we approved in our draft decision. AGN has also made the amendments we required to its review submission date and revision commencement date. Our final decision approves each of these elements of AGN's revised proposal.</w:t>
      </w:r>
    </w:p>
    <w:p w:rsidR="00256DA0" w:rsidRDefault="00256DA0" w:rsidP="00256DA0">
      <w:r>
        <w:t>Our draft decision also raised concerns regarding AGN's propos</w:t>
      </w:r>
      <w:r w:rsidR="00B71F75">
        <w:t xml:space="preserve">al to streamline its </w:t>
      </w:r>
      <w:r>
        <w:t>capacity trading requirements and the provisions of its access arrangement regarding receipt and delivery point changes. AGN has addressed these concerns in its revised proposal, and our final decision approves the</w:t>
      </w:r>
      <w:r w:rsidR="00B71F75">
        <w:t xml:space="preserve"> streamlined </w:t>
      </w:r>
      <w:r>
        <w:t>provisions.</w:t>
      </w:r>
    </w:p>
    <w:p w:rsidR="00B71F75" w:rsidRPr="0068328D" w:rsidRDefault="00B71F75" w:rsidP="00B71F75">
      <w:r>
        <w:t xml:space="preserve">We approve all but one of the </w:t>
      </w:r>
      <w:r w:rsidR="00781D8E">
        <w:t xml:space="preserve">non-tariff </w:t>
      </w:r>
      <w:r>
        <w:t>terms and conditions in AGN's revised access arrangement proposal. AGN proposed that, where it had not met its obligations to users because of failure to access a shared customer</w:t>
      </w:r>
      <w:r w:rsidR="00A064A9">
        <w:t>'</w:t>
      </w:r>
      <w:r>
        <w:t xml:space="preserve">s premises, it should not be liable where it had used reasonable endeavours to do so. </w:t>
      </w:r>
      <w:r w:rsidR="00921F5F">
        <w:t>Under the National Energy Retail Law and Rules, s</w:t>
      </w:r>
      <w:r>
        <w:t xml:space="preserve">hared customers have an obligation directly to AGN to provide access to premises (under deemed customer connection contracts). AGN can enforce this obligation directly against the shared customer.  Where AGN has not done so, we do not accept there is justification to displace the right of users to pursue AGN for failure to perform the agreement because of failure to access premises. </w:t>
      </w:r>
      <w:r w:rsidRPr="0068328D">
        <w:t xml:space="preserve">Accordingly </w:t>
      </w:r>
      <w:r>
        <w:t xml:space="preserve">our </w:t>
      </w:r>
      <w:r w:rsidRPr="0068328D">
        <w:t xml:space="preserve">approved access arrangement does not include </w:t>
      </w:r>
      <w:r w:rsidR="00C0365C">
        <w:t>this limitation on AGN's liability.</w:t>
      </w:r>
    </w:p>
    <w:p w:rsidR="00CF00DE" w:rsidRDefault="00CF00DE" w:rsidP="00CF00DE">
      <w:pPr>
        <w:pStyle w:val="Heading1"/>
      </w:pPr>
      <w:bookmarkStart w:id="171" w:name="_Toc430002799"/>
      <w:bookmarkStart w:id="172" w:name="_Ref434479178"/>
      <w:bookmarkStart w:id="173" w:name="_Ref434479254"/>
      <w:bookmarkStart w:id="174" w:name="_Toc436037711"/>
      <w:bookmarkStart w:id="175" w:name="_Toc451873382"/>
      <w:r>
        <w:t>Understanding the NGO</w:t>
      </w:r>
      <w:bookmarkEnd w:id="171"/>
      <w:bookmarkEnd w:id="172"/>
      <w:bookmarkEnd w:id="173"/>
      <w:bookmarkEnd w:id="174"/>
      <w:bookmarkEnd w:id="175"/>
    </w:p>
    <w:p w:rsidR="00CF00DE" w:rsidRDefault="00CF00DE" w:rsidP="00CF00DE">
      <w:pPr>
        <w:numPr>
          <w:ilvl w:val="0"/>
          <w:numId w:val="24"/>
        </w:numPr>
      </w:pPr>
      <w:r w:rsidRPr="006C7462">
        <w:t>The N</w:t>
      </w:r>
      <w:r>
        <w:t>G</w:t>
      </w:r>
      <w:r w:rsidRPr="006C7462">
        <w:t xml:space="preserve">O is the central feature of the </w:t>
      </w:r>
      <w:r>
        <w:t>regulatory</w:t>
      </w:r>
      <w:r w:rsidRPr="006C7462">
        <w:t xml:space="preserve"> framework. The N</w:t>
      </w:r>
      <w:r>
        <w:t>G</w:t>
      </w:r>
      <w:r w:rsidRPr="006C7462">
        <w:t>O is</w:t>
      </w:r>
    </w:p>
    <w:p w:rsidR="00CF00DE" w:rsidRDefault="00CF00DE" w:rsidP="00CF00DE">
      <w:pPr>
        <w:pStyle w:val="AERquoteindent2"/>
      </w:pPr>
      <w:r w:rsidRPr="006C7462">
        <w:t xml:space="preserve">to promote efficient investment in, and efficient operation and use of, </w:t>
      </w:r>
      <w:r>
        <w:t xml:space="preserve">natural gas </w:t>
      </w:r>
      <w:r w:rsidRPr="006C7462">
        <w:t xml:space="preserve">services for the long term interests of consumers of </w:t>
      </w:r>
      <w:r>
        <w:t>natural gas</w:t>
      </w:r>
      <w:r w:rsidRPr="006C7462">
        <w:t xml:space="preserve"> with respect to</w:t>
      </w:r>
      <w:r w:rsidRPr="00C5352F">
        <w:t xml:space="preserve"> </w:t>
      </w:r>
      <w:r w:rsidRPr="006C7462">
        <w:t xml:space="preserve">price, quality, safety, reliability and security of supply of </w:t>
      </w:r>
      <w:r>
        <w:t>natural gas.</w:t>
      </w:r>
      <w:r w:rsidRPr="00932612">
        <w:rPr>
          <w:rStyle w:val="FootnoteReference"/>
        </w:rPr>
        <w:t xml:space="preserve"> </w:t>
      </w:r>
      <w:r w:rsidRPr="006C7462">
        <w:rPr>
          <w:rStyle w:val="FootnoteReference"/>
        </w:rPr>
        <w:footnoteReference w:id="84"/>
      </w:r>
      <w:r w:rsidRPr="006C7462">
        <w:t xml:space="preserve">  </w:t>
      </w:r>
    </w:p>
    <w:p w:rsidR="00CF00DE" w:rsidRPr="006C7462" w:rsidRDefault="00CF00DE" w:rsidP="00CF00DE">
      <w:pPr>
        <w:pStyle w:val="ListParagraph"/>
        <w:numPr>
          <w:ilvl w:val="0"/>
          <w:numId w:val="24"/>
        </w:numPr>
      </w:pPr>
      <w:r w:rsidRPr="006C7462">
        <w:t>Energy Ministers have provided us with</w:t>
      </w:r>
      <w:r>
        <w:t xml:space="preserve"> a substantial body of explanatory material</w:t>
      </w:r>
      <w:r w:rsidRPr="006C7462">
        <w:t xml:space="preserve"> that guides our </w:t>
      </w:r>
      <w:r>
        <w:t>understanding of the NG</w:t>
      </w:r>
      <w:r w:rsidRPr="006C7462">
        <w:t>O.</w:t>
      </w:r>
      <w:r w:rsidRPr="006C7462">
        <w:rPr>
          <w:rStyle w:val="FootnoteReference"/>
        </w:rPr>
        <w:footnoteReference w:id="85"/>
      </w:r>
      <w:r>
        <w:t xml:space="preserve"> </w:t>
      </w:r>
      <w:r w:rsidRPr="006C7462">
        <w:t>The long term interests of consumers are no</w:t>
      </w:r>
      <w:r>
        <w:t>t delivered by any one of the NG</w:t>
      </w:r>
      <w:r w:rsidRPr="006C7462">
        <w:t>O's factors in isolation, but rather by balancing them</w:t>
      </w:r>
      <w:r>
        <w:t xml:space="preserve"> in reaching a regulatory decision</w:t>
      </w:r>
      <w:r w:rsidRPr="006C7462">
        <w:t>.</w:t>
      </w:r>
      <w:r w:rsidRPr="006C7462">
        <w:rPr>
          <w:rStyle w:val="FootnoteReference"/>
        </w:rPr>
        <w:footnoteReference w:id="86"/>
      </w:r>
    </w:p>
    <w:p w:rsidR="00CF00DE" w:rsidRDefault="00CF00DE" w:rsidP="00CF00DE">
      <w:pPr>
        <w:pStyle w:val="ListParagraph"/>
        <w:numPr>
          <w:ilvl w:val="0"/>
          <w:numId w:val="24"/>
        </w:numPr>
      </w:pPr>
      <w:r w:rsidRPr="006C7462">
        <w:t>In general, we consider that we will achieve this balance and, therefore, contrib</w:t>
      </w:r>
      <w:r>
        <w:t>ute to the achievement of the NG</w:t>
      </w:r>
      <w:r w:rsidRPr="006C7462">
        <w:t>O</w:t>
      </w:r>
      <w:r>
        <w:t>,</w:t>
      </w:r>
      <w:r w:rsidRPr="006C7462">
        <w:t xml:space="preserve"> where consumers </w:t>
      </w:r>
      <w:r>
        <w:t>are provided</w:t>
      </w:r>
      <w:r w:rsidRPr="006C7462">
        <w:t xml:space="preserve"> a reasonable level of </w:t>
      </w:r>
      <w:r>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87"/>
      </w:r>
      <w:r>
        <w:t xml:space="preserve"> We have also considered the quality and reliability of services provided to consumers. For example, the opex allowance and pass through mechanism approved in this </w:t>
      </w:r>
      <w:r w:rsidR="003C45A6">
        <w:t>final</w:t>
      </w:r>
      <w:r>
        <w:t xml:space="preserve"> decision </w:t>
      </w:r>
      <w:r w:rsidR="002D19F7">
        <w:t xml:space="preserve">have </w:t>
      </w:r>
      <w:r>
        <w:t>been set so that AGN can meet existing and new regulatory requirements. Our approved capex forecast includes expenditure to replace assets that are aged or in unacceptable condition. It also allows for augmentation and connections capex catering for expected areas of growth, and for upgrades to IT systems to maintain current service levels.</w:t>
      </w:r>
    </w:p>
    <w:p w:rsidR="00CF00DE" w:rsidRDefault="00CF00DE" w:rsidP="00CF00DE">
      <w:pPr>
        <w:pStyle w:val="ListParagraph"/>
        <w:numPr>
          <w:ilvl w:val="0"/>
          <w:numId w:val="24"/>
        </w:numPr>
      </w:pPr>
      <w:r w:rsidRPr="006C7462">
        <w:t xml:space="preserve">The nature of decisions </w:t>
      </w:r>
      <w:r>
        <w:t>under the NGR</w:t>
      </w:r>
      <w:r w:rsidRPr="006C7462">
        <w:t xml:space="preserve"> is such that there may be a range of economically efficient decisions, with different implications for the long term interests of consumers.</w:t>
      </w:r>
      <w:r w:rsidRPr="006C7462">
        <w:rPr>
          <w:rStyle w:val="FootnoteReference"/>
        </w:rPr>
        <w:footnoteReference w:id="88"/>
      </w:r>
      <w:r w:rsidRPr="006C7462">
        <w:t xml:space="preserve"> At the same time, however, there are a range of outcomes tha</w:t>
      </w:r>
      <w:r>
        <w:t>t are unlikely to advance the NG</w:t>
      </w:r>
      <w:r w:rsidRPr="006C7462">
        <w:t>O</w:t>
      </w:r>
      <w:r>
        <w:t>, or advance the NGO</w:t>
      </w:r>
      <w:r w:rsidRPr="006C7462">
        <w:t xml:space="preserve"> to </w:t>
      </w:r>
      <w:r>
        <w:t>the degree that others would</w:t>
      </w:r>
      <w:r w:rsidRPr="006C7462">
        <w:t xml:space="preserve">. </w:t>
      </w:r>
    </w:p>
    <w:p w:rsidR="00CF00DE" w:rsidRDefault="00CF00DE" w:rsidP="00CF00DE">
      <w:pPr>
        <w:pStyle w:val="ListParagraph"/>
        <w:numPr>
          <w:ilvl w:val="0"/>
          <w:numId w:val="24"/>
        </w:numPr>
      </w:pPr>
      <w:r w:rsidRPr="006C7462">
        <w:t>For example</w:t>
      </w:r>
      <w:r>
        <w:t>, we do not consider that the NG</w:t>
      </w:r>
      <w:r w:rsidRPr="006C7462">
        <w:t>O would be advanced if allowed revenues encourage overinvestment and result in prices so high that consumers are unwilling or unable to efficiently use the network.</w:t>
      </w:r>
      <w:r w:rsidRPr="006C7462">
        <w:rPr>
          <w:rStyle w:val="FootnoteReference"/>
        </w:rPr>
        <w:footnoteReference w:id="89"/>
      </w:r>
      <w:r w:rsidRPr="006C7462">
        <w:t xml:space="preserve"> This could have significant longer term pricing implications for those consumers who continue to use network services.</w:t>
      </w:r>
    </w:p>
    <w:p w:rsidR="00CF00DE" w:rsidRDefault="00CF00DE" w:rsidP="00CF00DE">
      <w:pPr>
        <w:pStyle w:val="ListParagraph"/>
        <w:numPr>
          <w:ilvl w:val="0"/>
          <w:numId w:val="24"/>
        </w:numPr>
      </w:pPr>
      <w:r w:rsidRPr="006C7462">
        <w:t>Eq</w:t>
      </w:r>
      <w:r>
        <w:t>ually, we do not consider the NG</w:t>
      </w:r>
      <w:r w:rsidRPr="006C7462">
        <w:t xml:space="preserv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90"/>
      </w:r>
      <w:r w:rsidRPr="006C7462">
        <w:t xml:space="preserve"> </w:t>
      </w:r>
      <w:r>
        <w:t>and</w:t>
      </w:r>
      <w:r w:rsidRPr="006C7462">
        <w:t xml:space="preserve"> </w:t>
      </w:r>
      <w:r>
        <w:t>could</w:t>
      </w:r>
      <w:r w:rsidRPr="006C7462">
        <w:t xml:space="preserve"> have adverse consequences for safety, security and reliability of the network. </w:t>
      </w:r>
    </w:p>
    <w:p w:rsidR="00CF00DE" w:rsidRPr="003B504B" w:rsidRDefault="00CF00DE" w:rsidP="00CF00DE">
      <w:r w:rsidRPr="006C7462">
        <w:t>The N</w:t>
      </w:r>
      <w:r>
        <w:t>G</w:t>
      </w:r>
      <w:r w:rsidRPr="006C7462">
        <w:t>L also includes the revenue and pricing principles (RPP</w:t>
      </w:r>
      <w:r>
        <w:t>s</w:t>
      </w:r>
      <w:r w:rsidRPr="006C7462">
        <w:t>), which support the N</w:t>
      </w:r>
      <w:r>
        <w:t>G</w:t>
      </w:r>
      <w:r w:rsidRPr="006C7462">
        <w:t>O.</w:t>
      </w:r>
      <w:r w:rsidRPr="006C7462">
        <w:rPr>
          <w:rStyle w:val="FootnoteReference"/>
        </w:rPr>
        <w:footnoteReference w:id="91"/>
      </w:r>
      <w:r w:rsidRPr="006C7462">
        <w:t xml:space="preserve"> As the N</w:t>
      </w:r>
      <w:r>
        <w:t>G</w:t>
      </w:r>
      <w:r w:rsidRPr="006C7462">
        <w:t>L requires,</w:t>
      </w:r>
      <w:r w:rsidRPr="006C7462">
        <w:rPr>
          <w:rStyle w:val="FootnoteReference"/>
        </w:rPr>
        <w:footnoteReference w:id="92"/>
      </w:r>
      <w:r w:rsidRPr="006C7462">
        <w:t xml:space="preserve"> we have taken the RPPs into account throughout our analysis. The RPPs are: </w:t>
      </w:r>
    </w:p>
    <w:p w:rsidR="00CF00DE" w:rsidRPr="00AF78C7" w:rsidRDefault="00CF00DE" w:rsidP="00CF00DE">
      <w:pPr>
        <w:pStyle w:val="AERquote"/>
      </w:pPr>
      <w:bookmarkStart w:id="176" w:name="id3d9e0c67_2587_487c_84b5_232488295210_a"/>
      <w:r w:rsidRPr="00AF78C7">
        <w:t xml:space="preserve">A service provider should be provided with a reasonable opportunity to recover at least the efficient costs the </w:t>
      </w:r>
      <w:r>
        <w:t>service provider</w:t>
      </w:r>
      <w:r w:rsidRPr="00AF78C7">
        <w:t xml:space="preserve"> incurs in—</w:t>
      </w:r>
      <w:bookmarkEnd w:id="176"/>
    </w:p>
    <w:p w:rsidR="00CF00DE" w:rsidRPr="00AF78C7" w:rsidRDefault="00CF00DE" w:rsidP="00CF00DE">
      <w:pPr>
        <w:pStyle w:val="AERquotebullet1"/>
      </w:pPr>
      <w:r w:rsidRPr="00AF78C7">
        <w:t xml:space="preserve">providing </w:t>
      </w:r>
      <w:r>
        <w:t>reference</w:t>
      </w:r>
      <w:r w:rsidRPr="00AF78C7">
        <w:t xml:space="preserve"> services; and</w:t>
      </w:r>
    </w:p>
    <w:p w:rsidR="00CF00DE" w:rsidRPr="00AF78C7" w:rsidRDefault="00CF00DE" w:rsidP="00CF00DE">
      <w:pPr>
        <w:pStyle w:val="AERquotebullet1"/>
      </w:pPr>
      <w:bookmarkStart w:id="177" w:name="id39d95c28_3773_4662_b32f_fead85a8dc26_0"/>
      <w:r w:rsidRPr="00AF78C7">
        <w:t>complying with a regulatory obligation or requirement or making a regulatory payment.</w:t>
      </w:r>
      <w:bookmarkEnd w:id="177"/>
    </w:p>
    <w:p w:rsidR="00CF00DE" w:rsidRPr="00AF78C7" w:rsidRDefault="00CF00DE" w:rsidP="00CF00DE">
      <w:pPr>
        <w:pStyle w:val="AERquote"/>
      </w:pPr>
      <w:r w:rsidRPr="00AF78C7">
        <w:t xml:space="preserve">A service provider should be provided with effective incentives in order to promote economic efficiency with respect to </w:t>
      </w:r>
      <w:r>
        <w:t>reference</w:t>
      </w:r>
      <w:r w:rsidRPr="00AF78C7">
        <w:t xml:space="preserve"> services the </w:t>
      </w:r>
      <w:r>
        <w:t>service provider</w:t>
      </w:r>
      <w:r w:rsidRPr="00AF78C7">
        <w:t xml:space="preserve"> provides. The economic efficiency that should be promoted includes—</w:t>
      </w:r>
    </w:p>
    <w:p w:rsidR="00CF00DE" w:rsidRPr="00AF78C7" w:rsidRDefault="00CF00DE" w:rsidP="00CF00DE">
      <w:pPr>
        <w:pStyle w:val="AERquotebullet1"/>
      </w:pPr>
      <w:r w:rsidRPr="00AF78C7">
        <w:t>efficient investment in</w:t>
      </w:r>
      <w:r>
        <w:t>, or in connection with, a pipeline</w:t>
      </w:r>
      <w:r w:rsidRPr="00AF78C7">
        <w:t xml:space="preserve"> with which the </w:t>
      </w:r>
      <w:r>
        <w:t>service provider</w:t>
      </w:r>
      <w:r w:rsidRPr="00AF78C7">
        <w:t xml:space="preserve"> provides </w:t>
      </w:r>
      <w:r>
        <w:t>reference</w:t>
      </w:r>
      <w:r w:rsidRPr="00AF78C7">
        <w:t xml:space="preserve"> services; and</w:t>
      </w:r>
    </w:p>
    <w:p w:rsidR="00CF00DE" w:rsidRPr="003B504B" w:rsidRDefault="00CF00DE" w:rsidP="00CF00DE">
      <w:pPr>
        <w:pStyle w:val="AERquotebullet1"/>
      </w:pPr>
      <w:r w:rsidRPr="00AF78C7">
        <w:t xml:space="preserve">the efficient provision of </w:t>
      </w:r>
      <w:r>
        <w:t>pipeline</w:t>
      </w:r>
      <w:r w:rsidRPr="00AF78C7">
        <w:t xml:space="preserve"> services; and</w:t>
      </w:r>
    </w:p>
    <w:p w:rsidR="00CF00DE" w:rsidRPr="00AF78C7" w:rsidRDefault="00CF00DE" w:rsidP="00CF00DE">
      <w:pPr>
        <w:pStyle w:val="AERquotebullet1"/>
      </w:pPr>
      <w:r w:rsidRPr="00AF78C7">
        <w:t xml:space="preserve">the efficient use of the </w:t>
      </w:r>
      <w:r>
        <w:t>pipeline</w:t>
      </w:r>
      <w:r w:rsidRPr="00AF78C7">
        <w:t>.</w:t>
      </w:r>
    </w:p>
    <w:p w:rsidR="00CF00DE" w:rsidRPr="00AF78C7" w:rsidRDefault="00CF00DE" w:rsidP="00CF00DE">
      <w:pPr>
        <w:pStyle w:val="AERquote"/>
      </w:pPr>
      <w:r w:rsidRPr="00AF78C7">
        <w:t xml:space="preserve">Regard should be had to the </w:t>
      </w:r>
      <w:r>
        <w:t>capital</w:t>
      </w:r>
      <w:r w:rsidRPr="00AF78C7">
        <w:t xml:space="preserve"> base with respect to a </w:t>
      </w:r>
      <w:r>
        <w:t>pipeline</w:t>
      </w:r>
      <w:r w:rsidRPr="00AF78C7">
        <w:t xml:space="preserve"> adopted—</w:t>
      </w:r>
    </w:p>
    <w:p w:rsidR="00CF00DE" w:rsidRPr="00AF78C7" w:rsidRDefault="00CF00DE" w:rsidP="00CF00DE">
      <w:pPr>
        <w:pStyle w:val="AERquotebullet1"/>
      </w:pPr>
      <w:r w:rsidRPr="00AF78C7">
        <w:t>in any previous—</w:t>
      </w:r>
    </w:p>
    <w:p w:rsidR="00CF00DE" w:rsidRPr="00CF00DE" w:rsidRDefault="00CF00DE" w:rsidP="0066139E">
      <w:pPr>
        <w:pStyle w:val="AERquotebullet1"/>
        <w:numPr>
          <w:ilvl w:val="1"/>
          <w:numId w:val="22"/>
        </w:numPr>
      </w:pPr>
      <w:r>
        <w:t>full access arrangement</w:t>
      </w:r>
      <w:r w:rsidRPr="00CF00DE">
        <w:t>; or</w:t>
      </w:r>
    </w:p>
    <w:p w:rsidR="00CF00DE" w:rsidRPr="00CF00DE" w:rsidRDefault="00CF00DE" w:rsidP="0066139E">
      <w:pPr>
        <w:pStyle w:val="AERquotebullet1"/>
        <w:numPr>
          <w:ilvl w:val="1"/>
          <w:numId w:val="22"/>
        </w:numPr>
      </w:pPr>
      <w:r>
        <w:t>decision of a relevant regulator under section 2 of the Gas Code</w:t>
      </w:r>
      <w:r w:rsidRPr="00CF00DE">
        <w:t>; or</w:t>
      </w:r>
    </w:p>
    <w:p w:rsidR="00CF00DE" w:rsidRPr="00AF78C7" w:rsidRDefault="00CF00DE" w:rsidP="00CF00DE">
      <w:pPr>
        <w:pStyle w:val="AERquotebullet1"/>
      </w:pPr>
      <w:r w:rsidRPr="00AF78C7">
        <w:t>in the Rules.</w:t>
      </w:r>
    </w:p>
    <w:p w:rsidR="00CF00DE" w:rsidRPr="00AF78C7" w:rsidRDefault="00CF00DE" w:rsidP="00CF00DE">
      <w:pPr>
        <w:pStyle w:val="AERquote"/>
      </w:pPr>
      <w:r>
        <w:t>A reference tariff</w:t>
      </w:r>
      <w:r w:rsidRPr="00AF78C7">
        <w:t xml:space="preserve"> should allow for a return commensurate with the regulatory and commercial risks involved in providing the </w:t>
      </w:r>
      <w:r>
        <w:t>reference</w:t>
      </w:r>
      <w:r w:rsidRPr="00AF78C7">
        <w:t xml:space="preserve"> service to which that </w:t>
      </w:r>
      <w:r>
        <w:t>tariff</w:t>
      </w:r>
      <w:r w:rsidRPr="00AF78C7">
        <w:t xml:space="preserve"> relates.</w:t>
      </w:r>
    </w:p>
    <w:p w:rsidR="00CF00DE" w:rsidRPr="00AF78C7" w:rsidRDefault="00CF00DE" w:rsidP="00CF00DE">
      <w:pPr>
        <w:pStyle w:val="AERquote"/>
      </w:pPr>
      <w:r w:rsidRPr="00AF78C7">
        <w:t>Regard should be had to the economic costs and risks of the potential for under and over investment by a service provider in</w:t>
      </w:r>
      <w:r>
        <w:t xml:space="preserve"> a pipeline</w:t>
      </w:r>
      <w:r w:rsidRPr="00AF78C7">
        <w:t xml:space="preserve"> with which the </w:t>
      </w:r>
      <w:r>
        <w:t>service provider</w:t>
      </w:r>
      <w:r w:rsidRPr="00AF78C7">
        <w:t xml:space="preserve"> provides </w:t>
      </w:r>
      <w:r>
        <w:t>pipeline</w:t>
      </w:r>
      <w:r w:rsidRPr="00AF78C7">
        <w:t xml:space="preserve"> services.</w:t>
      </w:r>
    </w:p>
    <w:p w:rsidR="00CF00DE" w:rsidRDefault="00CF00DE" w:rsidP="00CF00DE">
      <w:pPr>
        <w:pStyle w:val="AERquote"/>
      </w:pPr>
      <w:r w:rsidRPr="006C7462">
        <w:t xml:space="preserve">Regard should be had to the economic costs and risks of the potential for under and over utilisation of a </w:t>
      </w:r>
      <w:r>
        <w:t>pipeline</w:t>
      </w:r>
      <w:r w:rsidRPr="006C7462">
        <w:t xml:space="preserve"> with which a service provider provides </w:t>
      </w:r>
      <w:r>
        <w:t>pipeline</w:t>
      </w:r>
      <w:r w:rsidRPr="006C7462">
        <w:t xml:space="preserve"> services. </w:t>
      </w:r>
    </w:p>
    <w:p w:rsidR="00CF00DE" w:rsidRDefault="00CF00DE" w:rsidP="00CF00DE">
      <w:pPr>
        <w:numPr>
          <w:ilvl w:val="0"/>
          <w:numId w:val="24"/>
        </w:numPr>
      </w:pPr>
      <w:r>
        <w:t>Consistent with Energy Ministers' views, we set the amount of revenue that service providers can recover from customers to balance all of the elements of the NGO and consider each of the RPPs.</w:t>
      </w:r>
      <w:r>
        <w:rPr>
          <w:rStyle w:val="FootnoteReference"/>
        </w:rPr>
        <w:footnoteReference w:id="93"/>
      </w:r>
      <w:r>
        <w:t xml:space="preserve"> For example:</w:t>
      </w:r>
    </w:p>
    <w:p w:rsidR="00CF00DE" w:rsidRPr="00A35C7A" w:rsidRDefault="00CF00DE" w:rsidP="00CF00DE">
      <w:pPr>
        <w:pStyle w:val="AERbulletlistfirststyle"/>
      </w:pPr>
      <w:r w:rsidRPr="00232478">
        <w:t xml:space="preserve">In determining forecast opex and capex that reasonably reflects the opex and capex </w:t>
      </w:r>
      <w:r w:rsidRPr="00A06587">
        <w:t xml:space="preserve">criteria, we take into account the revenue and pricing principle that we should provide </w:t>
      </w:r>
      <w:r w:rsidRPr="00E90ACB">
        <w:t xml:space="preserve">AGN with a reasonable opportunity to recover at least efficient costs. (Refer to </w:t>
      </w:r>
      <w:r w:rsidR="0066139E">
        <w:t>A</w:t>
      </w:r>
      <w:r w:rsidRPr="00E90ACB">
        <w:t>ttachment 6</w:t>
      </w:r>
      <w:r w:rsidR="0066139E">
        <w:t>–capex and Attachment 7–</w:t>
      </w:r>
      <w:r w:rsidRPr="00E90ACB">
        <w:t>opex).</w:t>
      </w:r>
      <w:r w:rsidRPr="00A35C7A">
        <w:t xml:space="preserve"> </w:t>
      </w:r>
    </w:p>
    <w:p w:rsidR="00CF00DE" w:rsidRPr="00A35C7A" w:rsidRDefault="00CF00DE" w:rsidP="00CF00DE">
      <w:pPr>
        <w:pStyle w:val="AERbulletlistfirststyle"/>
      </w:pPr>
      <w:r w:rsidRPr="00A35C7A">
        <w:t xml:space="preserve">We take into account the economic costs and risks of the potential for under and over investment by a service provider in our assessment </w:t>
      </w:r>
      <w:r w:rsidRPr="00C10631">
        <w:t>AGN</w:t>
      </w:r>
      <w:r w:rsidRPr="00A06587">
        <w:t>'s</w:t>
      </w:r>
      <w:r w:rsidRPr="00E90ACB">
        <w:t xml:space="preserve"> forecast </w:t>
      </w:r>
      <w:r>
        <w:t>capex</w:t>
      </w:r>
      <w:r w:rsidRPr="00E90ACB">
        <w:t xml:space="preserve"> and </w:t>
      </w:r>
      <w:r>
        <w:t>opex</w:t>
      </w:r>
      <w:r w:rsidRPr="00E90ACB">
        <w:t xml:space="preserve"> proposals</w:t>
      </w:r>
      <w:r w:rsidRPr="00A35C7A">
        <w:t xml:space="preserve">. (Refer to </w:t>
      </w:r>
      <w:r w:rsidR="0066139E">
        <w:t>A</w:t>
      </w:r>
      <w:r w:rsidRPr="00A35C7A">
        <w:t>ttachment 6</w:t>
      </w:r>
      <w:r w:rsidR="0066139E">
        <w:t>–capex</w:t>
      </w:r>
      <w:r w:rsidRPr="00A35C7A">
        <w:t xml:space="preserve"> and </w:t>
      </w:r>
      <w:r w:rsidR="0066139E">
        <w:t>Attachment 7–</w:t>
      </w:r>
      <w:r w:rsidRPr="00A35C7A">
        <w:t>opex).</w:t>
      </w:r>
    </w:p>
    <w:p w:rsidR="00CF00DE" w:rsidRPr="00A35C7A" w:rsidRDefault="00CF00DE" w:rsidP="00CF00DE">
      <w:pPr>
        <w:pStyle w:val="AERbulletlistfirststyle"/>
      </w:pPr>
      <w:r w:rsidRPr="00A35C7A">
        <w:t xml:space="preserve">We consider the economic costs and risks of the potential for under and over utilisation of </w:t>
      </w:r>
      <w:r w:rsidRPr="00C10631">
        <w:t>AGN</w:t>
      </w:r>
      <w:r w:rsidRPr="00A06587">
        <w:t>'s</w:t>
      </w:r>
      <w:r w:rsidRPr="00E90ACB">
        <w:t xml:space="preserve"> distribution system in our </w:t>
      </w:r>
      <w:r>
        <w:t xml:space="preserve">decisions on </w:t>
      </w:r>
      <w:r w:rsidRPr="00E90ACB">
        <w:t xml:space="preserve">demand forecasting and </w:t>
      </w:r>
      <w:r>
        <w:t xml:space="preserve">forecast </w:t>
      </w:r>
      <w:r w:rsidRPr="00E90ACB">
        <w:t xml:space="preserve">augmentation </w:t>
      </w:r>
      <w:r>
        <w:t>capex</w:t>
      </w:r>
      <w:r w:rsidRPr="00E90ACB">
        <w:t xml:space="preserve"> </w:t>
      </w:r>
      <w:r w:rsidRPr="00A35C7A">
        <w:t xml:space="preserve">(Refer to </w:t>
      </w:r>
      <w:r w:rsidR="0066139E">
        <w:t>A</w:t>
      </w:r>
      <w:r w:rsidRPr="00A35C7A">
        <w:t>ttachment 6</w:t>
      </w:r>
      <w:r w:rsidR="0066139E">
        <w:t>–capex</w:t>
      </w:r>
      <w:r w:rsidRPr="00A35C7A">
        <w:t xml:space="preserve"> and </w:t>
      </w:r>
      <w:r w:rsidR="0066139E">
        <w:t>A</w:t>
      </w:r>
      <w:r w:rsidRPr="00A35C7A">
        <w:t>ttachment 13</w:t>
      </w:r>
      <w:r w:rsidR="0066139E">
        <w:t>–demand</w:t>
      </w:r>
      <w:r w:rsidRPr="00A35C7A">
        <w:t>).</w:t>
      </w:r>
    </w:p>
    <w:p w:rsidR="00CF00DE" w:rsidRPr="00E90ACB" w:rsidRDefault="00CF00DE" w:rsidP="00CF00DE">
      <w:pPr>
        <w:pStyle w:val="AERbulletlistfirststyle"/>
      </w:pPr>
      <w:r w:rsidRPr="00A35C7A">
        <w:t>Our application o</w:t>
      </w:r>
      <w:r>
        <w:t>f</w:t>
      </w:r>
      <w:r w:rsidRPr="00A35C7A">
        <w:t xml:space="preserve"> the </w:t>
      </w:r>
      <w:r w:rsidRPr="00C10631">
        <w:t>efficiency carryover mechanism</w:t>
      </w:r>
      <w:r w:rsidRPr="00A06587">
        <w:t xml:space="preserve"> in this de</w:t>
      </w:r>
      <w:r>
        <w:t>cis</w:t>
      </w:r>
      <w:r w:rsidRPr="00A06587">
        <w:t>ion provides AGN</w:t>
      </w:r>
      <w:r w:rsidRPr="00E90ACB">
        <w:t xml:space="preserve"> with effective incentives which we consider will promote economic efficiency with respect to the </w:t>
      </w:r>
      <w:r w:rsidRPr="00A35C7A">
        <w:t>reference service that A</w:t>
      </w:r>
      <w:r w:rsidRPr="00C10631">
        <w:t xml:space="preserve">GN provides throughout the </w:t>
      </w:r>
      <w:r w:rsidRPr="00A06587">
        <w:t xml:space="preserve">access arrangement period. (Refer to </w:t>
      </w:r>
      <w:r w:rsidR="003E79EE">
        <w:t>A</w:t>
      </w:r>
      <w:r w:rsidRPr="00A06587">
        <w:t>ttachment 9</w:t>
      </w:r>
      <w:r w:rsidR="003E79EE">
        <w:t>–efficiency carryover mechanism</w:t>
      </w:r>
      <w:r w:rsidRPr="00A06587">
        <w:t xml:space="preserve"> and </w:t>
      </w:r>
      <w:r w:rsidR="003E79EE">
        <w:t xml:space="preserve">Attachment </w:t>
      </w:r>
      <w:r w:rsidRPr="00A06587">
        <w:t>14</w:t>
      </w:r>
      <w:r w:rsidR="003E79EE">
        <w:t>–other incentive schemes</w:t>
      </w:r>
      <w:r w:rsidRPr="00E90ACB">
        <w:t xml:space="preserve">). </w:t>
      </w:r>
    </w:p>
    <w:p w:rsidR="00CF00DE" w:rsidRPr="00A06587" w:rsidRDefault="00CF00DE" w:rsidP="00CF00DE">
      <w:pPr>
        <w:pStyle w:val="AERbulletlistfirststyle"/>
      </w:pPr>
      <w:r w:rsidRPr="00E90ACB">
        <w:t>We have determined AGN's opening capital base</w:t>
      </w:r>
      <w:r w:rsidRPr="00D42A60">
        <w:t xml:space="preserve"> taking into account the c</w:t>
      </w:r>
      <w:r w:rsidRPr="00886FD6">
        <w:t>apital</w:t>
      </w:r>
      <w:r w:rsidRPr="00A35C7A">
        <w:t xml:space="preserve"> adopted in the previous </w:t>
      </w:r>
      <w:r>
        <w:t>access arrangement</w:t>
      </w:r>
      <w:r w:rsidRPr="00A35C7A">
        <w:t xml:space="preserve">. (Refer to </w:t>
      </w:r>
      <w:r w:rsidR="003E79EE">
        <w:t>A</w:t>
      </w:r>
      <w:r w:rsidRPr="00A35C7A">
        <w:t>ttachment 2</w:t>
      </w:r>
      <w:r w:rsidR="003E79EE">
        <w:t>–</w:t>
      </w:r>
      <w:r w:rsidRPr="00A35C7A">
        <w:t>capital</w:t>
      </w:r>
      <w:r w:rsidRPr="00C10631">
        <w:t xml:space="preserve"> base).</w:t>
      </w:r>
    </w:p>
    <w:p w:rsidR="00CF00DE" w:rsidRPr="00C10631" w:rsidRDefault="00CF00DE" w:rsidP="00CF00DE">
      <w:pPr>
        <w:pStyle w:val="AERbulletlistfirststyle"/>
      </w:pPr>
      <w:r w:rsidRPr="00A06587">
        <w:t>The allowed rate of return objective reflects the revenue and pricing principle in s</w:t>
      </w:r>
      <w:r>
        <w:t xml:space="preserve">ection </w:t>
      </w:r>
      <w:r w:rsidRPr="00A06587">
        <w:t>24(5)</w:t>
      </w:r>
      <w:r w:rsidR="003670C2">
        <w:t xml:space="preserve"> of the NGL</w:t>
      </w:r>
      <w:r w:rsidRPr="00A06587">
        <w:t>. We have determined a rate of return that we consider will provide AGN</w:t>
      </w:r>
      <w:r w:rsidRPr="00E90ACB">
        <w:t xml:space="preserve"> </w:t>
      </w:r>
      <w:r w:rsidRPr="00A35C7A">
        <w:t xml:space="preserve">with a return commensurate with the regulatory and commercial risks involved in providing pipeline services. </w:t>
      </w:r>
      <w:r w:rsidRPr="00C10631">
        <w:t xml:space="preserve">(Refer to </w:t>
      </w:r>
      <w:r w:rsidR="003E79EE">
        <w:t>A</w:t>
      </w:r>
      <w:r w:rsidRPr="00C10631">
        <w:t>ttachment 3</w:t>
      </w:r>
      <w:r w:rsidR="003E79EE">
        <w:t>–</w:t>
      </w:r>
      <w:r w:rsidRPr="00C10631">
        <w:t>rate of return).</w:t>
      </w:r>
    </w:p>
    <w:p w:rsidR="00CF00DE" w:rsidRPr="00A35C7A" w:rsidRDefault="00CF00DE" w:rsidP="00CF00DE">
      <w:pPr>
        <w:pStyle w:val="AERbulletlistfirststyle"/>
      </w:pPr>
      <w:r w:rsidRPr="00A06587">
        <w:t>Our financing determinations provide AGN</w:t>
      </w:r>
      <w:r w:rsidRPr="00E90ACB">
        <w:t xml:space="preserve"> </w:t>
      </w:r>
      <w:r w:rsidRPr="00D42A60">
        <w:t>with a reasonable opportunity to recover at least the</w:t>
      </w:r>
      <w:r w:rsidRPr="00A35C7A">
        <w:t xml:space="preserve"> efficient costs of accessing debt and capital. (Refer to </w:t>
      </w:r>
      <w:r w:rsidR="003E79EE">
        <w:t>A</w:t>
      </w:r>
      <w:r w:rsidRPr="00A35C7A">
        <w:t>ttachment 3</w:t>
      </w:r>
      <w:r w:rsidR="003E79EE">
        <w:t>–</w:t>
      </w:r>
      <w:r w:rsidRPr="00A35C7A">
        <w:t>rate of return).</w:t>
      </w:r>
    </w:p>
    <w:p w:rsidR="00CF00DE" w:rsidRPr="001B46C8" w:rsidRDefault="00CF00DE" w:rsidP="00CF00DE">
      <w:pPr>
        <w:rPr>
          <w:rStyle w:val="AERbody"/>
        </w:rPr>
      </w:pPr>
      <w:r w:rsidRPr="001B46C8">
        <w:rPr>
          <w:rStyle w:val="AERbody"/>
        </w:rPr>
        <w:t xml:space="preserve">In </w:t>
      </w:r>
      <w:r>
        <w:rPr>
          <w:rStyle w:val="AERbody"/>
        </w:rPr>
        <w:t xml:space="preserve">some </w:t>
      </w:r>
      <w:r w:rsidRPr="001B46C8">
        <w:rPr>
          <w:rStyle w:val="AERbody"/>
        </w:rPr>
        <w:t xml:space="preserve">cases, our approach to a particular component (or part thereof) results in an outcome towards the end of the range of options </w:t>
      </w:r>
      <w:r>
        <w:rPr>
          <w:rStyle w:val="AERbody"/>
        </w:rPr>
        <w:t>that may be</w:t>
      </w:r>
      <w:r w:rsidRPr="001B46C8">
        <w:rPr>
          <w:rStyle w:val="AERbody"/>
        </w:rPr>
        <w:t xml:space="preserve"> favourable to the businesses, for example, our choice of equity beta.</w:t>
      </w:r>
      <w:r w:rsidRPr="00FF25A5">
        <w:rPr>
          <w:rStyle w:val="AERsuperscript"/>
        </w:rPr>
        <w:t xml:space="preserve"> </w:t>
      </w:r>
      <w:r w:rsidRPr="001B46C8">
        <w:rPr>
          <w:rStyle w:val="AERbody"/>
        </w:rPr>
        <w:t>Some of these decisions include:</w:t>
      </w:r>
    </w:p>
    <w:p w:rsidR="00CF00DE" w:rsidRPr="00A06587" w:rsidRDefault="00CF00DE" w:rsidP="00CF00DE">
      <w:pPr>
        <w:pStyle w:val="AERbulletlistfirststyle"/>
        <w:rPr>
          <w:rStyle w:val="AERbody"/>
        </w:rPr>
      </w:pPr>
      <w:r w:rsidRPr="00A06587">
        <w:rPr>
          <w:rStyle w:val="AERbody"/>
        </w:rPr>
        <w:t>selecting at the top of the range for the equity beta</w:t>
      </w:r>
    </w:p>
    <w:p w:rsidR="00CF00DE" w:rsidRPr="00E90ACB" w:rsidRDefault="00CF00DE" w:rsidP="00CF00DE">
      <w:pPr>
        <w:pStyle w:val="AERbulletlistfirststyle"/>
        <w:rPr>
          <w:rStyle w:val="AERbody"/>
        </w:rPr>
      </w:pPr>
      <w:r w:rsidRPr="00E90ACB">
        <w:rPr>
          <w:rStyle w:val="AERbody"/>
        </w:rPr>
        <w:t>setting the return on debt by reference to data for a BBB broad band credit rating, when the benchmark is BBB+</w:t>
      </w:r>
    </w:p>
    <w:p w:rsidR="00CF00DE" w:rsidRPr="001B46C8" w:rsidRDefault="00CF00DE" w:rsidP="00CF00DE">
      <w:pPr>
        <w:pStyle w:val="AERbulletlistfirststyle"/>
        <w:rPr>
          <w:rStyle w:val="AERbody"/>
        </w:rPr>
      </w:pPr>
      <w:r w:rsidRPr="00E90ACB">
        <w:rPr>
          <w:rStyle w:val="AERbody"/>
        </w:rPr>
        <w:t>the cash flow</w:t>
      </w:r>
      <w:r w:rsidRPr="001B46C8">
        <w:rPr>
          <w:rStyle w:val="AERbody"/>
        </w:rPr>
        <w:t xml:space="preserve"> timing assumptions in the post-tax revenue model. </w:t>
      </w:r>
    </w:p>
    <w:p w:rsidR="00CF00DE" w:rsidRDefault="00CF00DE" w:rsidP="00CF00DE">
      <w:pPr>
        <w:rPr>
          <w:rStyle w:val="AERbody"/>
        </w:rPr>
      </w:pPr>
      <w:r>
        <w:t>We</w:t>
      </w:r>
      <w:r w:rsidRPr="00A34B93">
        <w:t xml:space="preserve"> take into account the RPPs when exercising discretion </w:t>
      </w:r>
      <w:r>
        <w:t xml:space="preserve">about an appropriate estimate. </w:t>
      </w:r>
      <w:r w:rsidRPr="00A34B93">
        <w:t xml:space="preserve">This requires </w:t>
      </w:r>
      <w:r>
        <w:t xml:space="preserve">a </w:t>
      </w:r>
      <w:r w:rsidRPr="00A34B93">
        <w:t>recognition that</w:t>
      </w:r>
      <w:r>
        <w:t xml:space="preserve"> </w:t>
      </w:r>
      <w:r w:rsidRPr="00A34B93">
        <w:t>for the long term interests of consumer</w:t>
      </w:r>
      <w:r>
        <w:t>s,</w:t>
      </w:r>
      <w:r w:rsidRPr="00A34B93">
        <w:t xml:space="preserve"> the risk of under compensation for, or underinvestment by, a service provider may be less desirable than </w:t>
      </w:r>
      <w:r>
        <w:t xml:space="preserve">the risk of </w:t>
      </w:r>
      <w:r w:rsidRPr="00A34B93">
        <w:t>overcompensation or overinvestment.</w:t>
      </w:r>
      <w:r>
        <w:t xml:space="preserve"> However, we are</w:t>
      </w:r>
      <w:r w:rsidRPr="00A34B93">
        <w:t xml:space="preserve"> also conscious of the risk of introducing an inherent bias towards higher amounts where estimates throughout the different components of the </w:t>
      </w:r>
      <w:r>
        <w:t>forecast revenue requirement</w:t>
      </w:r>
      <w:r w:rsidRPr="00A34B93">
        <w:t xml:space="preserve"> are each set too conservatively.</w:t>
      </w:r>
      <w:r>
        <w:rPr>
          <w:rStyle w:val="FootnoteReference"/>
        </w:rPr>
        <w:footnoteReference w:id="94"/>
      </w:r>
      <w:r w:rsidRPr="00A34B93">
        <w:t xml:space="preserve"> The legislative framework recognises the complexity of this task by providing </w:t>
      </w:r>
      <w:r>
        <w:t>us</w:t>
      </w:r>
      <w:r w:rsidRPr="00A34B93">
        <w:t xml:space="preserve"> with significant discretion in many aspects of the decision-making process to make judgements on these matters.</w:t>
      </w:r>
    </w:p>
    <w:p w:rsidR="00CF00DE" w:rsidRDefault="00CF00DE" w:rsidP="00CF00DE">
      <w:pPr>
        <w:numPr>
          <w:ilvl w:val="0"/>
          <w:numId w:val="24"/>
        </w:numPr>
      </w:pPr>
      <w:r>
        <w:t>Part 9</w:t>
      </w:r>
      <w:r w:rsidRPr="00892ECD">
        <w:t xml:space="preserve"> of the N</w:t>
      </w:r>
      <w:r>
        <w:t>G</w:t>
      </w:r>
      <w:r w:rsidRPr="00892ECD">
        <w:t xml:space="preserve">R provides </w:t>
      </w:r>
      <w:r>
        <w:t xml:space="preserve">specifically for the </w:t>
      </w:r>
      <w:r w:rsidRPr="00892ECD">
        <w:t xml:space="preserve">economic regulation of </w:t>
      </w:r>
      <w:r>
        <w:t>covered pipelines. It includes detailed rules about the individual components of our decisions. These are intended to contribute to the achievement of the NGO</w:t>
      </w:r>
      <w:r w:rsidRPr="00715EF7">
        <w:t>.</w:t>
      </w:r>
    </w:p>
    <w:p w:rsidR="00CF00DE" w:rsidRDefault="00CF00DE" w:rsidP="00CF00DE">
      <w:pPr>
        <w:pStyle w:val="Heading2"/>
      </w:pPr>
      <w:bookmarkStart w:id="178" w:name="_Toc404154709"/>
      <w:bookmarkStart w:id="179" w:name="_Toc430002800"/>
      <w:bookmarkStart w:id="180" w:name="_Toc436037712"/>
      <w:bookmarkStart w:id="181" w:name="_Toc451873383"/>
      <w:bookmarkEnd w:id="178"/>
      <w:r>
        <w:t>Achieving the NGO to the greatest degree</w:t>
      </w:r>
      <w:bookmarkEnd w:id="179"/>
      <w:bookmarkEnd w:id="180"/>
      <w:bookmarkEnd w:id="181"/>
    </w:p>
    <w:p w:rsidR="00CF00DE" w:rsidRDefault="00CF00DE" w:rsidP="00CF00DE">
      <w:pPr>
        <w:numPr>
          <w:ilvl w:val="0"/>
          <w:numId w:val="24"/>
        </w:numPr>
      </w:pPr>
      <w:bookmarkStart w:id="182" w:name="_Toc409422588"/>
      <w:bookmarkStart w:id="183" w:name="_Ref409431158"/>
      <w:bookmarkStart w:id="184" w:name="_Toc411428071"/>
      <w:r w:rsidRPr="00C362C1">
        <w:t>A</w:t>
      </w:r>
      <w:r>
        <w:t>n access arrangement decision is</w:t>
      </w:r>
      <w:r w:rsidRPr="00C362C1">
        <w:t xml:space="preserve"> complex and must be considered as such.</w:t>
      </w:r>
      <w:r>
        <w:t xml:space="preserve"> In most instances, the provisions of the NGR do not point to a single answer, either for our decision as a whole or in respect of particular components. They require us to exercise our regulatory judgment. For example, Part 9 of the NGR requires us to prepare forecasts, which are predictions about unknown future circumstances. As a result, there will likely always be more than one plausible forecast. There is substantial debate amongst stakeholders about the costs we must forecast, with both sides often supported by expert opinion. As a result, for certain components of our decision there may be several plausible answers or several plausible point estimates. </w:t>
      </w:r>
    </w:p>
    <w:p w:rsidR="00CF00DE" w:rsidRDefault="00CF00DE" w:rsidP="00CF00DE">
      <w:pPr>
        <w:numPr>
          <w:ilvl w:val="0"/>
          <w:numId w:val="24"/>
        </w:numPr>
      </w:pPr>
      <w:r>
        <w:t xml:space="preserve">When the components of our decision are considered together, this means there will almost always be several potential, overall decisions. More than one of these may contribute to the achievement of the NGO. Where this is the case, our role is to make an overall decision that we are satisfied contributes to the achievement of the NGO to the </w:t>
      </w:r>
      <w:r w:rsidRPr="00366D90">
        <w:rPr>
          <w:rStyle w:val="AERtextitalic"/>
        </w:rPr>
        <w:t>greatest</w:t>
      </w:r>
      <w:r>
        <w:t xml:space="preserve"> degree.</w:t>
      </w:r>
      <w:r>
        <w:rPr>
          <w:rStyle w:val="FootnoteReference"/>
        </w:rPr>
        <w:footnoteReference w:id="95"/>
      </w:r>
      <w:r>
        <w:t xml:space="preserve"> </w:t>
      </w:r>
    </w:p>
    <w:p w:rsidR="00CF00DE" w:rsidRDefault="00CF00DE" w:rsidP="00CF00DE">
      <w:pPr>
        <w:numPr>
          <w:ilvl w:val="0"/>
          <w:numId w:val="24"/>
        </w:numPr>
      </w:pPr>
      <w:r>
        <w:t xml:space="preserve">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NGO, we have selected what we are satisfied would result in an overall decision that contributes to the achievement of the NGO to the greatest degree. </w:t>
      </w:r>
    </w:p>
    <w:p w:rsidR="00CF00DE" w:rsidRDefault="00CF00DE" w:rsidP="00CF00DE">
      <w:r>
        <w:t xml:space="preserve">Also, in coming to this </w:t>
      </w:r>
      <w:r w:rsidR="003C45A6">
        <w:t>final</w:t>
      </w:r>
      <w:r>
        <w:t xml:space="preserve"> decision we have considered AGN’s proposal. We have examined each of the building block components of the forecast revenue requirement, and the incentive mechanisms that should apply across the next access arrangement period. We have considered submissions we received in regard to AGN’s proposal. We have conducted our own analysis and engaged expert consultants to help us better understand if and how AGN’s proposal contributes to the achievement of the NGO. We have also considered how the individual components of our decision relate to each other, the impact that particular components of our decision have on others, and have described these interrelationships in this </w:t>
      </w:r>
      <w:r w:rsidR="003C45A6">
        <w:t>final</w:t>
      </w:r>
      <w:r>
        <w:t xml:space="preserve"> decision. We have had regard to and weighed up all of the information assembled before us in making this </w:t>
      </w:r>
      <w:r w:rsidR="003C45A6">
        <w:t>final</w:t>
      </w:r>
      <w:r>
        <w:t xml:space="preserve"> decision, and have made as much of this information publicly available as practicable for the purposes of consultation.</w:t>
      </w:r>
    </w:p>
    <w:p w:rsidR="00CF00DE" w:rsidRPr="00366D90" w:rsidRDefault="00CF00DE" w:rsidP="00CF00DE">
      <w:r>
        <w:t xml:space="preserve">Therefore, we are satisfied that among the options before us, our </w:t>
      </w:r>
      <w:r w:rsidR="003C45A6">
        <w:t>final</w:t>
      </w:r>
      <w:r>
        <w:t xml:space="preserve"> decision on AGN’s access arrangement for the 2016–21 access arrangement period contributes to achieving the NGO to the greatest degree.</w:t>
      </w:r>
    </w:p>
    <w:p w:rsidR="00CF00DE" w:rsidRDefault="00CF00DE" w:rsidP="00CF00DE">
      <w:pPr>
        <w:pStyle w:val="Heading3"/>
      </w:pPr>
      <w:bookmarkStart w:id="185" w:name="_Toc430002801"/>
      <w:bookmarkStart w:id="186" w:name="_Ref434235701"/>
      <w:bookmarkStart w:id="187" w:name="_Toc436037713"/>
      <w:bookmarkStart w:id="188" w:name="_Toc451873384"/>
      <w:bookmarkEnd w:id="182"/>
      <w:bookmarkEnd w:id="183"/>
      <w:bookmarkEnd w:id="184"/>
      <w:r>
        <w:t>Interrelationships between individual components</w:t>
      </w:r>
      <w:bookmarkEnd w:id="185"/>
      <w:bookmarkEnd w:id="186"/>
      <w:bookmarkEnd w:id="187"/>
      <w:bookmarkEnd w:id="188"/>
    </w:p>
    <w:p w:rsidR="00CF00DE" w:rsidRPr="00C362C1" w:rsidRDefault="00CF00DE" w:rsidP="00CF00DE">
      <w:r w:rsidRPr="009D2C84">
        <w:t xml:space="preserve">Considering </w:t>
      </w:r>
      <w:r>
        <w:t>individual</w:t>
      </w:r>
      <w:r w:rsidRPr="009D2C84">
        <w:t xml:space="preserve"> components in isolation ignores the importance of interrelationships between components </w:t>
      </w:r>
      <w:r>
        <w:t xml:space="preserve">of the overall decision, </w:t>
      </w:r>
      <w:r w:rsidRPr="009D2C84">
        <w:t>and would not contribute to the achievement of the N</w:t>
      </w:r>
      <w:r>
        <w:t>G</w:t>
      </w:r>
      <w:r w:rsidRPr="009D2C84">
        <w:t>O. As outlined by Energy Ministers, considering the elements in isolation has resulted in regulatory failures in the past.</w:t>
      </w:r>
      <w:r w:rsidRPr="009D2C84">
        <w:rPr>
          <w:rStyle w:val="FootnoteReference"/>
        </w:rPr>
        <w:footnoteReference w:id="96"/>
      </w:r>
      <w:r w:rsidRPr="009D2C84">
        <w:t xml:space="preserve"> Interrelationships can take various forms, including:</w:t>
      </w:r>
    </w:p>
    <w:p w:rsidR="00CF00DE" w:rsidRPr="00C362C1" w:rsidRDefault="00CF00DE" w:rsidP="00CF00DE">
      <w:pPr>
        <w:pStyle w:val="AERbulletlistfirststyle"/>
      </w:pPr>
      <w:r w:rsidRPr="00C362C1">
        <w:t xml:space="preserve">underlying drivers and context which are likely to affect many constituent components of our decision. For example, forecast demand affects </w:t>
      </w:r>
      <w:r>
        <w:t xml:space="preserve">forecasts of </w:t>
      </w:r>
      <w:r w:rsidRPr="00C362C1">
        <w:t xml:space="preserve">the efficient levels of capex and opex in the </w:t>
      </w:r>
      <w:r>
        <w:t>access</w:t>
      </w:r>
      <w:r w:rsidRPr="00C362C1">
        <w:t xml:space="preserve"> </w:t>
      </w:r>
      <w:r>
        <w:t xml:space="preserve">arrangement </w:t>
      </w:r>
      <w:r w:rsidRPr="00C362C1">
        <w:t xml:space="preserve">period </w:t>
      </w:r>
      <w:r>
        <w:t>(see attachment</w:t>
      </w:r>
      <w:r w:rsidR="003E79EE">
        <w:t>s</w:t>
      </w:r>
      <w:r>
        <w:t xml:space="preserve"> 6, 7 and 13)</w:t>
      </w:r>
      <w:r w:rsidRPr="00C362C1">
        <w:t>.</w:t>
      </w:r>
    </w:p>
    <w:p w:rsidR="00CF00DE" w:rsidRPr="00C362C1" w:rsidRDefault="00CF00DE" w:rsidP="00CF00DE">
      <w:pPr>
        <w:pStyle w:val="AERbulletlistfirststyle"/>
      </w:pPr>
      <w:r w:rsidRPr="00C362C1">
        <w:t xml:space="preserve">direct mathematical links between different components of a decision. For example, the </w:t>
      </w:r>
      <w:r>
        <w:t>value of imputation credits (gamma)</w:t>
      </w:r>
      <w:r w:rsidRPr="00C362C1">
        <w:t xml:space="preserve"> has an impact on the appropriate tax allowance; the benchmark efficient entity's debt to equity ratio has a direct effect on the cost of equity, the cost of debt, and the overall vanilla rate of return</w:t>
      </w:r>
      <w:r>
        <w:t xml:space="preserve"> (see attachments 3, 4 and 8)</w:t>
      </w:r>
      <w:r w:rsidRPr="00C362C1">
        <w:t>.</w:t>
      </w:r>
    </w:p>
    <w:p w:rsidR="00CF00DE" w:rsidRPr="00C362C1" w:rsidRDefault="00CF00DE" w:rsidP="00CF00DE">
      <w:pPr>
        <w:pStyle w:val="AERbulletlistfirststyle"/>
      </w:pPr>
      <w:r w:rsidRPr="00C362C1">
        <w:t>trade-offs between different components of revenue. For example, undertaking a particular capex project may affect the need for opex and vice versa</w:t>
      </w:r>
      <w:r>
        <w:t xml:space="preserve"> (see attachments 6 and 7)</w:t>
      </w:r>
      <w:r w:rsidRPr="00C362C1">
        <w:t>.</w:t>
      </w:r>
    </w:p>
    <w:p w:rsidR="00CF00DE" w:rsidRPr="00C362C1" w:rsidRDefault="00CF00DE" w:rsidP="00CF00DE">
      <w:pPr>
        <w:pStyle w:val="AERbulletlistfirststyle"/>
      </w:pPr>
      <w:r w:rsidRPr="00C362C1">
        <w:t xml:space="preserve">trade-offs between forecast and actual regulatory measures. The reasons for one part of a proposal may have impacts on other parts of a proposal. For example, </w:t>
      </w:r>
      <w:r>
        <w:t xml:space="preserve">completion of forecast </w:t>
      </w:r>
      <w:r w:rsidRPr="00C362C1">
        <w:t>augmentation</w:t>
      </w:r>
      <w:r>
        <w:t xml:space="preserve"> (capex)</w:t>
      </w:r>
      <w:r w:rsidRPr="00C362C1">
        <w:t xml:space="preserve"> to the network </w:t>
      </w:r>
      <w:r>
        <w:t xml:space="preserve">will </w:t>
      </w:r>
      <w:r w:rsidRPr="00C362C1">
        <w:t xml:space="preserve">mean the </w:t>
      </w:r>
      <w:r>
        <w:t>service provider</w:t>
      </w:r>
      <w:r w:rsidRPr="00C362C1">
        <w:t xml:space="preserve"> has more assets to maintain</w:t>
      </w:r>
      <w:r>
        <w:t>,</w:t>
      </w:r>
      <w:r w:rsidRPr="00C362C1">
        <w:t xml:space="preserve"> leading to higher opex requirements</w:t>
      </w:r>
      <w:r>
        <w:t xml:space="preserve"> (see attachments 6 and 7)</w:t>
      </w:r>
      <w:r w:rsidRPr="00C362C1">
        <w:t>.</w:t>
      </w:r>
    </w:p>
    <w:p w:rsidR="00CF00DE" w:rsidRPr="00C362C1" w:rsidRDefault="00CF00DE" w:rsidP="00CF00DE">
      <w:pPr>
        <w:pStyle w:val="AERbulletlistfirststyle"/>
      </w:pPr>
      <w:r w:rsidRPr="00C362C1">
        <w:t xml:space="preserve">the </w:t>
      </w:r>
      <w:r>
        <w:t>service provider</w:t>
      </w:r>
      <w:r w:rsidRPr="00C362C1">
        <w:t xml:space="preserve">'s </w:t>
      </w:r>
      <w:r>
        <w:t xml:space="preserve">approach </w:t>
      </w:r>
      <w:r w:rsidRPr="00C362C1">
        <w:t xml:space="preserve">to managing its network. The </w:t>
      </w:r>
      <w:r>
        <w:t>service provider</w:t>
      </w:r>
      <w:r w:rsidRPr="00C362C1">
        <w:t>'s governance arrangements and its approach to risk management will influence most aspects of the proposal, including capex/opex trade-offs</w:t>
      </w:r>
      <w:r>
        <w:t xml:space="preserve"> (see attachments 6 and 7)</w:t>
      </w:r>
      <w:r w:rsidRPr="00C362C1">
        <w:t>.</w:t>
      </w:r>
    </w:p>
    <w:p w:rsidR="00CF00DE" w:rsidRPr="006C7462" w:rsidRDefault="00CF00DE" w:rsidP="00CF00DE">
      <w:r w:rsidRPr="009D2C84">
        <w:t>We have considered interrelationships</w:t>
      </w:r>
      <w:r>
        <w:t>, including those above,</w:t>
      </w:r>
      <w:r w:rsidRPr="009D2C84">
        <w:t xml:space="preserve"> in our analysis of the </w:t>
      </w:r>
      <w:r>
        <w:t>individual</w:t>
      </w:r>
      <w:r w:rsidRPr="009D2C84">
        <w:t xml:space="preserve"> components of our decision. </w:t>
      </w:r>
      <w:r>
        <w:t>These considerations are explored in the relevant attachments</w:t>
      </w:r>
      <w:r w:rsidRPr="009D2C84">
        <w:t>.</w:t>
      </w:r>
    </w:p>
    <w:p w:rsidR="00CF00DE" w:rsidRDefault="00CF00DE" w:rsidP="00CF00DE"/>
    <w:p w:rsidR="00CF00DE" w:rsidRDefault="00CF00DE" w:rsidP="00CF00DE">
      <w:pPr>
        <w:pStyle w:val="Heading1"/>
      </w:pPr>
      <w:bookmarkStart w:id="189" w:name="_Toc430002802"/>
      <w:bookmarkStart w:id="190" w:name="_Ref434235450"/>
      <w:bookmarkStart w:id="191" w:name="_Ref434479264"/>
      <w:bookmarkStart w:id="192" w:name="_Toc436037714"/>
      <w:bookmarkStart w:id="193" w:name="_Toc451873385"/>
      <w:r>
        <w:t>Consultation</w:t>
      </w:r>
      <w:bookmarkEnd w:id="189"/>
      <w:bookmarkEnd w:id="190"/>
      <w:bookmarkEnd w:id="191"/>
      <w:bookmarkEnd w:id="192"/>
      <w:bookmarkEnd w:id="193"/>
    </w:p>
    <w:p w:rsidR="00CF00DE" w:rsidRDefault="00CF00DE" w:rsidP="00CF00DE">
      <w:r>
        <w:t>Stakeholder participation is important to informed decision making under the NGL and NGR. It allows us to take a range of views into account when considering how a proposal or decision contributes to the NGO. Effective consultation and engagement provide confidence in our processes and are good regulatory practice. This is reflected in the consultation process set out in the NGR</w:t>
      </w:r>
      <w:r w:rsidR="00A221C6">
        <w:t>, under which we have:</w:t>
      </w:r>
    </w:p>
    <w:p w:rsidR="00A221C6" w:rsidRPr="000947CD" w:rsidRDefault="00A221C6" w:rsidP="00A221C6">
      <w:pPr>
        <w:pStyle w:val="AERbulletlistfirststyle"/>
      </w:pPr>
      <w:r w:rsidRPr="000947CD">
        <w:t>publish</w:t>
      </w:r>
      <w:r>
        <w:t>ed</w:t>
      </w:r>
      <w:r w:rsidRPr="000947CD">
        <w:t xml:space="preserve"> </w:t>
      </w:r>
      <w:r>
        <w:t>AGN's access arrangement revision proposal and the material AGN provided in support of that proposal</w:t>
      </w:r>
    </w:p>
    <w:p w:rsidR="00A221C6" w:rsidRPr="000947CD" w:rsidRDefault="00A221C6" w:rsidP="00A221C6">
      <w:pPr>
        <w:pStyle w:val="AERbulletlistfirststyle"/>
      </w:pPr>
      <w:r w:rsidRPr="000947CD">
        <w:t>invite</w:t>
      </w:r>
      <w:r>
        <w:t>d and had regard to</w:t>
      </w:r>
      <w:r w:rsidRPr="000947CD">
        <w:t xml:space="preserve"> written submissions on </w:t>
      </w:r>
      <w:r>
        <w:t>AGN's</w:t>
      </w:r>
      <w:r w:rsidRPr="000947CD">
        <w:t xml:space="preserve"> proposal </w:t>
      </w:r>
    </w:p>
    <w:p w:rsidR="00A221C6" w:rsidRPr="000947CD" w:rsidRDefault="00A221C6" w:rsidP="00A221C6">
      <w:pPr>
        <w:pStyle w:val="AERbulletlistfirststyle"/>
      </w:pPr>
      <w:r w:rsidRPr="000947CD">
        <w:t>publish</w:t>
      </w:r>
      <w:r>
        <w:t>ed</w:t>
      </w:r>
      <w:r w:rsidRPr="000947CD">
        <w:t xml:space="preserve"> a </w:t>
      </w:r>
      <w:r>
        <w:t>draft</w:t>
      </w:r>
      <w:r w:rsidRPr="000947CD">
        <w:t xml:space="preserve"> </w:t>
      </w:r>
      <w:r>
        <w:t>decision</w:t>
      </w:r>
      <w:r w:rsidRPr="000947CD">
        <w:t xml:space="preserve"> and reasoning</w:t>
      </w:r>
    </w:p>
    <w:p w:rsidR="00C2250C" w:rsidRPr="000947CD" w:rsidRDefault="00C2250C" w:rsidP="00C2250C">
      <w:pPr>
        <w:pStyle w:val="AERbulletlistfirststyle"/>
      </w:pPr>
      <w:r w:rsidRPr="000947CD">
        <w:t>publish</w:t>
      </w:r>
      <w:r>
        <w:t>ed</w:t>
      </w:r>
      <w:r w:rsidRPr="000947CD">
        <w:t xml:space="preserve"> </w:t>
      </w:r>
      <w:r>
        <w:t>AGN's revised proposal and supporting material</w:t>
      </w:r>
    </w:p>
    <w:p w:rsidR="00A221C6" w:rsidRPr="000947CD" w:rsidRDefault="00A221C6" w:rsidP="00A221C6">
      <w:pPr>
        <w:pStyle w:val="AERbulletlistfirststyle"/>
      </w:pPr>
      <w:r w:rsidRPr="000947CD">
        <w:t>invite</w:t>
      </w:r>
      <w:r w:rsidR="00C2250C">
        <w:t>d and had regard to</w:t>
      </w:r>
      <w:r w:rsidRPr="000947CD">
        <w:t xml:space="preserve"> written submissions on </w:t>
      </w:r>
      <w:r w:rsidR="00C2250C">
        <w:t>both our draft decision and AGN's revised proposal</w:t>
      </w:r>
    </w:p>
    <w:p w:rsidR="00A221C6" w:rsidRPr="00A221C6" w:rsidRDefault="00A221C6" w:rsidP="00A221C6">
      <w:pPr>
        <w:pStyle w:val="AERbulletlistfirststyle"/>
      </w:pPr>
      <w:r w:rsidRPr="000947CD">
        <w:t>publish</w:t>
      </w:r>
      <w:r w:rsidR="00C2250C">
        <w:t>ed this</w:t>
      </w:r>
      <w:r w:rsidRPr="000947CD">
        <w:t xml:space="preserve"> final determination and reasoning.</w:t>
      </w:r>
    </w:p>
    <w:p w:rsidR="00A221C6" w:rsidRDefault="00C2250C" w:rsidP="00CF00DE">
      <w:r>
        <w:t>We also sought advice from the AER's Consumer Challenge Panel (CCP) on AGN's original and revised proposals and our draft decision.</w:t>
      </w:r>
      <w:r w:rsidR="00345CBB">
        <w:t xml:space="preserve"> Both the CCP and AGN met with the AER Board to discuss this review</w:t>
      </w:r>
      <w:r w:rsidR="00285778">
        <w:t>.</w:t>
      </w:r>
    </w:p>
    <w:p w:rsidR="00CF00DE" w:rsidRPr="00276DDF" w:rsidRDefault="00285778" w:rsidP="00CF00DE">
      <w:r>
        <w:t>Our engagement on this review</w:t>
      </w:r>
      <w:r w:rsidR="00CF00DE">
        <w:t xml:space="preserve"> builds on consultation </w:t>
      </w:r>
      <w:r w:rsidR="0038228C">
        <w:t xml:space="preserve">we </w:t>
      </w:r>
      <w:r w:rsidR="00CF00DE">
        <w:t>under</w:t>
      </w:r>
      <w:r w:rsidR="0038228C">
        <w:t>took</w:t>
      </w:r>
      <w:r w:rsidR="00CF00DE">
        <w:t xml:space="preserve"> as part of the Better Regulation program. </w:t>
      </w:r>
      <w:r w:rsidR="00CF00DE" w:rsidRPr="00276DDF">
        <w:t xml:space="preserve">Following the 2012 changes to the </w:t>
      </w:r>
      <w:r w:rsidR="00CF00DE" w:rsidRPr="00BE24D3">
        <w:t>National Electricity Rules</w:t>
      </w:r>
      <w:r w:rsidR="00CF00DE" w:rsidRPr="00276DDF">
        <w:t xml:space="preserve"> </w:t>
      </w:r>
      <w:r w:rsidR="00CF00DE">
        <w:t>(</w:t>
      </w:r>
      <w:r w:rsidR="00CF00DE" w:rsidRPr="00276DDF">
        <w:t>NER</w:t>
      </w:r>
      <w:r w:rsidR="00CF00DE">
        <w:t>) and NGR</w:t>
      </w:r>
      <w:r w:rsidR="00CF00DE" w:rsidRPr="00276DDF">
        <w:t>, we spent much of 2013 consulting on and refining our assessment methods and approaches to decision making. We referred to this as our Better Regulation program. The Better Regulation program was designed to be an inclusive process that provided an opportunity for all stakeholders to be engaged and provide their input.</w:t>
      </w:r>
      <w:r w:rsidR="00CF00DE" w:rsidRPr="00276DDF">
        <w:rPr>
          <w:rStyle w:val="FootnoteReference"/>
        </w:rPr>
        <w:footnoteReference w:id="97"/>
      </w:r>
      <w:r w:rsidR="00CF00DE" w:rsidRPr="00276DDF">
        <w:t xml:space="preserve"> </w:t>
      </w:r>
    </w:p>
    <w:p w:rsidR="00CF00DE" w:rsidRPr="00276DDF" w:rsidRDefault="00CF00DE" w:rsidP="00CF00DE">
      <w:pPr>
        <w:numPr>
          <w:ilvl w:val="0"/>
          <w:numId w:val="24"/>
        </w:numPr>
      </w:pPr>
      <w:r>
        <w:t xml:space="preserve">This </w:t>
      </w:r>
      <w:r w:rsidRPr="00276DDF">
        <w:t>gives us confidence the approaches set out in the Guidelines, which we have ap</w:t>
      </w:r>
      <w:r w:rsidR="00285778">
        <w:t>plied where appropriate</w:t>
      </w:r>
      <w:r w:rsidRPr="00276DDF">
        <w:t xml:space="preserve"> in this decision, will result in decisions that will or are likely to contribute to the achievement of the N</w:t>
      </w:r>
      <w:r>
        <w:t>G</w:t>
      </w:r>
      <w:r w:rsidRPr="00276DDF">
        <w:t>O to the greatest</w:t>
      </w:r>
      <w:r>
        <w:t xml:space="preserve"> degree. Our Better Regulation g</w:t>
      </w:r>
      <w:r w:rsidRPr="00276DDF">
        <w:t>uidelines are available on our website and include:</w:t>
      </w:r>
      <w:r w:rsidRPr="00276DDF">
        <w:rPr>
          <w:rStyle w:val="FootnoteReference"/>
        </w:rPr>
        <w:footnoteReference w:id="98"/>
      </w:r>
    </w:p>
    <w:p w:rsidR="00CF00DE" w:rsidRPr="00276DDF" w:rsidRDefault="00CF00DE" w:rsidP="00CF00DE">
      <w:pPr>
        <w:pStyle w:val="AERbulletlistfirststyle"/>
      </w:pPr>
      <w:r w:rsidRPr="00276DDF">
        <w:t>Expenditure Forecast Assessment Guideline</w:t>
      </w:r>
    </w:p>
    <w:p w:rsidR="00CF00DE" w:rsidRPr="00276DDF" w:rsidRDefault="00CF00DE" w:rsidP="00CF00DE">
      <w:pPr>
        <w:pStyle w:val="AERbulletlistfirststyle"/>
      </w:pPr>
      <w:r w:rsidRPr="00276DDF">
        <w:t>Expenditure Incentives Guideline</w:t>
      </w:r>
    </w:p>
    <w:p w:rsidR="00CF00DE" w:rsidRPr="00276DDF" w:rsidRDefault="00CF00DE" w:rsidP="00CF00DE">
      <w:pPr>
        <w:pStyle w:val="AERbulletlistfirststyle"/>
      </w:pPr>
      <w:r w:rsidRPr="00276DDF">
        <w:t>Rate of Return Guideline</w:t>
      </w:r>
    </w:p>
    <w:p w:rsidR="00CF00DE" w:rsidRPr="00276DDF" w:rsidRDefault="00CF00DE" w:rsidP="00CF00DE">
      <w:pPr>
        <w:pStyle w:val="AERbulletlistfirststyle"/>
      </w:pPr>
      <w:r w:rsidRPr="00276DDF">
        <w:t>Consumer Engagement Guideline for Network Service Providers</w:t>
      </w:r>
    </w:p>
    <w:p w:rsidR="00CF00DE" w:rsidRPr="00276DDF" w:rsidRDefault="00CF00DE" w:rsidP="00CF00DE">
      <w:pPr>
        <w:pStyle w:val="AERbulletlistfirststyle"/>
      </w:pPr>
      <w:r w:rsidRPr="00276DDF">
        <w:t>Shared Assets Guideline</w:t>
      </w:r>
      <w:r>
        <w:t>, and</w:t>
      </w:r>
    </w:p>
    <w:p w:rsidR="00CF00DE" w:rsidRDefault="00CF00DE" w:rsidP="00CF00DE">
      <w:pPr>
        <w:pStyle w:val="AERbulletlistfirststyle"/>
      </w:pPr>
      <w:r w:rsidRPr="00276DDF">
        <w:t>Confidentiality Guideline.</w:t>
      </w:r>
    </w:p>
    <w:p w:rsidR="00CF00DE" w:rsidRDefault="00CF00DE" w:rsidP="00CF00DE">
      <w:r w:rsidRPr="00BE24D3">
        <w:t xml:space="preserve">We acknowledge that the changes to the NGR were more limited than those </w:t>
      </w:r>
      <w:r w:rsidR="00A221C6">
        <w:t xml:space="preserve">made </w:t>
      </w:r>
      <w:r w:rsidRPr="00BE24D3">
        <w:t xml:space="preserve">to the </w:t>
      </w:r>
      <w:r w:rsidR="00A221C6">
        <w:t>NER. The two frameworks still differ, and not all elements of the Better Regulation Guidelines were developed with gas access arrangements under the NGL and NGR in mind</w:t>
      </w:r>
      <w:r w:rsidRPr="00BE24D3">
        <w:t>. However, many of the concepts and analytical tools are the same and we involved gas service providers in consultation on all aspects of the Better Regulation program.</w:t>
      </w:r>
    </w:p>
    <w:p w:rsidR="00345CBB" w:rsidRDefault="00345CBB" w:rsidP="00285778">
      <w:pPr>
        <w:pStyle w:val="Heading2"/>
      </w:pPr>
      <w:bookmarkStart w:id="194" w:name="_Toc451873386"/>
      <w:r>
        <w:t>AGN's own engagement with consumers</w:t>
      </w:r>
      <w:bookmarkEnd w:id="194"/>
    </w:p>
    <w:p w:rsidR="00285778" w:rsidRDefault="00285778" w:rsidP="00285778">
      <w:r>
        <w:t>AGN also undertook its own stakeholder engagement in the development of its proposal. Submissions received by us from Business SA,</w:t>
      </w:r>
      <w:r w:rsidRPr="00CE5F98">
        <w:rPr>
          <w:rStyle w:val="FootnoteReference"/>
        </w:rPr>
        <w:t xml:space="preserve"> </w:t>
      </w:r>
      <w:r>
        <w:rPr>
          <w:rStyle w:val="FootnoteReference"/>
        </w:rPr>
        <w:footnoteReference w:id="99"/>
      </w:r>
      <w:r>
        <w:t xml:space="preserve"> the South Australian Council on Social Service (SACOSS)</w:t>
      </w:r>
      <w:r w:rsidRPr="00CE5F98">
        <w:rPr>
          <w:rStyle w:val="FootnoteReference"/>
        </w:rPr>
        <w:t xml:space="preserve"> </w:t>
      </w:r>
      <w:r>
        <w:rPr>
          <w:rStyle w:val="FootnoteReference"/>
        </w:rPr>
        <w:footnoteReference w:id="100"/>
      </w:r>
      <w:r>
        <w:t xml:space="preserve"> and the Energy Consumers Council of SA (ECCSA),</w:t>
      </w:r>
      <w:r w:rsidRPr="00CE5F98">
        <w:rPr>
          <w:rStyle w:val="FootnoteReference"/>
        </w:rPr>
        <w:t xml:space="preserve"> </w:t>
      </w:r>
      <w:r>
        <w:rPr>
          <w:rStyle w:val="FootnoteReference"/>
        </w:rPr>
        <w:footnoteReference w:id="101"/>
      </w:r>
      <w:r>
        <w:t xml:space="preserve"> </w:t>
      </w:r>
      <w:r w:rsidR="00DC3B91">
        <w:t xml:space="preserve">as well as </w:t>
      </w:r>
      <w:r>
        <w:t xml:space="preserve">advice from the </w:t>
      </w:r>
      <w:r w:rsidR="00DC3B91">
        <w:t>CCP</w:t>
      </w:r>
      <w:r w:rsidR="00DC3B91" w:rsidRPr="002E2208">
        <w:t xml:space="preserve"> </w:t>
      </w:r>
      <w:r>
        <w:t>recognise that AGN has taken important steps to involving consumers in the regulatory process</w:t>
      </w:r>
      <w:r>
        <w:rPr>
          <w:rStyle w:val="FootnoteReference"/>
        </w:rPr>
        <w:t xml:space="preserve"> </w:t>
      </w:r>
      <w:r>
        <w:t>in the lead up to submission of its original proposal.</w:t>
      </w:r>
      <w:r>
        <w:rPr>
          <w:rStyle w:val="FootnoteReference"/>
        </w:rPr>
        <w:footnoteReference w:id="102"/>
      </w:r>
      <w:r>
        <w:t xml:space="preserve"> We supported this view. </w:t>
      </w:r>
    </w:p>
    <w:p w:rsidR="00285778" w:rsidRDefault="00285778" w:rsidP="00285778">
      <w:r>
        <w:t xml:space="preserve">AGN's revised proposal substantially changed its position on the return on debt. </w:t>
      </w:r>
      <w:r w:rsidR="00246954">
        <w:t>As the CCP noted in its advice:</w:t>
      </w:r>
      <w:r w:rsidR="00246954">
        <w:rPr>
          <w:rStyle w:val="FootnoteReference"/>
        </w:rPr>
        <w:footnoteReference w:id="103"/>
      </w:r>
    </w:p>
    <w:p w:rsidR="002F4F7E" w:rsidRDefault="002F4F7E" w:rsidP="00246954">
      <w:pPr>
        <w:pStyle w:val="AERquote"/>
      </w:pPr>
      <w:r w:rsidRPr="002F4F7E">
        <w:t>The AGN RAAP proposes a rate of return or Weighted Average Cost of Capital (WACC) of 8.2%. This is a</w:t>
      </w:r>
      <w:r>
        <w:t xml:space="preserve"> </w:t>
      </w:r>
      <w:r w:rsidRPr="002F4F7E">
        <w:t>significant departure from the WACC of 7.2% submitted in the AAP which, if implemented, would have a very</w:t>
      </w:r>
      <w:r>
        <w:t xml:space="preserve"> </w:t>
      </w:r>
      <w:r w:rsidRPr="002F4F7E">
        <w:t>large impact on consumers. AGN has not provided any justification for this increase, apart from the statement</w:t>
      </w:r>
      <w:r>
        <w:t xml:space="preserve"> </w:t>
      </w:r>
      <w:r w:rsidRPr="002F4F7E">
        <w:t>that it is “to cover all possible outcomes from the Tribunal”.</w:t>
      </w:r>
    </w:p>
    <w:p w:rsidR="002F4F7E" w:rsidRPr="002F4F7E" w:rsidRDefault="002F4F7E" w:rsidP="00246954">
      <w:pPr>
        <w:pStyle w:val="AERquote"/>
      </w:pPr>
      <w:r>
        <w:t>…</w:t>
      </w:r>
    </w:p>
    <w:p w:rsidR="00285778" w:rsidRDefault="002F4F7E" w:rsidP="00246954">
      <w:pPr>
        <w:pStyle w:val="AERquote"/>
      </w:pPr>
      <w:r w:rsidRPr="002F4F7E">
        <w:t>It is also of concern that such a major change to AGN’s AAP should be submitted without prior stakeholder</w:t>
      </w:r>
      <w:r>
        <w:t xml:space="preserve"> </w:t>
      </w:r>
      <w:r w:rsidRPr="002F4F7E">
        <w:t>engagement, and with only a limited opportunity for stakeholders to respond. This action will likely have the</w:t>
      </w:r>
      <w:r>
        <w:t xml:space="preserve"> </w:t>
      </w:r>
      <w:r w:rsidRPr="002F4F7E">
        <w:t>effect of undermining any goodwill that AGN has built up with stakeholders through its earlier Stakeholder</w:t>
      </w:r>
      <w:r>
        <w:t xml:space="preserve"> </w:t>
      </w:r>
      <w:r w:rsidRPr="002F4F7E">
        <w:t>Engagement Program.</w:t>
      </w:r>
    </w:p>
    <w:p w:rsidR="00921F5F" w:rsidRPr="00921F5F" w:rsidRDefault="00921F5F" w:rsidP="00CB79A0">
      <w:r>
        <w:t xml:space="preserve">This change in approach had a substantial impact on AGN's proposed revenue relative to its original proposal. This is an important issue and we would expect such a significant change would have lead AGN to consult with their users and consumers on its change in approach. However, </w:t>
      </w:r>
      <w:r w:rsidR="00DC3B91">
        <w:t>we do not have any evidence to suggest</w:t>
      </w:r>
      <w:r>
        <w:t xml:space="preserve"> whether and how such engagement took place.</w:t>
      </w:r>
    </w:p>
    <w:p w:rsidR="00CF00DE" w:rsidRDefault="00CF00DE" w:rsidP="00CF00DE">
      <w:pPr>
        <w:pStyle w:val="Heading7"/>
      </w:pPr>
      <w:bookmarkStart w:id="195" w:name="_Toc430002805"/>
      <w:bookmarkStart w:id="196" w:name="_Ref433813158"/>
      <w:bookmarkStart w:id="197" w:name="_Ref433883402"/>
      <w:bookmarkStart w:id="198" w:name="_Ref434479462"/>
      <w:bookmarkStart w:id="199" w:name="_Ref450143694"/>
      <w:bookmarkStart w:id="200" w:name="_Toc451873387"/>
      <w:r w:rsidRPr="00EB26F8">
        <w:t>List of submissions</w:t>
      </w:r>
      <w:bookmarkEnd w:id="195"/>
      <w:bookmarkEnd w:id="196"/>
      <w:bookmarkEnd w:id="197"/>
      <w:bookmarkEnd w:id="198"/>
      <w:bookmarkEnd w:id="199"/>
      <w:bookmarkEnd w:id="200"/>
    </w:p>
    <w:tbl>
      <w:tblPr>
        <w:tblStyle w:val="AERtable-text0"/>
        <w:tblW w:w="0" w:type="auto"/>
        <w:tblLook w:val="04A0" w:firstRow="1" w:lastRow="0" w:firstColumn="1" w:lastColumn="0" w:noHBand="0" w:noVBand="1"/>
      </w:tblPr>
      <w:tblGrid>
        <w:gridCol w:w="4786"/>
        <w:gridCol w:w="3907"/>
      </w:tblGrid>
      <w:tr w:rsidR="00CF00DE" w:rsidTr="00A064A9">
        <w:trPr>
          <w:cnfStyle w:val="100000000000" w:firstRow="1" w:lastRow="0" w:firstColumn="0" w:lastColumn="0" w:oddVBand="0" w:evenVBand="0" w:oddHBand="0" w:evenHBand="0" w:firstRowFirstColumn="0" w:firstRowLastColumn="0" w:lastRowFirstColumn="0" w:lastRowLastColumn="0"/>
        </w:trPr>
        <w:tc>
          <w:tcPr>
            <w:tcW w:w="4786" w:type="dxa"/>
          </w:tcPr>
          <w:p w:rsidR="00CF00DE" w:rsidRPr="00CF00DE" w:rsidRDefault="00CF00DE" w:rsidP="00CF00DE">
            <w:r>
              <w:t>Submission from</w:t>
            </w:r>
          </w:p>
        </w:tc>
        <w:tc>
          <w:tcPr>
            <w:tcW w:w="3907" w:type="dxa"/>
          </w:tcPr>
          <w:p w:rsidR="00CF00DE" w:rsidRPr="00CF00DE" w:rsidRDefault="00CF00DE" w:rsidP="00CF00DE">
            <w:r>
              <w:t>Date received</w:t>
            </w:r>
          </w:p>
        </w:tc>
      </w:tr>
      <w:tr w:rsidR="00CF00DE" w:rsidTr="00A064A9">
        <w:tc>
          <w:tcPr>
            <w:tcW w:w="4786" w:type="dxa"/>
          </w:tcPr>
          <w:p w:rsidR="00CF00DE" w:rsidRPr="00CF00DE" w:rsidRDefault="00AF31E3" w:rsidP="00CF00DE">
            <w:r>
              <w:t>ActewAGL Distribution</w:t>
            </w:r>
          </w:p>
        </w:tc>
        <w:tc>
          <w:tcPr>
            <w:tcW w:w="3907" w:type="dxa"/>
          </w:tcPr>
          <w:p w:rsidR="00CF00DE" w:rsidRPr="00CF00DE" w:rsidRDefault="00AF31E3" w:rsidP="00CF00DE">
            <w:r>
              <w:t>4 February 2016</w:t>
            </w:r>
          </w:p>
        </w:tc>
      </w:tr>
      <w:tr w:rsidR="00CF00DE" w:rsidTr="00A064A9">
        <w:trPr>
          <w:cnfStyle w:val="000000010000" w:firstRow="0" w:lastRow="0" w:firstColumn="0" w:lastColumn="0" w:oddVBand="0" w:evenVBand="0" w:oddHBand="0" w:evenHBand="1" w:firstRowFirstColumn="0" w:firstRowLastColumn="0" w:lastRowFirstColumn="0" w:lastRowLastColumn="0"/>
        </w:trPr>
        <w:tc>
          <w:tcPr>
            <w:tcW w:w="4786" w:type="dxa"/>
          </w:tcPr>
          <w:p w:rsidR="00CF00DE" w:rsidRPr="00CF00DE" w:rsidRDefault="00AF31E3" w:rsidP="00CF00DE">
            <w:r>
              <w:t>AGL Energy Limited</w:t>
            </w:r>
          </w:p>
        </w:tc>
        <w:tc>
          <w:tcPr>
            <w:tcW w:w="3907" w:type="dxa"/>
          </w:tcPr>
          <w:p w:rsidR="00CF00DE" w:rsidRPr="00CF00DE" w:rsidRDefault="00B35EE4" w:rsidP="00CF00DE">
            <w:r>
              <w:t>5</w:t>
            </w:r>
            <w:r w:rsidR="00AF31E3">
              <w:t xml:space="preserve"> February 2016</w:t>
            </w:r>
          </w:p>
        </w:tc>
      </w:tr>
      <w:tr w:rsidR="00CF00DE" w:rsidTr="00A064A9">
        <w:tc>
          <w:tcPr>
            <w:tcW w:w="4786" w:type="dxa"/>
          </w:tcPr>
          <w:p w:rsidR="00CF00DE" w:rsidRPr="00CF00DE" w:rsidRDefault="00AF31E3" w:rsidP="00CF00DE">
            <w:r>
              <w:t>Australian Gas Networks Limited</w:t>
            </w:r>
          </w:p>
        </w:tc>
        <w:tc>
          <w:tcPr>
            <w:tcW w:w="3907" w:type="dxa"/>
          </w:tcPr>
          <w:p w:rsidR="00CF00DE" w:rsidRPr="00CF00DE" w:rsidRDefault="00AF31E3" w:rsidP="00CF00DE">
            <w:r>
              <w:t>4 February 2016</w:t>
            </w:r>
            <w:r w:rsidR="006C5310">
              <w:t xml:space="preserve">; </w:t>
            </w:r>
            <w:r w:rsidR="00A064A9">
              <w:t xml:space="preserve">1 March 2016; </w:t>
            </w:r>
            <w:r w:rsidR="006C5310">
              <w:t>9 May 2016</w:t>
            </w:r>
          </w:p>
        </w:tc>
      </w:tr>
      <w:tr w:rsidR="00CF00DE" w:rsidTr="00A064A9">
        <w:trPr>
          <w:cnfStyle w:val="000000010000" w:firstRow="0" w:lastRow="0" w:firstColumn="0" w:lastColumn="0" w:oddVBand="0" w:evenVBand="0" w:oddHBand="0" w:evenHBand="1" w:firstRowFirstColumn="0" w:firstRowLastColumn="0" w:lastRowFirstColumn="0" w:lastRowLastColumn="0"/>
        </w:trPr>
        <w:tc>
          <w:tcPr>
            <w:tcW w:w="4786" w:type="dxa"/>
          </w:tcPr>
          <w:p w:rsidR="00CF00DE" w:rsidRPr="00CF00DE" w:rsidRDefault="00AF31E3" w:rsidP="00CF00DE">
            <w:r>
              <w:t>Alternative Technology Association</w:t>
            </w:r>
          </w:p>
        </w:tc>
        <w:tc>
          <w:tcPr>
            <w:tcW w:w="3907" w:type="dxa"/>
          </w:tcPr>
          <w:p w:rsidR="00CF00DE" w:rsidRPr="00CF00DE" w:rsidRDefault="00AF31E3" w:rsidP="00CF00DE">
            <w:r>
              <w:t>3 February 2016</w:t>
            </w:r>
          </w:p>
        </w:tc>
      </w:tr>
      <w:tr w:rsidR="00CF00DE" w:rsidTr="00A064A9">
        <w:tc>
          <w:tcPr>
            <w:tcW w:w="4786" w:type="dxa"/>
          </w:tcPr>
          <w:p w:rsidR="00CF00DE" w:rsidRPr="00CF00DE" w:rsidRDefault="00AF31E3" w:rsidP="00CF00DE">
            <w:r>
              <w:t>Business SA</w:t>
            </w:r>
          </w:p>
        </w:tc>
        <w:tc>
          <w:tcPr>
            <w:tcW w:w="3907" w:type="dxa"/>
          </w:tcPr>
          <w:p w:rsidR="00CF00DE" w:rsidRPr="00CF00DE" w:rsidRDefault="00AF31E3" w:rsidP="00CF00DE">
            <w:r>
              <w:t>29 January 2016</w:t>
            </w:r>
          </w:p>
        </w:tc>
      </w:tr>
      <w:tr w:rsidR="00CF00DE" w:rsidTr="00A064A9">
        <w:trPr>
          <w:cnfStyle w:val="000000010000" w:firstRow="0" w:lastRow="0" w:firstColumn="0" w:lastColumn="0" w:oddVBand="0" w:evenVBand="0" w:oddHBand="0" w:evenHBand="1" w:firstRowFirstColumn="0" w:firstRowLastColumn="0" w:lastRowFirstColumn="0" w:lastRowLastColumn="0"/>
        </w:trPr>
        <w:tc>
          <w:tcPr>
            <w:tcW w:w="4786" w:type="dxa"/>
          </w:tcPr>
          <w:p w:rsidR="00CF00DE" w:rsidRPr="00CF00DE" w:rsidRDefault="00AF31E3" w:rsidP="00CF00DE">
            <w:r>
              <w:t>Consumer Challenge Panel (sub-panel 8)</w:t>
            </w:r>
          </w:p>
        </w:tc>
        <w:tc>
          <w:tcPr>
            <w:tcW w:w="3907" w:type="dxa"/>
          </w:tcPr>
          <w:p w:rsidR="00CF00DE" w:rsidRPr="00CF00DE" w:rsidRDefault="00AF31E3" w:rsidP="00CF00DE">
            <w:r>
              <w:t>31 March 2016</w:t>
            </w:r>
          </w:p>
        </w:tc>
      </w:tr>
      <w:tr w:rsidR="00CF00DE" w:rsidTr="00A064A9">
        <w:tc>
          <w:tcPr>
            <w:tcW w:w="4786" w:type="dxa"/>
          </w:tcPr>
          <w:p w:rsidR="00CF00DE" w:rsidRPr="00CF00DE" w:rsidRDefault="00AF31E3" w:rsidP="00CF00DE">
            <w:r>
              <w:t>Energy Consumers' Coalition of South Australia</w:t>
            </w:r>
          </w:p>
        </w:tc>
        <w:tc>
          <w:tcPr>
            <w:tcW w:w="3907" w:type="dxa"/>
          </w:tcPr>
          <w:p w:rsidR="00CF00DE" w:rsidRPr="00CF00DE" w:rsidRDefault="00B35EE4" w:rsidP="00CF00DE">
            <w:r>
              <w:t>4 February 2016</w:t>
            </w:r>
          </w:p>
        </w:tc>
      </w:tr>
      <w:tr w:rsidR="00CF00DE" w:rsidTr="00A064A9">
        <w:trPr>
          <w:cnfStyle w:val="000000010000" w:firstRow="0" w:lastRow="0" w:firstColumn="0" w:lastColumn="0" w:oddVBand="0" w:evenVBand="0" w:oddHBand="0" w:evenHBand="1" w:firstRowFirstColumn="0" w:firstRowLastColumn="0" w:lastRowFirstColumn="0" w:lastRowLastColumn="0"/>
        </w:trPr>
        <w:tc>
          <w:tcPr>
            <w:tcW w:w="4786" w:type="dxa"/>
          </w:tcPr>
          <w:p w:rsidR="00CF00DE" w:rsidRPr="00CF00DE" w:rsidRDefault="00AF31E3" w:rsidP="00CF00DE">
            <w:r>
              <w:t>Government of South Australia</w:t>
            </w:r>
          </w:p>
        </w:tc>
        <w:tc>
          <w:tcPr>
            <w:tcW w:w="3907" w:type="dxa"/>
          </w:tcPr>
          <w:p w:rsidR="00CF00DE" w:rsidRPr="00CF00DE" w:rsidRDefault="00AF31E3" w:rsidP="00CF00DE">
            <w:r>
              <w:t>20 November 2015</w:t>
            </w:r>
            <w:r w:rsidR="00B35EE4">
              <w:t>*</w:t>
            </w:r>
            <w:r>
              <w:t>; 24 February 2016</w:t>
            </w:r>
          </w:p>
        </w:tc>
      </w:tr>
      <w:tr w:rsidR="00CF00DE" w:rsidTr="00A064A9">
        <w:tc>
          <w:tcPr>
            <w:tcW w:w="4786" w:type="dxa"/>
          </w:tcPr>
          <w:p w:rsidR="00CF00DE" w:rsidRPr="00CF00DE" w:rsidRDefault="00AF31E3" w:rsidP="00CF00DE">
            <w:r>
              <w:t>Mount Barker District Council</w:t>
            </w:r>
          </w:p>
        </w:tc>
        <w:tc>
          <w:tcPr>
            <w:tcW w:w="3907" w:type="dxa"/>
          </w:tcPr>
          <w:p w:rsidR="00CF00DE" w:rsidRPr="00CF00DE" w:rsidRDefault="00B35EE4" w:rsidP="00CF00DE">
            <w:r>
              <w:t>9</w:t>
            </w:r>
            <w:r w:rsidR="00AF31E3">
              <w:t xml:space="preserve"> February 2016</w:t>
            </w:r>
          </w:p>
        </w:tc>
      </w:tr>
      <w:tr w:rsidR="00CF00DE" w:rsidTr="00A064A9">
        <w:trPr>
          <w:cnfStyle w:val="000000010000" w:firstRow="0" w:lastRow="0" w:firstColumn="0" w:lastColumn="0" w:oddVBand="0" w:evenVBand="0" w:oddHBand="0" w:evenHBand="1" w:firstRowFirstColumn="0" w:firstRowLastColumn="0" w:lastRowFirstColumn="0" w:lastRowLastColumn="0"/>
        </w:trPr>
        <w:tc>
          <w:tcPr>
            <w:tcW w:w="4786" w:type="dxa"/>
          </w:tcPr>
          <w:p w:rsidR="00CF00DE" w:rsidRPr="00CF00DE" w:rsidRDefault="00AF31E3" w:rsidP="00CF00DE">
            <w:r>
              <w:t>Origin Energy</w:t>
            </w:r>
          </w:p>
        </w:tc>
        <w:tc>
          <w:tcPr>
            <w:tcW w:w="3907" w:type="dxa"/>
          </w:tcPr>
          <w:p w:rsidR="00CF00DE" w:rsidRPr="00CF00DE" w:rsidRDefault="00B35EE4" w:rsidP="00CF00DE">
            <w:r>
              <w:t>4 February 2016</w:t>
            </w:r>
          </w:p>
        </w:tc>
      </w:tr>
      <w:tr w:rsidR="00CF00DE" w:rsidTr="00A064A9">
        <w:tc>
          <w:tcPr>
            <w:tcW w:w="4786" w:type="dxa"/>
          </w:tcPr>
          <w:p w:rsidR="00CF00DE" w:rsidRPr="00CF00DE" w:rsidRDefault="00AF31E3" w:rsidP="00CF00DE">
            <w:r>
              <w:t>SACOSS</w:t>
            </w:r>
          </w:p>
        </w:tc>
        <w:tc>
          <w:tcPr>
            <w:tcW w:w="3907" w:type="dxa"/>
          </w:tcPr>
          <w:p w:rsidR="00CF00DE" w:rsidRPr="00CF00DE" w:rsidRDefault="00B35EE4" w:rsidP="00CF00DE">
            <w:r>
              <w:t>4 February 2016</w:t>
            </w:r>
          </w:p>
        </w:tc>
      </w:tr>
      <w:tr w:rsidR="00CF00DE" w:rsidTr="00A064A9">
        <w:trPr>
          <w:cnfStyle w:val="000000010000" w:firstRow="0" w:lastRow="0" w:firstColumn="0" w:lastColumn="0" w:oddVBand="0" w:evenVBand="0" w:oddHBand="0" w:evenHBand="1" w:firstRowFirstColumn="0" w:firstRowLastColumn="0" w:lastRowFirstColumn="0" w:lastRowLastColumn="0"/>
        </w:trPr>
        <w:tc>
          <w:tcPr>
            <w:tcW w:w="4786" w:type="dxa"/>
          </w:tcPr>
          <w:p w:rsidR="00CF00DE" w:rsidRPr="00CF00DE" w:rsidRDefault="00AF31E3" w:rsidP="00CF00DE">
            <w:r>
              <w:t>Uniting Care Australia</w:t>
            </w:r>
          </w:p>
        </w:tc>
        <w:tc>
          <w:tcPr>
            <w:tcW w:w="3907" w:type="dxa"/>
          </w:tcPr>
          <w:p w:rsidR="00CF00DE" w:rsidRPr="00CF00DE" w:rsidRDefault="00B35EE4" w:rsidP="00CF00DE">
            <w:r>
              <w:t>9 March 2016</w:t>
            </w:r>
          </w:p>
        </w:tc>
      </w:tr>
      <w:tr w:rsidR="00CF00DE" w:rsidTr="00A064A9">
        <w:tc>
          <w:tcPr>
            <w:tcW w:w="4786" w:type="dxa"/>
          </w:tcPr>
          <w:p w:rsidR="00CF00DE" w:rsidRPr="00CF00DE" w:rsidRDefault="00AF31E3" w:rsidP="00CF00DE">
            <w:r>
              <w:t>Urban Development Institute of Australia</w:t>
            </w:r>
          </w:p>
        </w:tc>
        <w:tc>
          <w:tcPr>
            <w:tcW w:w="3907" w:type="dxa"/>
          </w:tcPr>
          <w:p w:rsidR="00CF00DE" w:rsidRPr="00CF00DE" w:rsidRDefault="00B35EE4" w:rsidP="00CF00DE">
            <w:r>
              <w:t>11 March 2016</w:t>
            </w:r>
          </w:p>
        </w:tc>
      </w:tr>
    </w:tbl>
    <w:p w:rsidR="00CF00DE" w:rsidRPr="00CF00DE" w:rsidRDefault="00B35EE4" w:rsidP="00B35EE4">
      <w:pPr>
        <w:pStyle w:val="AERtablesource"/>
      </w:pPr>
      <w:r>
        <w:t>*</w:t>
      </w:r>
      <w:r>
        <w:tab/>
        <w:t>The 20 November 2015 submission from the Government of South Australia was not received in time to be considered in our draft decision. It has been considered in this final decision.</w:t>
      </w:r>
    </w:p>
    <w:sectPr w:rsidR="00CF00DE" w:rsidRPr="00CF00DE" w:rsidSect="000B79FF">
      <w:headerReference w:type="even" r:id="rId21"/>
      <w:headerReference w:type="default" r:id="rId22"/>
      <w:footerReference w:type="even" r:id="rId23"/>
      <w:footerReference w:type="default" r:id="rId24"/>
      <w:headerReference w:type="first" r:id="rId25"/>
      <w:footerReference w:type="first" r:id="rId26"/>
      <w:pgSz w:w="11906" w:h="16838" w:code="9"/>
      <w:pgMar w:top="1440" w:right="1700" w:bottom="1582" w:left="1729" w:header="720" w:footer="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2F8" w:rsidRPr="00290C63" w:rsidRDefault="00BF22F8" w:rsidP="00290C63">
      <w:r>
        <w:separator/>
      </w:r>
    </w:p>
    <w:p w:rsidR="00BF22F8" w:rsidRDefault="00BF22F8"/>
  </w:endnote>
  <w:endnote w:type="continuationSeparator" w:id="0">
    <w:p w:rsidR="00BF22F8" w:rsidRPr="00290C63" w:rsidRDefault="00BF22F8" w:rsidP="00290C63">
      <w:r>
        <w:continuationSeparator/>
      </w:r>
    </w:p>
    <w:p w:rsidR="00BF22F8" w:rsidRDefault="00BF2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2F8" w:rsidRDefault="00BF22F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BF22F8" w:rsidRDefault="00BF22F8">
    <w:pPr>
      <w:pStyle w:val="Footer"/>
    </w:pPr>
  </w:p>
  <w:p w:rsidR="00BF22F8" w:rsidRDefault="00BF22F8">
    <w:pPr>
      <w:pStyle w:val="Footer"/>
    </w:pPr>
    <w:r>
      <w:fldChar w:fldCharType="begin"/>
    </w:r>
    <w:r>
      <w:instrText xml:space="preserve"> DOCPROPERTY DocumentID \* MERGEFORMAT </w:instrText>
    </w:r>
    <w:r>
      <w:fldChar w:fldCharType="separate"/>
    </w:r>
    <w:r w:rsidR="006E1111">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BF22F8" w:rsidRPr="00CA52A2" w:rsidRDefault="00BF22F8" w:rsidP="00CA52A2">
        <w:pPr>
          <w:pStyle w:val="Footer"/>
        </w:pPr>
        <w:r w:rsidRPr="00CA52A2">
          <w:fldChar w:fldCharType="begin"/>
        </w:r>
        <w:r>
          <w:instrText xml:space="preserve"> PAGE   \* MERGEFORMAT </w:instrText>
        </w:r>
        <w:r w:rsidRPr="00CA52A2">
          <w:fldChar w:fldCharType="separate"/>
        </w:r>
        <w:r w:rsidR="006E1111">
          <w:rPr>
            <w:noProof/>
          </w:rPr>
          <w:t>39</w:t>
        </w:r>
        <w:r w:rsidRPr="00CA52A2">
          <w:fldChar w:fldCharType="end"/>
        </w:r>
        <w:r w:rsidRPr="00CA52A2">
          <w:t xml:space="preserve">          </w:t>
        </w:r>
        <w:r>
          <w:t xml:space="preserve">Overview </w:t>
        </w:r>
        <w:r w:rsidRPr="00CA52A2">
          <w:t xml:space="preserve">| </w:t>
        </w:r>
        <w:r>
          <w:t>Final decision: Australian Gas Networks Access Arrangement 2016</w:t>
        </w:r>
        <w:r w:rsidRPr="00CA52A2">
          <w:t>–</w:t>
        </w:r>
        <w:r>
          <w:t>21</w:t>
        </w:r>
      </w:p>
    </w:sdtContent>
  </w:sdt>
  <w:p w:rsidR="00BF22F8" w:rsidRDefault="00BF22F8">
    <w:pPr>
      <w:pStyle w:val="Footer"/>
      <w:tabs>
        <w:tab w:val="right" w:pos="9639"/>
      </w:tabs>
      <w:rPr>
        <w:rFonts w:ascii="Cambridge Round" w:hAnsi="Cambridge Round"/>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D74" w:rsidRDefault="00A43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2F8" w:rsidRPr="00290C63" w:rsidRDefault="00BF22F8" w:rsidP="00290C63">
      <w:r>
        <w:separator/>
      </w:r>
    </w:p>
    <w:p w:rsidR="00BF22F8" w:rsidRDefault="00BF22F8"/>
  </w:footnote>
  <w:footnote w:type="continuationSeparator" w:id="0">
    <w:p w:rsidR="00BF22F8" w:rsidRPr="00290C63" w:rsidRDefault="00BF22F8" w:rsidP="00290C63">
      <w:r>
        <w:continuationSeparator/>
      </w:r>
    </w:p>
    <w:p w:rsidR="00BF22F8" w:rsidRDefault="00BF22F8"/>
  </w:footnote>
  <w:footnote w:id="1">
    <w:p w:rsidR="00BF22F8" w:rsidRDefault="00BF22F8" w:rsidP="00CF00DE">
      <w:pPr>
        <w:pStyle w:val="FootnoteText"/>
      </w:pPr>
      <w:r>
        <w:rPr>
          <w:rStyle w:val="FootnoteReference"/>
        </w:rPr>
        <w:footnoteRef/>
      </w:r>
      <w:r>
        <w:t xml:space="preserve"> </w:t>
      </w:r>
      <w:r>
        <w:tab/>
        <w:t>Pipeline ‘coverage’ under the National Gas Law (NGL) determines the level of regulation that applies to a particular pipeline or network. AGN’s South Australian distribution network is a covered pipeline. Under section 132 of the NGL, AGN must therefore submit for our approval an access arrangement in respect of the services it provides through the covered pipeline.</w:t>
      </w:r>
    </w:p>
  </w:footnote>
  <w:footnote w:id="2">
    <w:p w:rsidR="00BF22F8" w:rsidRDefault="00BF22F8" w:rsidP="00CF00DE">
      <w:pPr>
        <w:pStyle w:val="FootnoteText"/>
      </w:pPr>
      <w:r>
        <w:rPr>
          <w:rStyle w:val="FootnoteReference"/>
        </w:rPr>
        <w:footnoteRef/>
      </w:r>
      <w:r>
        <w:t xml:space="preserve"> </w:t>
      </w:r>
      <w:r>
        <w:tab/>
        <w:t>NGL, s. 23.</w:t>
      </w:r>
    </w:p>
  </w:footnote>
  <w:footnote w:id="3">
    <w:p w:rsidR="00BF22F8" w:rsidRDefault="00BF22F8">
      <w:pPr>
        <w:pStyle w:val="FootnoteText"/>
      </w:pPr>
      <w:r>
        <w:rPr>
          <w:rStyle w:val="FootnoteReference"/>
        </w:rPr>
        <w:footnoteRef/>
      </w:r>
      <w:r>
        <w:t xml:space="preserve"> </w:t>
      </w:r>
      <w:r>
        <w:tab/>
        <w:t>NGR, r. 59(2).</w:t>
      </w:r>
    </w:p>
  </w:footnote>
  <w:footnote w:id="4">
    <w:p w:rsidR="00BF22F8" w:rsidRDefault="00BF22F8">
      <w:pPr>
        <w:pStyle w:val="FootnoteText"/>
      </w:pPr>
      <w:r>
        <w:rPr>
          <w:rStyle w:val="FootnoteReference"/>
        </w:rPr>
        <w:footnoteRef/>
      </w:r>
      <w:r>
        <w:t xml:space="preserve"> </w:t>
      </w:r>
      <w:r>
        <w:tab/>
      </w:r>
      <w:hyperlink r:id="rId1" w:history="1">
        <w:r w:rsidRPr="00573A6B">
          <w:rPr>
            <w:rStyle w:val="Hyperlink"/>
            <w:sz w:val="16"/>
          </w:rPr>
          <w:t>http://www.aer.gov.au/networks-pipelines/determinations-access-arrangements/australian-gas-networks-sa-%E2%80%94-access-arrangement-2016%E2%80%9321/revised-proposal</w:t>
        </w:r>
      </w:hyperlink>
      <w:r>
        <w:t xml:space="preserve"> </w:t>
      </w:r>
    </w:p>
  </w:footnote>
  <w:footnote w:id="5">
    <w:p w:rsidR="00BF22F8" w:rsidRDefault="00BF22F8" w:rsidP="00D71817">
      <w:pPr>
        <w:pStyle w:val="FootnoteText"/>
      </w:pPr>
      <w:r>
        <w:rPr>
          <w:rStyle w:val="FootnoteReference"/>
        </w:rPr>
        <w:footnoteRef/>
      </w:r>
      <w:r>
        <w:t xml:space="preserve"> </w:t>
      </w:r>
      <w:r>
        <w:tab/>
        <w:t>NGR, r. 41(2).</w:t>
      </w:r>
    </w:p>
  </w:footnote>
  <w:footnote w:id="6">
    <w:p w:rsidR="00BF22F8" w:rsidRDefault="00BF22F8" w:rsidP="00D71817">
      <w:pPr>
        <w:pStyle w:val="FootnoteText"/>
      </w:pPr>
      <w:r>
        <w:rPr>
          <w:rStyle w:val="FootnoteReference"/>
        </w:rPr>
        <w:footnoteRef/>
      </w:r>
      <w:r>
        <w:t xml:space="preserve"> </w:t>
      </w:r>
      <w:r>
        <w:tab/>
        <w:t>Rule 64(2) provides that the AER's proposal for an access arrangement or revisions is to be formulated with regard to (a) the matters the Law requires an access arrangement to include, (b) the service provider's access arrangement proposal, and (c) the AER's reasons for refusing to approve that proposal.</w:t>
      </w:r>
    </w:p>
  </w:footnote>
  <w:footnote w:id="7">
    <w:p w:rsidR="00BF22F8" w:rsidRDefault="00BF22F8">
      <w:pPr>
        <w:pStyle w:val="FootnoteText"/>
      </w:pPr>
      <w:r>
        <w:rPr>
          <w:rStyle w:val="FootnoteReference"/>
        </w:rPr>
        <w:footnoteRef/>
      </w:r>
      <w:r>
        <w:t xml:space="preserve"> </w:t>
      </w:r>
      <w:r>
        <w:tab/>
      </w:r>
      <w:r w:rsidRPr="00865DC4">
        <w:t>In real terms</w:t>
      </w:r>
      <w:r>
        <w:t xml:space="preserve"> ($2015–16)</w:t>
      </w:r>
      <w:r w:rsidRPr="00865DC4">
        <w:t>, total revenue for 2016–21 is $</w:t>
      </w:r>
      <w:r>
        <w:t>230.0</w:t>
      </w:r>
      <w:r w:rsidRPr="00865DC4">
        <w:t xml:space="preserve"> million or </w:t>
      </w:r>
      <w:r>
        <w:t>20.1</w:t>
      </w:r>
      <w:r w:rsidRPr="00865DC4">
        <w:t xml:space="preserve"> per cent less than we approved for 201</w:t>
      </w:r>
      <w:r>
        <w:t>1</w:t>
      </w:r>
      <w:r w:rsidRPr="00865DC4">
        <w:t>–1</w:t>
      </w:r>
      <w:r>
        <w:t>6</w:t>
      </w:r>
      <w:r w:rsidRPr="00865DC4">
        <w:t>.</w:t>
      </w:r>
    </w:p>
  </w:footnote>
  <w:footnote w:id="8">
    <w:p w:rsidR="00BF22F8" w:rsidRDefault="00BF22F8" w:rsidP="00C5711A">
      <w:pPr>
        <w:pStyle w:val="FootnoteText"/>
      </w:pPr>
      <w:r>
        <w:rPr>
          <w:rStyle w:val="FootnoteReference"/>
        </w:rPr>
        <w:footnoteRef/>
      </w:r>
      <w:r>
        <w:t xml:space="preserve"> </w:t>
      </w:r>
      <w:r>
        <w:tab/>
      </w:r>
      <w:r w:rsidRPr="00DA3756">
        <w:t xml:space="preserve">For the remaining years of the </w:t>
      </w:r>
      <w:r>
        <w:t>access arrangement</w:t>
      </w:r>
      <w:r w:rsidRPr="00DA3756">
        <w:t xml:space="preserve"> period, we will update the rate of return annually.</w:t>
      </w:r>
    </w:p>
  </w:footnote>
  <w:footnote w:id="9">
    <w:p w:rsidR="00BF22F8" w:rsidRPr="00D338AB" w:rsidRDefault="00BF22F8" w:rsidP="00BC6C9D">
      <w:pPr>
        <w:pStyle w:val="FootnoteText"/>
      </w:pPr>
      <w:r>
        <w:rPr>
          <w:rStyle w:val="FootnoteReference"/>
        </w:rPr>
        <w:footnoteRef/>
      </w:r>
      <w:r>
        <w:t xml:space="preserve"> </w:t>
      </w:r>
      <w:r>
        <w:tab/>
      </w:r>
      <w:r w:rsidRPr="00CD205C">
        <w:t>AGN</w:t>
      </w:r>
      <w:r>
        <w:t>,</w:t>
      </w:r>
      <w:r w:rsidRPr="00CD205C">
        <w:t xml:space="preserve"> </w:t>
      </w:r>
      <w:r w:rsidRPr="0062063E">
        <w:rPr>
          <w:rStyle w:val="Emphasis"/>
        </w:rPr>
        <w:t>Revised Access Arrangement Information for AGN's SA Natural Gas Distribution Network</w:t>
      </w:r>
      <w:r>
        <w:t>,</w:t>
      </w:r>
      <w:r w:rsidRPr="00CD205C">
        <w:t xml:space="preserve"> January 2016</w:t>
      </w:r>
      <w:r>
        <w:t>, p. I.</w:t>
      </w:r>
    </w:p>
  </w:footnote>
  <w:footnote w:id="10">
    <w:p w:rsidR="00BF22F8" w:rsidRDefault="00BF22F8" w:rsidP="005C4399">
      <w:pPr>
        <w:pStyle w:val="FootnoteText"/>
      </w:pPr>
      <w:r>
        <w:rPr>
          <w:rStyle w:val="FootnoteReference"/>
        </w:rPr>
        <w:footnoteRef/>
      </w:r>
      <w:r>
        <w:t xml:space="preserve"> </w:t>
      </w:r>
      <w:r>
        <w:tab/>
      </w:r>
      <w:r w:rsidRPr="00671C6F">
        <w:rPr>
          <w:rStyle w:val="AERtexthighlight"/>
          <w:shd w:val="clear" w:color="auto" w:fill="auto"/>
        </w:rPr>
        <w:t xml:space="preserve">AGN, </w:t>
      </w:r>
      <w:r w:rsidRPr="00930A79">
        <w:rPr>
          <w:rStyle w:val="AERtextitalic"/>
        </w:rPr>
        <w:t>Reset RIN</w:t>
      </w:r>
      <w:r w:rsidRPr="00671C6F">
        <w:rPr>
          <w:rStyle w:val="AERtexthighlight"/>
          <w:shd w:val="clear" w:color="auto" w:fill="auto"/>
        </w:rPr>
        <w:t>, July 2015. The distribution charges account for approximately 57 per cent of the annual gas bill for a residential customer and 55 per cent of the annual gas bill for a small business customer in South Australia.</w:t>
      </w:r>
    </w:p>
  </w:footnote>
  <w:footnote w:id="11">
    <w:p w:rsidR="00BF22F8" w:rsidRDefault="00BF22F8" w:rsidP="00EE65A5">
      <w:pPr>
        <w:pStyle w:val="FootnoteText"/>
      </w:pPr>
      <w:r>
        <w:rPr>
          <w:rStyle w:val="FootnoteReference"/>
        </w:rPr>
        <w:footnoteRef/>
      </w:r>
      <w:r>
        <w:t xml:space="preserve"> </w:t>
      </w:r>
      <w:r>
        <w:tab/>
      </w:r>
      <w:r w:rsidRPr="008E1FC7">
        <w:t>Our estimate</w:t>
      </w:r>
      <w:r>
        <w:t xml:space="preserve"> of the</w:t>
      </w:r>
      <w:r w:rsidRPr="008E1FC7">
        <w:t xml:space="preserve"> potential impact </w:t>
      </w:r>
      <w:r>
        <w:t xml:space="preserve">our final decision will have for AGN's residential customers </w:t>
      </w:r>
      <w:r w:rsidRPr="008E1FC7">
        <w:t xml:space="preserve">is based on the typical annual </w:t>
      </w:r>
      <w:r>
        <w:t>gas</w:t>
      </w:r>
      <w:r w:rsidRPr="008E1FC7">
        <w:t xml:space="preserve"> usage of </w:t>
      </w:r>
      <w:r>
        <w:t>around 21</w:t>
      </w:r>
      <w:r>
        <w:rPr>
          <w:rStyle w:val="AERbody"/>
        </w:rPr>
        <w:t> </w:t>
      </w:r>
      <w:r w:rsidRPr="00C37AB3">
        <w:t>GJ</w:t>
      </w:r>
      <w:r w:rsidRPr="008E1FC7">
        <w:t xml:space="preserve"> per annum</w:t>
      </w:r>
      <w:r w:rsidRPr="00FA1641">
        <w:t xml:space="preserve"> </w:t>
      </w:r>
      <w:r w:rsidRPr="008E1FC7">
        <w:t xml:space="preserve">for a residential customer in </w:t>
      </w:r>
      <w:r>
        <w:t>South Australia</w:t>
      </w:r>
      <w:r w:rsidRPr="008E1FC7">
        <w:t xml:space="preserve">. </w:t>
      </w:r>
      <w:r>
        <w:t xml:space="preserve">See: </w:t>
      </w:r>
      <w:r w:rsidRPr="00C37AB3">
        <w:rPr>
          <w:rStyle w:val="AERtextitalic"/>
        </w:rPr>
        <w:t>ESCOSA, South Australian energy retail offer prices ministerial report 2015</w:t>
      </w:r>
      <w:r w:rsidRPr="004C4F0F">
        <w:t>, August 2015, p. 30</w:t>
      </w:r>
      <w:r>
        <w:t>. C</w:t>
      </w:r>
      <w:r w:rsidRPr="008E1FC7">
        <w:t xml:space="preserve">ustomers with different usage will experience different changes in their bills. </w:t>
      </w:r>
    </w:p>
  </w:footnote>
  <w:footnote w:id="12">
    <w:p w:rsidR="00BF22F8" w:rsidRDefault="00BF22F8" w:rsidP="004B5219">
      <w:pPr>
        <w:pStyle w:val="FootnoteText"/>
      </w:pPr>
      <w:r>
        <w:rPr>
          <w:rStyle w:val="FootnoteReference"/>
        </w:rPr>
        <w:footnoteRef/>
      </w:r>
      <w:r>
        <w:t xml:space="preserve"> </w:t>
      </w:r>
      <w:r>
        <w:tab/>
      </w:r>
      <w:r w:rsidRPr="008E1FC7">
        <w:t>Our estimate</w:t>
      </w:r>
      <w:r>
        <w:t xml:space="preserve"> of the</w:t>
      </w:r>
      <w:r w:rsidRPr="008E1FC7">
        <w:t xml:space="preserve"> potential impact </w:t>
      </w:r>
      <w:r>
        <w:t xml:space="preserve">our final decision will have for AGN's small business customers </w:t>
      </w:r>
      <w:r w:rsidRPr="008E1FC7">
        <w:t xml:space="preserve">is based on the typical annual </w:t>
      </w:r>
      <w:r>
        <w:t>gas</w:t>
      </w:r>
      <w:r w:rsidRPr="008E1FC7">
        <w:t xml:space="preserve"> usage of </w:t>
      </w:r>
      <w:r>
        <w:t>around 190</w:t>
      </w:r>
      <w:r>
        <w:rPr>
          <w:rStyle w:val="AERbody"/>
        </w:rPr>
        <w:t> </w:t>
      </w:r>
      <w:r w:rsidRPr="00C37AB3">
        <w:t>GJ</w:t>
      </w:r>
      <w:r w:rsidRPr="008E1FC7">
        <w:t xml:space="preserve"> per annum</w:t>
      </w:r>
      <w:r w:rsidRPr="00FA1641">
        <w:t xml:space="preserve"> </w:t>
      </w:r>
      <w:r w:rsidRPr="008E1FC7">
        <w:t xml:space="preserve">for a </w:t>
      </w:r>
      <w:r>
        <w:t>small business</w:t>
      </w:r>
      <w:r w:rsidRPr="008E1FC7">
        <w:t xml:space="preserve"> customer in </w:t>
      </w:r>
      <w:r>
        <w:t>South Australia</w:t>
      </w:r>
      <w:r w:rsidRPr="008E1FC7">
        <w:t xml:space="preserve">. </w:t>
      </w:r>
      <w:r>
        <w:t xml:space="preserve">See: </w:t>
      </w:r>
      <w:r w:rsidRPr="00C37AB3">
        <w:rPr>
          <w:rStyle w:val="AERtextitalic"/>
        </w:rPr>
        <w:t>ESCOSA, South Australian energy retail offer prices ministerial report 2015</w:t>
      </w:r>
      <w:r w:rsidRPr="004C4F0F">
        <w:t>, August 2015, p. 30</w:t>
      </w:r>
      <w:r>
        <w:t>. C</w:t>
      </w:r>
      <w:r w:rsidRPr="008E1FC7">
        <w:t>ustomers with different usage will experience di</w:t>
      </w:r>
      <w:r>
        <w:t>fferent changes in their bills.</w:t>
      </w:r>
    </w:p>
  </w:footnote>
  <w:footnote w:id="13">
    <w:p w:rsidR="00BF22F8" w:rsidRDefault="00BF22F8" w:rsidP="00CF00DE">
      <w:pPr>
        <w:pStyle w:val="FootnoteText"/>
      </w:pPr>
      <w:r>
        <w:rPr>
          <w:rStyle w:val="FootnoteReference"/>
        </w:rPr>
        <w:footnoteRef/>
      </w:r>
      <w:r>
        <w:t xml:space="preserve"> </w:t>
      </w:r>
      <w:r>
        <w:tab/>
        <w:t>Where actual demand across the 2016–21 access arrangement period varies from the demand forecast in the access arrangement, AGN's actual revenue will vary from the revenue allowance determined in our decision. In general, if actual demand is above forecast demand, AGN's actual revenue will be above forecast revenue, and vice versa.</w:t>
      </w:r>
    </w:p>
  </w:footnote>
  <w:footnote w:id="14">
    <w:p w:rsidR="00BF22F8" w:rsidRDefault="00BF22F8" w:rsidP="00CF00DE">
      <w:pPr>
        <w:pStyle w:val="FootnoteText"/>
      </w:pPr>
      <w:r>
        <w:rPr>
          <w:rStyle w:val="FootnoteReference"/>
        </w:rPr>
        <w:footnoteRef/>
      </w:r>
      <w:r>
        <w:t xml:space="preserve"> </w:t>
      </w:r>
      <w:r>
        <w:tab/>
        <w:t>NGR, r. 76.</w:t>
      </w:r>
    </w:p>
  </w:footnote>
  <w:footnote w:id="15">
    <w:p w:rsidR="00BF22F8" w:rsidRPr="00930A79" w:rsidRDefault="00BF22F8" w:rsidP="00CF00DE">
      <w:pPr>
        <w:pStyle w:val="FootnoteText"/>
        <w:rPr>
          <w:rStyle w:val="AERtexthighlight"/>
        </w:rPr>
      </w:pPr>
      <w:r>
        <w:rPr>
          <w:rStyle w:val="FootnoteReference"/>
        </w:rPr>
        <w:footnoteRef/>
      </w:r>
      <w:r>
        <w:t xml:space="preserve"> </w:t>
      </w:r>
      <w:r>
        <w:tab/>
        <w:t xml:space="preserve">This amount includes revenues for ancillary reference services. </w:t>
      </w:r>
    </w:p>
  </w:footnote>
  <w:footnote w:id="16">
    <w:p w:rsidR="00BF22F8" w:rsidRDefault="00BF22F8" w:rsidP="00CF00DE">
      <w:pPr>
        <w:pStyle w:val="FootnoteText"/>
      </w:pPr>
      <w:r>
        <w:rPr>
          <w:rStyle w:val="FootnoteReference"/>
        </w:rPr>
        <w:footnoteRef/>
      </w:r>
      <w:r>
        <w:t xml:space="preserve"> </w:t>
      </w:r>
      <w:r>
        <w:tab/>
      </w:r>
      <w:r w:rsidRPr="002D4706">
        <w:t xml:space="preserve">This is calculated by smoothing </w:t>
      </w:r>
      <w:r>
        <w:t xml:space="preserve">the unsmoothed </w:t>
      </w:r>
      <w:r w:rsidRPr="002D4706">
        <w:t xml:space="preserve">building block revenue </w:t>
      </w:r>
      <w:r>
        <w:t>for the 2016–21 access arrangement period as set in this final decision.</w:t>
      </w:r>
    </w:p>
  </w:footnote>
  <w:footnote w:id="17">
    <w:p w:rsidR="00BF22F8" w:rsidRDefault="00BF22F8" w:rsidP="005C4399">
      <w:pPr>
        <w:pStyle w:val="FootnoteText"/>
      </w:pPr>
      <w:r>
        <w:rPr>
          <w:rStyle w:val="FootnoteReference"/>
        </w:rPr>
        <w:footnoteRef/>
      </w:r>
      <w:r>
        <w:t xml:space="preserve"> </w:t>
      </w:r>
      <w:r>
        <w:tab/>
      </w:r>
      <w:r w:rsidRPr="00671C6F">
        <w:rPr>
          <w:rStyle w:val="AERtexthighlight"/>
          <w:shd w:val="clear" w:color="auto" w:fill="auto"/>
        </w:rPr>
        <w:t xml:space="preserve">AGN, </w:t>
      </w:r>
      <w:r w:rsidRPr="00930A79">
        <w:rPr>
          <w:rStyle w:val="AERtextitalic"/>
        </w:rPr>
        <w:t>Revised proposed PTRM</w:t>
      </w:r>
      <w:r w:rsidRPr="00671C6F">
        <w:rPr>
          <w:rStyle w:val="AERtexthighlight"/>
          <w:shd w:val="clear" w:color="auto" w:fill="auto"/>
        </w:rPr>
        <w:t>, January 2016.</w:t>
      </w:r>
    </w:p>
  </w:footnote>
  <w:footnote w:id="18">
    <w:p w:rsidR="00BF22F8" w:rsidRDefault="00BF22F8" w:rsidP="00CF00DE">
      <w:pPr>
        <w:pStyle w:val="FootnoteText"/>
      </w:pPr>
      <w:r>
        <w:rPr>
          <w:rStyle w:val="FootnoteReference"/>
        </w:rPr>
        <w:footnoteRef/>
      </w:r>
      <w:r>
        <w:t xml:space="preserve"> </w:t>
      </w:r>
      <w:r>
        <w:tab/>
        <w:t>The tariff path for 2011–21 uses actual inflation outcomes for the 2011–15 period, and estimated inflation for 2015–21.</w:t>
      </w:r>
    </w:p>
  </w:footnote>
  <w:footnote w:id="19">
    <w:p w:rsidR="00BF22F8" w:rsidRDefault="00BF22F8">
      <w:pPr>
        <w:pStyle w:val="FootnoteText"/>
      </w:pPr>
      <w:r>
        <w:rPr>
          <w:rStyle w:val="FootnoteReference"/>
        </w:rPr>
        <w:footnoteRef/>
      </w:r>
      <w:r>
        <w:t xml:space="preserve"> </w:t>
      </w:r>
      <w:r>
        <w:tab/>
        <w:t xml:space="preserve">This reflects AGN's revised proposed X factor of 5.47 per cent </w:t>
      </w:r>
      <w:r w:rsidRPr="0034799A">
        <w:t xml:space="preserve">for 2016–17 </w:t>
      </w:r>
      <w:r>
        <w:t xml:space="preserve">and the final decision forecast inflation of 2.39 per cent. </w:t>
      </w:r>
    </w:p>
  </w:footnote>
  <w:footnote w:id="20">
    <w:p w:rsidR="00BF22F8" w:rsidRDefault="00BF22F8">
      <w:pPr>
        <w:pStyle w:val="FootnoteText"/>
      </w:pPr>
      <w:r>
        <w:rPr>
          <w:rStyle w:val="FootnoteReference"/>
        </w:rPr>
        <w:footnoteRef/>
      </w:r>
      <w:r>
        <w:t xml:space="preserve"> </w:t>
      </w:r>
      <w:r>
        <w:tab/>
        <w:t>This reflects AGN's revised proposed X factor of –5.00 per cent per year for 2017–21 and the final decision forecast inflation of 2.39 per cent per year.</w:t>
      </w:r>
    </w:p>
  </w:footnote>
  <w:footnote w:id="21">
    <w:p w:rsidR="00BF22F8" w:rsidRDefault="00BF22F8" w:rsidP="00CF00DE">
      <w:pPr>
        <w:pStyle w:val="FootnoteText"/>
      </w:pPr>
      <w:r>
        <w:rPr>
          <w:rStyle w:val="FootnoteReference"/>
        </w:rPr>
        <w:footnoteRef/>
      </w:r>
      <w:r>
        <w:t xml:space="preserve"> </w:t>
      </w:r>
      <w:r>
        <w:tab/>
        <w:t>The revenue equalisation occurs in NPV terms, discounting the yearly cash flows at the rate of return to reflect the time value of money.</w:t>
      </w:r>
    </w:p>
  </w:footnote>
  <w:footnote w:id="22">
    <w:p w:rsidR="00BF22F8" w:rsidRDefault="00BF22F8" w:rsidP="00CF00DE">
      <w:pPr>
        <w:pStyle w:val="FootnoteText"/>
      </w:pPr>
      <w:r>
        <w:rPr>
          <w:rStyle w:val="FootnoteReference"/>
        </w:rPr>
        <w:footnoteRef/>
      </w:r>
      <w:r>
        <w:t xml:space="preserve"> </w:t>
      </w:r>
      <w:r>
        <w:tab/>
        <w:t>NGL, ss. 23, 24.</w:t>
      </w:r>
    </w:p>
  </w:footnote>
  <w:footnote w:id="23">
    <w:p w:rsidR="00BF22F8" w:rsidRDefault="00BF22F8">
      <w:pPr>
        <w:pStyle w:val="FootnoteText"/>
      </w:pPr>
      <w:r>
        <w:rPr>
          <w:rStyle w:val="FootnoteReference"/>
        </w:rPr>
        <w:footnoteRef/>
      </w:r>
      <w:r>
        <w:t xml:space="preserve"> </w:t>
      </w:r>
      <w:r>
        <w:tab/>
        <w:t>We did not receive submissions from other stakeholders in relation to the tariff path profile.</w:t>
      </w:r>
    </w:p>
  </w:footnote>
  <w:footnote w:id="24">
    <w:p w:rsidR="00BF22F8" w:rsidRDefault="00BF22F8">
      <w:pPr>
        <w:pStyle w:val="FootnoteText"/>
      </w:pPr>
      <w:r>
        <w:rPr>
          <w:rStyle w:val="FootnoteReference"/>
        </w:rPr>
        <w:footnoteRef/>
      </w:r>
      <w:r>
        <w:t xml:space="preserve"> </w:t>
      </w:r>
      <w:r>
        <w:tab/>
        <w:t xml:space="preserve">Email AGN to AER, </w:t>
      </w:r>
      <w:r w:rsidRPr="008D163A">
        <w:rPr>
          <w:rStyle w:val="AERtextitalic"/>
        </w:rPr>
        <w:t>AGN Price Path</w:t>
      </w:r>
      <w:r>
        <w:t>, 6 April 2016.</w:t>
      </w:r>
    </w:p>
  </w:footnote>
  <w:footnote w:id="25">
    <w:p w:rsidR="00BF22F8" w:rsidRDefault="00BF22F8" w:rsidP="00166D56">
      <w:pPr>
        <w:pStyle w:val="FootnoteText"/>
      </w:pPr>
      <w:r>
        <w:rPr>
          <w:rStyle w:val="FootnoteReference"/>
        </w:rPr>
        <w:footnoteRef/>
      </w:r>
      <w:r>
        <w:t xml:space="preserve"> </w:t>
      </w:r>
      <w:r>
        <w:tab/>
        <w:t xml:space="preserve">AGN, </w:t>
      </w:r>
      <w:r>
        <w:rPr>
          <w:rStyle w:val="AERtextitalic"/>
        </w:rPr>
        <w:t>Reset RIN</w:t>
      </w:r>
      <w:r>
        <w:t xml:space="preserve">, July 2015. </w:t>
      </w:r>
    </w:p>
  </w:footnote>
  <w:footnote w:id="26">
    <w:p w:rsidR="00BF22F8" w:rsidRDefault="00BF22F8" w:rsidP="00166D56">
      <w:pPr>
        <w:pStyle w:val="FootnoteText"/>
      </w:pPr>
      <w:r>
        <w:rPr>
          <w:rStyle w:val="FootnoteReference"/>
        </w:rPr>
        <w:footnoteRef/>
      </w:r>
      <w:r>
        <w:t xml:space="preserve"> </w:t>
      </w:r>
      <w:r>
        <w:tab/>
      </w:r>
      <w:r w:rsidRPr="00A46A45">
        <w:t xml:space="preserve">ESCOSA, </w:t>
      </w:r>
      <w:r w:rsidRPr="0048263F">
        <w:rPr>
          <w:rStyle w:val="AERtextitalic"/>
        </w:rPr>
        <w:t>South Australian energy retail offer prices ministerial report 2015</w:t>
      </w:r>
      <w:r w:rsidRPr="00A46A45">
        <w:t>, August 2015, p. 30</w:t>
      </w:r>
      <w:r>
        <w:t>.</w:t>
      </w:r>
    </w:p>
  </w:footnote>
  <w:footnote w:id="27">
    <w:p w:rsidR="00BF22F8" w:rsidRDefault="00BF22F8" w:rsidP="00166D56">
      <w:pPr>
        <w:pStyle w:val="FootnoteText"/>
      </w:pPr>
      <w:r>
        <w:rPr>
          <w:rStyle w:val="FootnoteReference"/>
        </w:rPr>
        <w:footnoteRef/>
      </w:r>
      <w:r>
        <w:t xml:space="preserve"> </w:t>
      </w:r>
      <w:r>
        <w:tab/>
        <w:t xml:space="preserve">AGN, </w:t>
      </w:r>
      <w:r w:rsidRPr="005A35A7">
        <w:rPr>
          <w:rStyle w:val="AERtextitalic"/>
        </w:rPr>
        <w:t>Reset RIN</w:t>
      </w:r>
      <w:r>
        <w:t>, June 2015.</w:t>
      </w:r>
    </w:p>
  </w:footnote>
  <w:footnote w:id="28">
    <w:p w:rsidR="00BF22F8" w:rsidRDefault="00BF22F8" w:rsidP="00E51D55">
      <w:pPr>
        <w:pStyle w:val="FootnoteText"/>
      </w:pPr>
      <w:r>
        <w:rPr>
          <w:rStyle w:val="FootnoteReference"/>
        </w:rPr>
        <w:footnoteRef/>
      </w:r>
      <w:r>
        <w:t xml:space="preserve"> </w:t>
      </w:r>
      <w:r>
        <w:tab/>
      </w:r>
      <w:r w:rsidRPr="00E51D55">
        <w:t xml:space="preserve"> </w:t>
      </w:r>
      <w:r w:rsidRPr="006C54CD">
        <w:rPr>
          <w:rStyle w:val="Hyperlink"/>
          <w:color w:val="auto"/>
          <w:sz w:val="16"/>
          <w:u w:val="none"/>
        </w:rPr>
        <w:t>http://www.aer.gov.au/networks-pipelines/better-regulation</w:t>
      </w:r>
      <w:r w:rsidRPr="00E51D55">
        <w:rPr>
          <w:rStyle w:val="Hyperlink"/>
          <w:color w:val="auto"/>
          <w:sz w:val="16"/>
          <w:u w:val="none"/>
        </w:rPr>
        <w:t>.</w:t>
      </w:r>
    </w:p>
  </w:footnote>
  <w:footnote w:id="29">
    <w:p w:rsidR="00BF22F8" w:rsidRDefault="00BF22F8" w:rsidP="00CF00DE">
      <w:pPr>
        <w:pStyle w:val="FootnoteText"/>
      </w:pPr>
      <w:r>
        <w:rPr>
          <w:rStyle w:val="FootnoteReference"/>
        </w:rPr>
        <w:footnoteRef/>
      </w:r>
      <w:r>
        <w:t xml:space="preserve"> </w:t>
      </w:r>
      <w:r>
        <w:tab/>
        <w:t>The size of the capital base also impacts the benchmark debt raising cost allowance. However, this amount is usually relatively small and therefore not a significant determinant of revenues overall.</w:t>
      </w:r>
    </w:p>
  </w:footnote>
  <w:footnote w:id="30">
    <w:p w:rsidR="00BF22F8" w:rsidRDefault="00BF22F8" w:rsidP="00E56BD8">
      <w:pPr>
        <w:pStyle w:val="FootnoteText"/>
      </w:pPr>
      <w:r>
        <w:rPr>
          <w:rStyle w:val="FootnoteReference"/>
        </w:rPr>
        <w:footnoteRef/>
      </w:r>
      <w:r>
        <w:t xml:space="preserve"> </w:t>
      </w:r>
      <w:r>
        <w:tab/>
        <w:t>NGR, r. 87(2).</w:t>
      </w:r>
    </w:p>
  </w:footnote>
  <w:footnote w:id="31">
    <w:p w:rsidR="00BF22F8" w:rsidRDefault="00BF22F8" w:rsidP="00E56BD8">
      <w:pPr>
        <w:pStyle w:val="FootnoteText"/>
      </w:pPr>
      <w:r>
        <w:rPr>
          <w:rStyle w:val="FootnoteReference"/>
        </w:rPr>
        <w:footnoteRef/>
      </w:r>
      <w:r>
        <w:t xml:space="preserve"> </w:t>
      </w:r>
      <w:r>
        <w:tab/>
        <w:t>NGR, r. 87(3).</w:t>
      </w:r>
    </w:p>
  </w:footnote>
  <w:footnote w:id="32">
    <w:p w:rsidR="00BF22F8" w:rsidRDefault="00BF22F8" w:rsidP="00E56BD8">
      <w:pPr>
        <w:pStyle w:val="FootnoteText"/>
      </w:pPr>
      <w:r>
        <w:rPr>
          <w:rStyle w:val="FootnoteReference"/>
        </w:rPr>
        <w:footnoteRef/>
      </w:r>
      <w:r>
        <w:t xml:space="preserve"> </w:t>
      </w:r>
      <w:r>
        <w:tab/>
        <w:t xml:space="preserve">AGN, </w:t>
      </w:r>
      <w:r>
        <w:rPr>
          <w:rStyle w:val="AERtextitalic"/>
        </w:rPr>
        <w:t>Attachment 10.26, Response to draft decision: Rate of return</w:t>
      </w:r>
      <w:r>
        <w:t>, 6 January 2016, p. 89.</w:t>
      </w:r>
    </w:p>
  </w:footnote>
  <w:footnote w:id="33">
    <w:p w:rsidR="00BF22F8" w:rsidRDefault="00BF22F8" w:rsidP="00E56BD8">
      <w:pPr>
        <w:pStyle w:val="FootnoteText"/>
      </w:pPr>
      <w:r>
        <w:rPr>
          <w:rStyle w:val="FootnoteReference"/>
        </w:rPr>
        <w:footnoteRef/>
      </w:r>
      <w:r>
        <w:t xml:space="preserve"> </w:t>
      </w:r>
      <w:r>
        <w:tab/>
        <w:t>NGR, r. 87(4).</w:t>
      </w:r>
    </w:p>
  </w:footnote>
  <w:footnote w:id="34">
    <w:p w:rsidR="00BF22F8" w:rsidRDefault="00BF22F8" w:rsidP="00E56BD8">
      <w:pPr>
        <w:pStyle w:val="FootnoteText"/>
      </w:pPr>
      <w:r>
        <w:rPr>
          <w:rStyle w:val="FootnoteReference"/>
        </w:rPr>
        <w:footnoteRef/>
      </w:r>
      <w:r>
        <w:t xml:space="preserve"> </w:t>
      </w:r>
      <w:r>
        <w:tab/>
        <w:t>NGL, s. 28.</w:t>
      </w:r>
    </w:p>
  </w:footnote>
  <w:footnote w:id="35">
    <w:p w:rsidR="00BF22F8" w:rsidRDefault="00BF22F8" w:rsidP="002206EF">
      <w:pPr>
        <w:pStyle w:val="FootnoteText"/>
      </w:pPr>
      <w:r>
        <w:rPr>
          <w:rStyle w:val="FootnoteReference"/>
        </w:rPr>
        <w:footnoteRef/>
      </w:r>
      <w:r>
        <w:t xml:space="preserve"> </w:t>
      </w:r>
      <w:r>
        <w:tab/>
        <w:t>NGR, r. 87(6)</w:t>
      </w:r>
    </w:p>
  </w:footnote>
  <w:footnote w:id="36">
    <w:p w:rsidR="00BF22F8" w:rsidRDefault="00BF22F8" w:rsidP="002206EF">
      <w:pPr>
        <w:pStyle w:val="FootnoteText"/>
      </w:pPr>
      <w:r>
        <w:rPr>
          <w:rStyle w:val="FootnoteReference"/>
        </w:rPr>
        <w:footnoteRef/>
      </w:r>
      <w:r>
        <w:t xml:space="preserve"> </w:t>
      </w:r>
      <w:r>
        <w:tab/>
        <w:t xml:space="preserve">AGN, </w:t>
      </w:r>
      <w:r>
        <w:rPr>
          <w:rStyle w:val="AERtextitalic"/>
        </w:rPr>
        <w:t>Attachment 10.26, Response to draft decision: Rate of return</w:t>
      </w:r>
      <w:r>
        <w:t>, 6 January 2016, pp. 6, 10.</w:t>
      </w:r>
    </w:p>
  </w:footnote>
  <w:footnote w:id="37">
    <w:p w:rsidR="00BF22F8" w:rsidRDefault="00BF22F8" w:rsidP="00E56BD8">
      <w:pPr>
        <w:pStyle w:val="FootnoteText"/>
      </w:pPr>
      <w:r>
        <w:rPr>
          <w:rStyle w:val="FootnoteReference"/>
        </w:rPr>
        <w:footnoteRef/>
      </w:r>
      <w:r>
        <w:t xml:space="preserve">     This final decision determines the return on debt methodology for the 2016–21 access arrangement period. This period covers the first five years of the 10 year transition period. This decision also sets out our intended return on debt methodology for the remaining five years. However, we do not have the power to determine in this decision the return on debt methodology for those years. Under the NGR, the return on debt methodology must be determined in future decisions that relate to that period.</w:t>
      </w:r>
    </w:p>
  </w:footnote>
  <w:footnote w:id="38">
    <w:p w:rsidR="00F66146" w:rsidRDefault="00F66146" w:rsidP="00F66146">
      <w:pPr>
        <w:pStyle w:val="FootnoteText"/>
      </w:pPr>
      <w:r>
        <w:rPr>
          <w:rStyle w:val="FootnoteReference"/>
        </w:rPr>
        <w:footnoteRef/>
      </w:r>
      <w:r>
        <w:t xml:space="preserve"> </w:t>
      </w:r>
      <w:r>
        <w:tab/>
      </w:r>
      <w:r w:rsidRPr="00890E69">
        <w:rPr>
          <w:rStyle w:val="AERtextitalic"/>
        </w:rPr>
        <w:t>Income Tax Assessment Act 1997</w:t>
      </w:r>
      <w:r>
        <w:t>, parts 3–6.</w:t>
      </w:r>
    </w:p>
  </w:footnote>
  <w:footnote w:id="39">
    <w:p w:rsidR="00F66146" w:rsidRDefault="00F66146" w:rsidP="00F66146">
      <w:pPr>
        <w:pStyle w:val="FootnoteText"/>
      </w:pPr>
      <w:r>
        <w:rPr>
          <w:rStyle w:val="FootnoteReference"/>
        </w:rPr>
        <w:footnoteRef/>
      </w:r>
      <w:r>
        <w:t xml:space="preserve"> </w:t>
      </w:r>
      <w:r>
        <w:tab/>
        <w:t xml:space="preserve">While the return on equity is not reduced to take into account the value of imputation credits, we note our estimate of the MRP does consider the value we use for imputation credits to ensure it reflects the value to investors in the domestic Australian market inclusive of credits. </w:t>
      </w:r>
    </w:p>
  </w:footnote>
  <w:footnote w:id="40">
    <w:p w:rsidR="00F66146" w:rsidRDefault="00F66146" w:rsidP="00F66146">
      <w:pPr>
        <w:pStyle w:val="FootnoteText"/>
      </w:pPr>
      <w:r>
        <w:rPr>
          <w:rStyle w:val="FootnoteReference"/>
        </w:rPr>
        <w:footnoteRef/>
      </w:r>
      <w:r>
        <w:t xml:space="preserve"> </w:t>
      </w:r>
      <w:r>
        <w:tab/>
        <w:t>NGR, rr. 76(c), 87A.</w:t>
      </w:r>
    </w:p>
  </w:footnote>
  <w:footnote w:id="41">
    <w:p w:rsidR="00F66146" w:rsidRDefault="00F66146" w:rsidP="00F66146">
      <w:pPr>
        <w:pStyle w:val="FootnoteText"/>
      </w:pPr>
      <w:r>
        <w:rPr>
          <w:rStyle w:val="FootnoteReference"/>
        </w:rPr>
        <w:footnoteRef/>
      </w:r>
      <w:r>
        <w:t xml:space="preserve"> </w:t>
      </w:r>
      <w:r>
        <w:tab/>
        <w:t xml:space="preserve">AGN, </w:t>
      </w:r>
      <w:r w:rsidRPr="00BC0F43">
        <w:rPr>
          <w:rStyle w:val="AERtextitalic"/>
        </w:rPr>
        <w:t xml:space="preserve">Revised access arrangement proposal: </w:t>
      </w:r>
      <w:r>
        <w:rPr>
          <w:rStyle w:val="AERtextitalic"/>
        </w:rPr>
        <w:t>Attachment</w:t>
      </w:r>
      <w:r w:rsidRPr="00BC0F43">
        <w:rPr>
          <w:rStyle w:val="AERtextitalic"/>
        </w:rPr>
        <w:t xml:space="preserve"> </w:t>
      </w:r>
      <w:r>
        <w:rPr>
          <w:rStyle w:val="AERtextitalic"/>
        </w:rPr>
        <w:t>11.10</w:t>
      </w:r>
      <w:r w:rsidRPr="00BC0F43">
        <w:rPr>
          <w:rStyle w:val="AERtextitalic"/>
        </w:rPr>
        <w:t>—</w:t>
      </w:r>
      <w:r>
        <w:rPr>
          <w:rStyle w:val="AERtextitalic"/>
        </w:rPr>
        <w:t>Response to draft decision: Cost of tax</w:t>
      </w:r>
      <w:r>
        <w:t>, January 2016, pp. 4–24.</w:t>
      </w:r>
    </w:p>
  </w:footnote>
  <w:footnote w:id="42">
    <w:p w:rsidR="00F66146" w:rsidRDefault="00F66146" w:rsidP="00F66146">
      <w:pPr>
        <w:pStyle w:val="FootnoteText"/>
      </w:pPr>
      <w:r>
        <w:rPr>
          <w:rStyle w:val="FootnoteReference"/>
        </w:rPr>
        <w:footnoteRef/>
      </w:r>
      <w:r>
        <w:t xml:space="preserve"> </w:t>
      </w:r>
      <w:r>
        <w:tab/>
      </w:r>
      <w:r w:rsidRPr="009524C9">
        <w:rPr>
          <w:rStyle w:val="AERtextitalic"/>
        </w:rPr>
        <w:t>United Energy,</w:t>
      </w:r>
      <w:r w:rsidRPr="00F66146">
        <w:rPr>
          <w:rStyle w:val="AERtexthighlight"/>
          <w:shd w:val="clear" w:color="auto" w:fill="auto"/>
        </w:rPr>
        <w:t xml:space="preserve"> </w:t>
      </w:r>
      <w:r w:rsidRPr="005942A6">
        <w:rPr>
          <w:rStyle w:val="AERtextitalic"/>
        </w:rPr>
        <w:t>Submission on AER preliminary determination - Submission on gamma</w:t>
      </w:r>
      <w:r w:rsidRPr="00F66146">
        <w:rPr>
          <w:rStyle w:val="AERtexthighlight"/>
          <w:shd w:val="clear" w:color="auto" w:fill="auto"/>
        </w:rPr>
        <w:t>, 26 April 2016;</w:t>
      </w:r>
      <w:r w:rsidRPr="005942A6">
        <w:rPr>
          <w:rStyle w:val="AERtexthighlight"/>
        </w:rPr>
        <w:t xml:space="preserve"> </w:t>
      </w:r>
      <w:r w:rsidRPr="00F66146">
        <w:rPr>
          <w:rStyle w:val="AERtexthighlight"/>
          <w:shd w:val="clear" w:color="auto" w:fill="auto"/>
        </w:rPr>
        <w:t xml:space="preserve">CitiPower/Powercor, </w:t>
      </w:r>
      <w:r w:rsidRPr="005942A6">
        <w:rPr>
          <w:rStyle w:val="AERtextitalic"/>
        </w:rPr>
        <w:t>Submission on implications of recent Australian Competition Tribunal Decision</w:t>
      </w:r>
      <w:r w:rsidRPr="00F66146">
        <w:rPr>
          <w:rStyle w:val="AERtexthighlight"/>
          <w:shd w:val="clear" w:color="auto" w:fill="auto"/>
        </w:rPr>
        <w:t>, 18 April 2016; ActewAGL</w:t>
      </w:r>
      <w:r w:rsidRPr="00F66146">
        <w:rPr>
          <w:rStyle w:val="AERtextitalic"/>
          <w:i w:val="0"/>
        </w:rPr>
        <w:t>,</w:t>
      </w:r>
      <w:r w:rsidRPr="005942A6">
        <w:rPr>
          <w:rStyle w:val="AERtextitalic"/>
        </w:rPr>
        <w:t xml:space="preserve"> Implication of recent Tribunal decisions for final decision and updates to the allowed rate of return and forecast inflation estimate</w:t>
      </w:r>
      <w:r w:rsidRPr="00F66146">
        <w:rPr>
          <w:rStyle w:val="AERtexthighlight"/>
          <w:shd w:val="clear" w:color="auto" w:fill="auto"/>
        </w:rPr>
        <w:t>, 12 May 2016.</w:t>
      </w:r>
    </w:p>
  </w:footnote>
  <w:footnote w:id="43">
    <w:p w:rsidR="00F66146" w:rsidRDefault="00F66146" w:rsidP="00F66146">
      <w:pPr>
        <w:pStyle w:val="FootnoteText"/>
      </w:pPr>
      <w:r>
        <w:rPr>
          <w:rStyle w:val="FootnoteReference"/>
        </w:rPr>
        <w:footnoteRef/>
      </w:r>
      <w:r>
        <w:t xml:space="preserve"> </w:t>
      </w:r>
      <w:r>
        <w:tab/>
        <w:t>For example, see</w:t>
      </w:r>
      <w:r w:rsidRPr="00A62662">
        <w:t xml:space="preserve"> </w:t>
      </w:r>
      <w:r>
        <w:t xml:space="preserve">Australian Competition Tribunal, </w:t>
      </w:r>
      <w:r w:rsidRPr="005772E3">
        <w:rPr>
          <w:rStyle w:val="AERtextitalic"/>
        </w:rPr>
        <w:t>Applications by Public Interest Advocacy Centre Ltd and Ausgrid [2016] ACompT 1</w:t>
      </w:r>
      <w:r>
        <w:t>, 26 February 2016, para 1(c).</w:t>
      </w:r>
    </w:p>
  </w:footnote>
  <w:footnote w:id="44">
    <w:p w:rsidR="00F66146" w:rsidRDefault="00F66146" w:rsidP="00F66146">
      <w:pPr>
        <w:pStyle w:val="FootnoteText"/>
      </w:pPr>
      <w:r>
        <w:rPr>
          <w:rStyle w:val="FootnoteReference"/>
        </w:rPr>
        <w:footnoteRef/>
      </w:r>
      <w:r>
        <w:t xml:space="preserve"> </w:t>
      </w:r>
      <w:r>
        <w:tab/>
      </w:r>
      <w:r w:rsidRPr="0060763E">
        <w:t xml:space="preserve">Lally, </w:t>
      </w:r>
      <w:r w:rsidRPr="0060763E">
        <w:rPr>
          <w:rStyle w:val="AERtextitalic"/>
        </w:rPr>
        <w:t>Gamma and the ACT Decision</w:t>
      </w:r>
      <w:r w:rsidRPr="0060763E">
        <w:t>, May 2016</w:t>
      </w:r>
      <w:r>
        <w:t>.</w:t>
      </w:r>
    </w:p>
  </w:footnote>
  <w:footnote w:id="45">
    <w:p w:rsidR="00F66146" w:rsidRDefault="00F66146" w:rsidP="00F66146">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46">
    <w:p w:rsidR="00BF22F8" w:rsidRDefault="00BF22F8" w:rsidP="00CF00DE">
      <w:pPr>
        <w:pStyle w:val="FootnoteText"/>
      </w:pPr>
      <w:r>
        <w:rPr>
          <w:rStyle w:val="FootnoteReference"/>
        </w:rPr>
        <w:footnoteRef/>
      </w:r>
      <w:r>
        <w:t xml:space="preserve"> </w:t>
      </w:r>
      <w:r>
        <w:tab/>
        <w:t>Under our standard approach,</w:t>
      </w:r>
      <w:r w:rsidRPr="00847540">
        <w:t xml:space="preserve"> the distinction is made between straight-line depreciation and regulatory depreciation. The difference being that regulatory depreciation is the straight-line depreciation minus the indexation adjustment.</w:t>
      </w:r>
    </w:p>
  </w:footnote>
  <w:footnote w:id="47">
    <w:p w:rsidR="00BF22F8" w:rsidRDefault="00BF22F8" w:rsidP="00CF00DE">
      <w:pPr>
        <w:pStyle w:val="FootnoteText"/>
      </w:pPr>
      <w:r>
        <w:rPr>
          <w:rStyle w:val="FootnoteReference"/>
        </w:rPr>
        <w:footnoteRef/>
      </w:r>
      <w:r>
        <w:t xml:space="preserve"> </w:t>
      </w:r>
      <w:r>
        <w:tab/>
        <w:t>NGR, r. 76(b).</w:t>
      </w:r>
    </w:p>
  </w:footnote>
  <w:footnote w:id="48">
    <w:p w:rsidR="00BF22F8" w:rsidRDefault="00BF22F8" w:rsidP="00CF00DE">
      <w:pPr>
        <w:pStyle w:val="FootnoteText"/>
      </w:pPr>
      <w:r>
        <w:rPr>
          <w:rStyle w:val="FootnoteReference"/>
        </w:rPr>
        <w:footnoteRef/>
      </w:r>
      <w:r>
        <w:t xml:space="preserve"> </w:t>
      </w:r>
      <w:r>
        <w:tab/>
        <w:t>NGR, r. 89.</w:t>
      </w:r>
    </w:p>
  </w:footnote>
  <w:footnote w:id="49">
    <w:p w:rsidR="00BF22F8" w:rsidRDefault="00BF22F8" w:rsidP="00CF00DE">
      <w:pPr>
        <w:pStyle w:val="FootnoteText"/>
      </w:pPr>
      <w:r>
        <w:rPr>
          <w:rStyle w:val="FootnoteReference"/>
        </w:rPr>
        <w:footnoteRef/>
      </w:r>
      <w:r>
        <w:t xml:space="preserve"> </w:t>
      </w:r>
      <w:r>
        <w:tab/>
        <w:t>NGL, s. 28; NGR, r. 100(1). The NGO is set out in NGL, s. 23. The revenue and pricing principles are set out in NGL, s. 24.</w:t>
      </w:r>
    </w:p>
  </w:footnote>
  <w:footnote w:id="50">
    <w:p w:rsidR="00BF22F8" w:rsidRDefault="00BF22F8" w:rsidP="000B4E47">
      <w:pPr>
        <w:pStyle w:val="FootnoteText"/>
      </w:pPr>
      <w:r>
        <w:rPr>
          <w:rStyle w:val="FootnoteReference"/>
        </w:rPr>
        <w:footnoteRef/>
      </w:r>
      <w:r>
        <w:t xml:space="preserve"> </w:t>
      </w:r>
      <w:r>
        <w:tab/>
        <w:t>NGR, r. 89(1)(a).</w:t>
      </w:r>
    </w:p>
  </w:footnote>
  <w:footnote w:id="51">
    <w:p w:rsidR="00BF22F8" w:rsidRDefault="00BF22F8" w:rsidP="0020076A">
      <w:pPr>
        <w:pStyle w:val="FootnoteText"/>
      </w:pPr>
      <w:r>
        <w:rPr>
          <w:rStyle w:val="FootnoteReference"/>
        </w:rPr>
        <w:footnoteRef/>
      </w:r>
      <w:r>
        <w:t xml:space="preserve"> </w:t>
      </w:r>
      <w:r>
        <w:tab/>
        <w:t xml:space="preserve">AGN, </w:t>
      </w:r>
      <w:r w:rsidRPr="00FF51C4">
        <w:rPr>
          <w:rStyle w:val="AERtextitalic"/>
        </w:rPr>
        <w:t>Revised proposal: Attachment 9.5 2016/17 to 2020/21 access arrangement information response to draft decision</w:t>
      </w:r>
      <w:r>
        <w:rPr>
          <w:rStyle w:val="AERtextitalic"/>
        </w:rPr>
        <w:t>—Financeability</w:t>
      </w:r>
      <w:r>
        <w:t>, January 2016, p. 4.</w:t>
      </w:r>
    </w:p>
  </w:footnote>
  <w:footnote w:id="52">
    <w:p w:rsidR="00BF22F8" w:rsidRDefault="00BF22F8" w:rsidP="00CF00DE">
      <w:pPr>
        <w:pStyle w:val="FootnoteText"/>
      </w:pPr>
      <w:r>
        <w:rPr>
          <w:rStyle w:val="FootnoteReference"/>
        </w:rPr>
        <w:footnoteRef/>
      </w:r>
      <w:r>
        <w:t xml:space="preserve"> </w:t>
      </w:r>
      <w:r>
        <w:tab/>
        <w:t>NGR, r. 77(2)(b).</w:t>
      </w:r>
    </w:p>
  </w:footnote>
  <w:footnote w:id="53">
    <w:p w:rsidR="00BF22F8" w:rsidRDefault="00BF22F8" w:rsidP="00CF00DE">
      <w:pPr>
        <w:pStyle w:val="FootnoteText"/>
      </w:pPr>
      <w:r>
        <w:rPr>
          <w:rStyle w:val="FootnoteReference"/>
        </w:rPr>
        <w:footnoteRef/>
      </w:r>
      <w:r>
        <w:t xml:space="preserve"> </w:t>
      </w:r>
      <w:r>
        <w:tab/>
        <w:t>NGR, r. 79.</w:t>
      </w:r>
    </w:p>
  </w:footnote>
  <w:footnote w:id="54">
    <w:p w:rsidR="00BF22F8" w:rsidRDefault="00BF22F8" w:rsidP="00CF00DE">
      <w:pPr>
        <w:pStyle w:val="FootnoteText"/>
      </w:pPr>
      <w:r>
        <w:rPr>
          <w:rStyle w:val="FootnoteReference"/>
        </w:rPr>
        <w:footnoteRef/>
      </w:r>
      <w:r>
        <w:t xml:space="preserve"> </w:t>
      </w:r>
      <w:r>
        <w:tab/>
        <w:t>Capex for 2015–16 will be assessed as part of our next review, when actual data for that year will be available.</w:t>
      </w:r>
    </w:p>
  </w:footnote>
  <w:footnote w:id="55">
    <w:p w:rsidR="00BF22F8" w:rsidRDefault="00BF22F8">
      <w:pPr>
        <w:pStyle w:val="FootnoteText"/>
      </w:pPr>
      <w:r>
        <w:rPr>
          <w:rStyle w:val="FootnoteReference"/>
        </w:rPr>
        <w:footnoteRef/>
      </w:r>
      <w:r>
        <w:t xml:space="preserve"> </w:t>
      </w:r>
      <w:r>
        <w:tab/>
        <w:t>AGN's revised proposal included capex of $389.7 million for 2010–15. AGN subsequently agreed $0.3 million of this amount should be assessed as opex (see attachment 6).</w:t>
      </w:r>
    </w:p>
  </w:footnote>
  <w:footnote w:id="56">
    <w:p w:rsidR="00BF22F8" w:rsidRDefault="00BF22F8" w:rsidP="00D12249">
      <w:pPr>
        <w:pStyle w:val="FootnoteText"/>
      </w:pPr>
      <w:r>
        <w:rPr>
          <w:rStyle w:val="FootnoteReference"/>
        </w:rPr>
        <w:footnoteRef/>
      </w:r>
      <w:r>
        <w:t xml:space="preserve"> </w:t>
      </w:r>
      <w:r>
        <w:tab/>
        <w:t xml:space="preserve">AGN, </w:t>
      </w:r>
      <w:r w:rsidRPr="008C1980">
        <w:rPr>
          <w:rStyle w:val="Emphasis"/>
        </w:rPr>
        <w:t>Mains Replacement Program alternate proposal to AER</w:t>
      </w:r>
      <w:r>
        <w:t>, 1 March 2016, p. 2.</w:t>
      </w:r>
    </w:p>
  </w:footnote>
  <w:footnote w:id="57">
    <w:p w:rsidR="00BF22F8" w:rsidRDefault="00BF22F8" w:rsidP="002B4FB8">
      <w:pPr>
        <w:pStyle w:val="FootnoteText"/>
      </w:pPr>
      <w:r>
        <w:rPr>
          <w:rStyle w:val="FootnoteReference"/>
        </w:rPr>
        <w:footnoteRef/>
      </w:r>
      <w:r>
        <w:t xml:space="preserve"> </w:t>
      </w:r>
      <w:r>
        <w:tab/>
        <w:t xml:space="preserve">AGN, </w:t>
      </w:r>
      <w:r w:rsidRPr="006671D0">
        <w:rPr>
          <w:rStyle w:val="AERtextitalic"/>
        </w:rPr>
        <w:t>Revised proposal Attachment 8.10: Response to draft decision - mains replacement program</w:t>
      </w:r>
      <w:r>
        <w:t>, January 2016, pp. 23, 28, 29.</w:t>
      </w:r>
    </w:p>
  </w:footnote>
  <w:footnote w:id="58">
    <w:p w:rsidR="00BF22F8" w:rsidRDefault="00BF22F8" w:rsidP="00921F5F">
      <w:pPr>
        <w:pStyle w:val="FootnoteText"/>
      </w:pPr>
      <w:r>
        <w:rPr>
          <w:rStyle w:val="FootnoteReference"/>
        </w:rPr>
        <w:footnoteRef/>
      </w:r>
      <w:r>
        <w:t xml:space="preserve"> </w:t>
      </w:r>
      <w:r>
        <w:tab/>
        <w:t xml:space="preserve">In the OTR's 2014/15 Gas annual report, the OTR has expressed concerns that AGN has failed to carry over the outstanding block mains replacement in the Adelaide CBD not undertaken in 2012/13 and 2013/14. See: Office of the Technical Regulator, </w:t>
      </w:r>
      <w:r w:rsidRPr="006671D0">
        <w:rPr>
          <w:rStyle w:val="AERtextitalic"/>
        </w:rPr>
        <w:t>Annual report of the technical regulator: Gas 2014/15</w:t>
      </w:r>
      <w:r>
        <w:t>, 2015, p. 15.</w:t>
      </w:r>
    </w:p>
  </w:footnote>
  <w:footnote w:id="59">
    <w:p w:rsidR="00BF22F8" w:rsidRDefault="00BF22F8">
      <w:pPr>
        <w:pStyle w:val="FootnoteText"/>
      </w:pPr>
      <w:r>
        <w:rPr>
          <w:rStyle w:val="FootnoteReference"/>
        </w:rPr>
        <w:footnoteRef/>
      </w:r>
      <w:r>
        <w:t xml:space="preserve"> </w:t>
      </w:r>
      <w:r>
        <w:tab/>
        <w:t xml:space="preserve">NGR, r. </w:t>
      </w:r>
      <w:r w:rsidRPr="00070846">
        <w:t>79(2)(b)</w:t>
      </w:r>
      <w:r>
        <w:t>.</w:t>
      </w:r>
    </w:p>
  </w:footnote>
  <w:footnote w:id="60">
    <w:p w:rsidR="00BF22F8" w:rsidRDefault="00BF22F8" w:rsidP="006543F2">
      <w:pPr>
        <w:pStyle w:val="FootnoteText"/>
      </w:pPr>
      <w:r>
        <w:rPr>
          <w:rStyle w:val="FootnoteReference"/>
        </w:rPr>
        <w:footnoteRef/>
      </w:r>
      <w:r>
        <w:t xml:space="preserve"> </w:t>
      </w:r>
      <w:r>
        <w:tab/>
      </w:r>
      <w:r w:rsidRPr="00B3497F">
        <w:t xml:space="preserve">Australian Gas Networks, </w:t>
      </w:r>
      <w:r w:rsidRPr="00B3497F">
        <w:rPr>
          <w:rStyle w:val="Emphasis"/>
        </w:rPr>
        <w:t>Revised Access Information for Australian Gas Networks’ South Australian Natural Gas Distribution Network, Attachment 7.8: Response Draft Decision Operating Expenditure</w:t>
      </w:r>
      <w:r w:rsidRPr="00B3497F">
        <w:t xml:space="preserve">, January 2016, p. </w:t>
      </w:r>
      <w:r>
        <w:t>19</w:t>
      </w:r>
      <w:r w:rsidRPr="00B3497F">
        <w:t>.</w:t>
      </w:r>
    </w:p>
  </w:footnote>
  <w:footnote w:id="61">
    <w:p w:rsidR="00BF22F8" w:rsidRDefault="00BF22F8" w:rsidP="006543F2">
      <w:pPr>
        <w:pStyle w:val="FootnoteText"/>
      </w:pPr>
      <w:r>
        <w:rPr>
          <w:rStyle w:val="FootnoteReference"/>
        </w:rPr>
        <w:footnoteRef/>
      </w:r>
      <w:r>
        <w:t xml:space="preserve"> </w:t>
      </w:r>
      <w:r>
        <w:tab/>
        <w:t>NGR, rr. 74, 91.</w:t>
      </w:r>
    </w:p>
  </w:footnote>
  <w:footnote w:id="62">
    <w:p w:rsidR="00BF22F8" w:rsidRDefault="00BF22F8" w:rsidP="00727F7E">
      <w:pPr>
        <w:pStyle w:val="FootnoteText"/>
      </w:pPr>
      <w:r>
        <w:rPr>
          <w:rStyle w:val="FootnoteReference"/>
        </w:rPr>
        <w:footnoteRef/>
      </w:r>
      <w:r>
        <w:t xml:space="preserve"> </w:t>
      </w:r>
      <w:r>
        <w:tab/>
        <w:t xml:space="preserve">After the release of our draft decision we corrected </w:t>
      </w:r>
      <w:r w:rsidRPr="009B5201">
        <w:t xml:space="preserve">a modelling error </w:t>
      </w:r>
      <w:r>
        <w:t xml:space="preserve">which led to an increase in approved opex from $342.35 million to </w:t>
      </w:r>
      <w:r w:rsidRPr="009B5201">
        <w:t>$347.4</w:t>
      </w:r>
      <w:r>
        <w:t>0</w:t>
      </w:r>
      <w:r w:rsidRPr="009B5201">
        <w:t xml:space="preserve">m. AGN was advised of this error before </w:t>
      </w:r>
      <w:r>
        <w:t xml:space="preserve">the </w:t>
      </w:r>
      <w:r w:rsidRPr="009B5201">
        <w:t>submission of its revised proposal.</w:t>
      </w:r>
    </w:p>
  </w:footnote>
  <w:footnote w:id="63">
    <w:p w:rsidR="00BF22F8" w:rsidRDefault="00BF22F8" w:rsidP="004C4F1E">
      <w:pPr>
        <w:pStyle w:val="FootnoteText"/>
      </w:pPr>
      <w:r>
        <w:rPr>
          <w:rStyle w:val="FootnoteReference"/>
        </w:rPr>
        <w:footnoteRef/>
      </w:r>
      <w:r>
        <w:t xml:space="preserve"> </w:t>
      </w:r>
      <w:r>
        <w:tab/>
      </w:r>
      <w:r w:rsidRPr="00B3497F">
        <w:t xml:space="preserve">Australian Gas Networks, </w:t>
      </w:r>
      <w:r w:rsidRPr="00B3497F">
        <w:rPr>
          <w:rStyle w:val="Emphasis"/>
        </w:rPr>
        <w:t>Revised Access Information for Australian Gas Networks’ South Australian Natural Gas Distribution Network, Attachment 7.8: Response Draft Decision Operating Expenditure</w:t>
      </w:r>
      <w:r w:rsidRPr="00B3497F">
        <w:t xml:space="preserve">, January 2016, p. </w:t>
      </w:r>
      <w:r>
        <w:t>3</w:t>
      </w:r>
      <w:r w:rsidRPr="00B3497F">
        <w:t>.</w:t>
      </w:r>
    </w:p>
  </w:footnote>
  <w:footnote w:id="64">
    <w:p w:rsidR="00BF22F8" w:rsidRDefault="00BF22F8" w:rsidP="00480F97">
      <w:pPr>
        <w:pStyle w:val="FootnoteText"/>
      </w:pPr>
      <w:r>
        <w:rPr>
          <w:rStyle w:val="FootnoteReference"/>
        </w:rPr>
        <w:footnoteRef/>
      </w:r>
      <w:r>
        <w:t xml:space="preserve"> </w:t>
      </w:r>
      <w:r>
        <w:tab/>
        <w:t xml:space="preserve">AGN amended its revised efficiency carryover mechanism calculations in February 2016 to reclassify a capex project as opex, refer to AGN, </w:t>
      </w:r>
      <w:r w:rsidRPr="008C1980">
        <w:rPr>
          <w:rStyle w:val="Emphasis"/>
        </w:rPr>
        <w:t>Response to AER Information request AER AGN 34A Valve Corrosion Protection</w:t>
      </w:r>
      <w:r>
        <w:t xml:space="preserve"> [email to AER], 17 February 2016. </w:t>
      </w:r>
    </w:p>
  </w:footnote>
  <w:footnote w:id="65">
    <w:p w:rsidR="00BF22F8" w:rsidRDefault="00BF22F8" w:rsidP="007909FB">
      <w:pPr>
        <w:pStyle w:val="FootnoteText"/>
      </w:pPr>
      <w:r>
        <w:rPr>
          <w:rStyle w:val="FootnoteReference"/>
        </w:rPr>
        <w:footnoteRef/>
      </w:r>
      <w:r>
        <w:t xml:space="preserve"> </w:t>
      </w:r>
      <w:r>
        <w:tab/>
        <w:t>NGR, r. 76(c).</w:t>
      </w:r>
    </w:p>
  </w:footnote>
  <w:footnote w:id="66">
    <w:p w:rsidR="00BF22F8" w:rsidRDefault="00BF22F8" w:rsidP="00C666C6">
      <w:pPr>
        <w:pStyle w:val="FootnoteText"/>
      </w:pPr>
      <w:r>
        <w:rPr>
          <w:rStyle w:val="FootnoteReference"/>
        </w:rPr>
        <w:footnoteRef/>
      </w:r>
      <w:r>
        <w:t xml:space="preserve"> </w:t>
      </w:r>
      <w:r>
        <w:tab/>
        <w:t>NGR, r. 87A.</w:t>
      </w:r>
    </w:p>
  </w:footnote>
  <w:footnote w:id="67">
    <w:p w:rsidR="00BF22F8" w:rsidRDefault="00BF22F8" w:rsidP="00CA2ABE">
      <w:pPr>
        <w:pStyle w:val="FootnoteText"/>
      </w:pPr>
      <w:r>
        <w:rPr>
          <w:rStyle w:val="FootnoteReference"/>
        </w:rPr>
        <w:footnoteRef/>
      </w:r>
      <w:r>
        <w:t xml:space="preserve"> </w:t>
      </w:r>
      <w:r>
        <w:tab/>
        <w:t xml:space="preserve">AER, </w:t>
      </w:r>
      <w:r w:rsidRPr="00915993">
        <w:rPr>
          <w:rStyle w:val="AERtextitalic"/>
        </w:rPr>
        <w:t>Draft decision: Australian Gas Networks access arrangement 2016 to 2021: Attachment 1 — Services covered by the access arrangement</w:t>
      </w:r>
      <w:r>
        <w:t>, November 2015, p. 6; AGN</w:t>
      </w:r>
      <w:r w:rsidRPr="00E5257A">
        <w:rPr>
          <w:rStyle w:val="AERtextitalic"/>
        </w:rPr>
        <w:t>, Revised access arrangement information: Attachment 6.1 – Response to draft decision: Pipeline Services</w:t>
      </w:r>
      <w:r>
        <w:t>, January 2016, pp. 1–2.</w:t>
      </w:r>
    </w:p>
  </w:footnote>
  <w:footnote w:id="68">
    <w:p w:rsidR="00BF22F8" w:rsidRDefault="00BF22F8" w:rsidP="00CA2ABE">
      <w:pPr>
        <w:pStyle w:val="FootnoteText"/>
      </w:pPr>
      <w:r>
        <w:rPr>
          <w:rStyle w:val="FootnoteReference"/>
        </w:rPr>
        <w:footnoteRef/>
      </w:r>
      <w:r>
        <w:t xml:space="preserve"> </w:t>
      </w:r>
      <w:r>
        <w:tab/>
      </w:r>
      <w:r w:rsidRPr="00E5257A">
        <w:t xml:space="preserve">AGN, </w:t>
      </w:r>
      <w:r w:rsidRPr="00E5257A">
        <w:rPr>
          <w:rStyle w:val="AERtextitalic"/>
        </w:rPr>
        <w:t>Access arrangement information</w:t>
      </w:r>
      <w:r w:rsidRPr="00E5257A">
        <w:t>, July 2015, pp. 103–105.</w:t>
      </w:r>
    </w:p>
  </w:footnote>
  <w:footnote w:id="69">
    <w:p w:rsidR="00BF22F8" w:rsidRDefault="00BF22F8" w:rsidP="00CA2ABE">
      <w:pPr>
        <w:pStyle w:val="FootnoteText"/>
      </w:pPr>
      <w:r>
        <w:rPr>
          <w:rStyle w:val="FootnoteReference"/>
        </w:rPr>
        <w:footnoteRef/>
      </w:r>
      <w:r>
        <w:t xml:space="preserve"> </w:t>
      </w:r>
      <w:r>
        <w:tab/>
        <w:t xml:space="preserve">Consumer Challenge Panel, </w:t>
      </w:r>
      <w:r w:rsidRPr="00174330">
        <w:rPr>
          <w:rStyle w:val="AERtextitalic"/>
        </w:rPr>
        <w:t>Advice to AER from Consumer Channel Panel sub</w:t>
      </w:r>
      <w:r w:rsidRPr="00174330">
        <w:rPr>
          <w:rStyle w:val="AERtextitalic"/>
        </w:rPr>
        <w:noBreakHyphen/>
        <w:t>panel 8 regarding the AER draft decision and Australian Gas Networks’ (SA) revised access arrangement 2016–2021 proposal</w:t>
      </w:r>
      <w:r>
        <w:t>, 23 February 2016, p. 7</w:t>
      </w:r>
      <w:r w:rsidRPr="00174330">
        <w:t>.</w:t>
      </w:r>
    </w:p>
  </w:footnote>
  <w:footnote w:id="70">
    <w:p w:rsidR="00BF22F8" w:rsidRDefault="00BF22F8" w:rsidP="00CA2ABE">
      <w:pPr>
        <w:pStyle w:val="FootnoteText"/>
      </w:pPr>
      <w:r>
        <w:rPr>
          <w:rStyle w:val="FootnoteReference"/>
        </w:rPr>
        <w:footnoteRef/>
      </w:r>
      <w:r>
        <w:t xml:space="preserve"> </w:t>
      </w:r>
      <w:r>
        <w:tab/>
        <w:t xml:space="preserve">AER, </w:t>
      </w:r>
      <w:r w:rsidRPr="00915993">
        <w:rPr>
          <w:rStyle w:val="AERtextitalic"/>
        </w:rPr>
        <w:t>Draft decision: Australian Gas Networks access arrangement 2016 to 2021: Attachment 1 — Services covered by the access arrangement</w:t>
      </w:r>
      <w:r>
        <w:t>, November 2015, p. 6.</w:t>
      </w:r>
    </w:p>
  </w:footnote>
  <w:footnote w:id="71">
    <w:p w:rsidR="00BF22F8" w:rsidRDefault="00BF22F8" w:rsidP="00C15B40">
      <w:pPr>
        <w:pStyle w:val="FootnoteText"/>
      </w:pPr>
      <w:r>
        <w:rPr>
          <w:rStyle w:val="FootnoteReference"/>
        </w:rPr>
        <w:footnoteRef/>
      </w:r>
      <w:r>
        <w:t xml:space="preserve"> </w:t>
      </w:r>
      <w:r>
        <w:tab/>
        <w:t>NGR, r. 48(1)(d)(i).</w:t>
      </w:r>
    </w:p>
  </w:footnote>
  <w:footnote w:id="72">
    <w:p w:rsidR="00BF22F8" w:rsidRDefault="00BF22F8" w:rsidP="00CA2ABE">
      <w:pPr>
        <w:pStyle w:val="FootnoteText"/>
      </w:pPr>
      <w:r>
        <w:rPr>
          <w:rStyle w:val="FootnoteReference"/>
        </w:rPr>
        <w:footnoteRef/>
      </w:r>
      <w:r>
        <w:t xml:space="preserve"> </w:t>
      </w:r>
      <w:r>
        <w:tab/>
        <w:t xml:space="preserve">AGN, </w:t>
      </w:r>
      <w:r>
        <w:rPr>
          <w:rStyle w:val="AERtextitalic"/>
        </w:rPr>
        <w:t>Access arrangement i</w:t>
      </w:r>
      <w:r w:rsidRPr="00594109">
        <w:rPr>
          <w:rStyle w:val="AERtextitalic"/>
        </w:rPr>
        <w:t>nformation</w:t>
      </w:r>
      <w:r>
        <w:t>,</w:t>
      </w:r>
      <w:r w:rsidRPr="00594109">
        <w:t xml:space="preserve"> July 2015</w:t>
      </w:r>
      <w:r>
        <w:t xml:space="preserve">, pp. 247–249; AER, </w:t>
      </w:r>
      <w:r w:rsidRPr="00FF3253">
        <w:rPr>
          <w:rStyle w:val="AERtextitalic"/>
        </w:rPr>
        <w:t>Draft decision: A</w:t>
      </w:r>
      <w:r>
        <w:rPr>
          <w:rStyle w:val="AERtextitalic"/>
        </w:rPr>
        <w:t xml:space="preserve">ustralian Gas Networks </w:t>
      </w:r>
      <w:r w:rsidRPr="00FF3253">
        <w:rPr>
          <w:rStyle w:val="AERtextitalic"/>
        </w:rPr>
        <w:t>access arrangement 2016 to 2021: Attachment 1</w:t>
      </w:r>
      <w:r>
        <w:rPr>
          <w:rStyle w:val="AERtextitalic"/>
        </w:rPr>
        <w:t>0</w:t>
      </w:r>
      <w:r w:rsidRPr="00FF3253">
        <w:rPr>
          <w:rStyle w:val="AERtextitalic"/>
        </w:rPr>
        <w:t>–</w:t>
      </w:r>
      <w:r>
        <w:rPr>
          <w:rStyle w:val="AERtextitalic"/>
        </w:rPr>
        <w:t>Reference tariff setting</w:t>
      </w:r>
      <w:r>
        <w:t>, November 2015, p. 7.</w:t>
      </w:r>
    </w:p>
  </w:footnote>
  <w:footnote w:id="73">
    <w:p w:rsidR="00BF22F8" w:rsidRDefault="00BF22F8" w:rsidP="005D796B">
      <w:pPr>
        <w:pStyle w:val="FootnoteText"/>
      </w:pPr>
      <w:r>
        <w:rPr>
          <w:rStyle w:val="FootnoteReference"/>
        </w:rPr>
        <w:footnoteRef/>
      </w:r>
      <w:r>
        <w:t xml:space="preserve"> </w:t>
      </w:r>
      <w:r>
        <w:tab/>
        <w:t>AGN</w:t>
      </w:r>
      <w:r w:rsidRPr="00E5257A">
        <w:rPr>
          <w:rStyle w:val="AERtextitalic"/>
        </w:rPr>
        <w:t xml:space="preserve">, Revised access arrangement information: Attachment </w:t>
      </w:r>
      <w:r>
        <w:rPr>
          <w:rStyle w:val="AERtextitalic"/>
        </w:rPr>
        <w:t>15</w:t>
      </w:r>
      <w:r w:rsidRPr="00E5257A">
        <w:rPr>
          <w:rStyle w:val="AERtextitalic"/>
        </w:rPr>
        <w:t>.</w:t>
      </w:r>
      <w:r>
        <w:rPr>
          <w:rStyle w:val="AERtextitalic"/>
        </w:rPr>
        <w:t>2</w:t>
      </w:r>
      <w:r w:rsidRPr="00E5257A">
        <w:rPr>
          <w:rStyle w:val="AERtextitalic"/>
        </w:rPr>
        <w:t xml:space="preserve"> – Response to d</w:t>
      </w:r>
      <w:r>
        <w:rPr>
          <w:rStyle w:val="AERtextitalic"/>
        </w:rPr>
        <w:t>raft decision: Reference tariffs</w:t>
      </w:r>
      <w:r>
        <w:t>, January 2016, p. 2.</w:t>
      </w:r>
    </w:p>
  </w:footnote>
  <w:footnote w:id="74">
    <w:p w:rsidR="00BF22F8" w:rsidRDefault="00BF22F8" w:rsidP="00CA2ABE">
      <w:pPr>
        <w:pStyle w:val="FootnoteText"/>
      </w:pPr>
      <w:r>
        <w:rPr>
          <w:rStyle w:val="FootnoteReference"/>
        </w:rPr>
        <w:footnoteRef/>
      </w:r>
      <w:r>
        <w:t xml:space="preserve"> </w:t>
      </w:r>
      <w:r>
        <w:tab/>
      </w:r>
      <w:r w:rsidRPr="002004DB">
        <w:t>NGR, rr. 93, 94.</w:t>
      </w:r>
    </w:p>
  </w:footnote>
  <w:footnote w:id="75">
    <w:p w:rsidR="00BF22F8" w:rsidRDefault="00BF22F8" w:rsidP="00A7171D">
      <w:pPr>
        <w:pStyle w:val="FootnoteText"/>
      </w:pPr>
      <w:r>
        <w:rPr>
          <w:rStyle w:val="FootnoteReference"/>
        </w:rPr>
        <w:footnoteRef/>
      </w:r>
      <w:r>
        <w:t xml:space="preserve"> </w:t>
      </w:r>
      <w:r>
        <w:tab/>
        <w:t>AGN</w:t>
      </w:r>
      <w:r w:rsidRPr="00E5257A">
        <w:rPr>
          <w:rStyle w:val="AERtextitalic"/>
        </w:rPr>
        <w:t xml:space="preserve">, Revised access arrangement information: Attachment </w:t>
      </w:r>
      <w:r>
        <w:rPr>
          <w:rStyle w:val="AERtextitalic"/>
        </w:rPr>
        <w:t>16</w:t>
      </w:r>
      <w:r w:rsidRPr="00E5257A">
        <w:rPr>
          <w:rStyle w:val="AERtextitalic"/>
        </w:rPr>
        <w:t>.</w:t>
      </w:r>
      <w:r>
        <w:rPr>
          <w:rStyle w:val="AERtextitalic"/>
        </w:rPr>
        <w:t>1</w:t>
      </w:r>
      <w:r w:rsidRPr="00E5257A">
        <w:rPr>
          <w:rStyle w:val="AERtextitalic"/>
        </w:rPr>
        <w:t xml:space="preserve"> – Response to d</w:t>
      </w:r>
      <w:r>
        <w:rPr>
          <w:rStyle w:val="AERtextitalic"/>
        </w:rPr>
        <w:t>raft decision: Tariff variation mechanisms</w:t>
      </w:r>
      <w:r>
        <w:t>, January 2016, pp. 3–5.</w:t>
      </w:r>
    </w:p>
  </w:footnote>
  <w:footnote w:id="76">
    <w:p w:rsidR="00BF22F8" w:rsidRDefault="00BF22F8" w:rsidP="00A7171D">
      <w:pPr>
        <w:pStyle w:val="FootnoteText"/>
      </w:pPr>
      <w:r>
        <w:rPr>
          <w:rStyle w:val="FootnoteReference"/>
        </w:rPr>
        <w:footnoteRef/>
      </w:r>
      <w:r>
        <w:t xml:space="preserve"> </w:t>
      </w:r>
      <w:r>
        <w:tab/>
        <w:t>NGR, r. 97(3)(d).</w:t>
      </w:r>
    </w:p>
  </w:footnote>
  <w:footnote w:id="77">
    <w:p w:rsidR="00BF22F8" w:rsidRDefault="00BF22F8" w:rsidP="00606084">
      <w:pPr>
        <w:pStyle w:val="FootnoteText"/>
      </w:pPr>
      <w:r>
        <w:rPr>
          <w:rStyle w:val="FootnoteReference"/>
        </w:rPr>
        <w:footnoteRef/>
      </w:r>
      <w:r>
        <w:t xml:space="preserve"> </w:t>
      </w:r>
      <w:r>
        <w:tab/>
        <w:t xml:space="preserve">AER, </w:t>
      </w:r>
      <w:r w:rsidRPr="00D85D25">
        <w:rPr>
          <w:rStyle w:val="AERtextitalic"/>
        </w:rPr>
        <w:t>Draft decision: Australian Gas Networks Access Arrangement 2016 to 2021, Attachment 11 – Reference tariff variation mechanism</w:t>
      </w:r>
      <w:r>
        <w:t>, November 2015, pp. 6, 13–22.</w:t>
      </w:r>
    </w:p>
  </w:footnote>
  <w:footnote w:id="78">
    <w:p w:rsidR="00BF22F8" w:rsidRDefault="00BF22F8" w:rsidP="00393E57">
      <w:pPr>
        <w:pStyle w:val="FootnoteText"/>
      </w:pPr>
      <w:r>
        <w:rPr>
          <w:rStyle w:val="FootnoteReference"/>
        </w:rPr>
        <w:footnoteRef/>
      </w:r>
      <w:r>
        <w:t xml:space="preserve"> </w:t>
      </w:r>
      <w:r>
        <w:tab/>
      </w:r>
      <w:r w:rsidRPr="0068330F">
        <w:t>AGN</w:t>
      </w:r>
      <w:r>
        <w:t>,</w:t>
      </w:r>
      <w:r w:rsidRPr="0068330F">
        <w:t xml:space="preserve"> </w:t>
      </w:r>
      <w:r w:rsidRPr="008C1980">
        <w:rPr>
          <w:rStyle w:val="Emphasis"/>
        </w:rPr>
        <w:t>Revised Access Arrangement Information for AGN's SA Natural Gas Distribution Network, Attachment 12.1 Incentive Arrangements</w:t>
      </w:r>
      <w:r w:rsidRPr="0068330F">
        <w:t xml:space="preserve">, </w:t>
      </w:r>
      <w:r>
        <w:t xml:space="preserve">January 2016, </w:t>
      </w:r>
      <w:r w:rsidRPr="0068330F">
        <w:t>p</w:t>
      </w:r>
      <w:r>
        <w:t> 2, 9</w:t>
      </w:r>
      <w:r w:rsidRPr="0068330F">
        <w:t>.</w:t>
      </w:r>
    </w:p>
  </w:footnote>
  <w:footnote w:id="79">
    <w:p w:rsidR="00BF22F8" w:rsidRDefault="00BF22F8" w:rsidP="002E45E0">
      <w:pPr>
        <w:pStyle w:val="FootnoteText"/>
      </w:pPr>
      <w:r>
        <w:rPr>
          <w:rStyle w:val="FootnoteReference"/>
        </w:rPr>
        <w:footnoteRef/>
      </w:r>
      <w:r>
        <w:t xml:space="preserve"> </w:t>
      </w:r>
      <w:r>
        <w:tab/>
      </w:r>
      <w:r w:rsidRPr="003C5E06">
        <w:t>AGN</w:t>
      </w:r>
      <w:r>
        <w:t>,</w:t>
      </w:r>
      <w:r w:rsidRPr="003C5E06">
        <w:t xml:space="preserve"> </w:t>
      </w:r>
      <w:r w:rsidRPr="008C1980">
        <w:rPr>
          <w:rStyle w:val="Emphasis"/>
        </w:rPr>
        <w:t>Revised Access Arrangement Information for AGN's SA Natural Gas Distribution Network, Attachment 12.1 Incentive Arrangements</w:t>
      </w:r>
      <w:r>
        <w:t>, January 2016, p. 9.</w:t>
      </w:r>
    </w:p>
  </w:footnote>
  <w:footnote w:id="80">
    <w:p w:rsidR="00BF22F8" w:rsidRDefault="00BF22F8" w:rsidP="00393E57">
      <w:pPr>
        <w:pStyle w:val="FootnoteText"/>
      </w:pPr>
      <w:r>
        <w:rPr>
          <w:rStyle w:val="FootnoteReference"/>
        </w:rPr>
        <w:footnoteRef/>
      </w:r>
      <w:r>
        <w:t xml:space="preserve"> </w:t>
      </w:r>
      <w:r>
        <w:tab/>
        <w:t>NGL, s. 24(3), (6).</w:t>
      </w:r>
    </w:p>
  </w:footnote>
  <w:footnote w:id="81">
    <w:p w:rsidR="00BF22F8" w:rsidRDefault="00BF22F8" w:rsidP="00646ED5">
      <w:pPr>
        <w:pStyle w:val="FootnoteText"/>
      </w:pPr>
      <w:r>
        <w:rPr>
          <w:rStyle w:val="FootnoteReference"/>
        </w:rPr>
        <w:footnoteRef/>
      </w:r>
      <w:r>
        <w:t xml:space="preserve"> </w:t>
      </w:r>
      <w:r>
        <w:tab/>
      </w:r>
      <w:r w:rsidRPr="00E11732">
        <w:t>AGN</w:t>
      </w:r>
      <w:r>
        <w:t>,</w:t>
      </w:r>
      <w:r w:rsidRPr="00E11732">
        <w:t xml:space="preserve"> </w:t>
      </w:r>
      <w:r w:rsidRPr="008C1980">
        <w:rPr>
          <w:rStyle w:val="Emphasis"/>
        </w:rPr>
        <w:t>Revised Access Arrangement Information for AGN's SA Natural Gas Distribution Network, Attachment 12.1 Incentive Arrangements</w:t>
      </w:r>
      <w:r>
        <w:t>, January 2016, p. 7.</w:t>
      </w:r>
    </w:p>
  </w:footnote>
  <w:footnote w:id="82">
    <w:p w:rsidR="00BF22F8" w:rsidRDefault="00BF22F8" w:rsidP="00646ED5">
      <w:pPr>
        <w:pStyle w:val="FootnoteText"/>
      </w:pPr>
      <w:r>
        <w:rPr>
          <w:rStyle w:val="FootnoteReference"/>
        </w:rPr>
        <w:footnoteRef/>
      </w:r>
      <w:r>
        <w:t xml:space="preserve"> </w:t>
      </w:r>
      <w:r>
        <w:tab/>
      </w:r>
      <w:r w:rsidRPr="00E11732">
        <w:t>AGN</w:t>
      </w:r>
      <w:r>
        <w:t>,</w:t>
      </w:r>
      <w:r w:rsidRPr="00E11732">
        <w:t xml:space="preserve"> </w:t>
      </w:r>
      <w:r w:rsidRPr="008C1980">
        <w:rPr>
          <w:rStyle w:val="Emphasis"/>
        </w:rPr>
        <w:t>Revised Access Arrangement Information for AGN's SA Natural Gas Distribution Network, Attachment 12.1 Incentive Arrangements</w:t>
      </w:r>
      <w:r>
        <w:t>, January 2016, p. 9.</w:t>
      </w:r>
    </w:p>
  </w:footnote>
  <w:footnote w:id="83">
    <w:p w:rsidR="00BF22F8" w:rsidRDefault="00BF22F8" w:rsidP="00646ED5">
      <w:pPr>
        <w:pStyle w:val="FootnoteText"/>
      </w:pPr>
      <w:r>
        <w:rPr>
          <w:rStyle w:val="FootnoteReference"/>
        </w:rPr>
        <w:footnoteRef/>
      </w:r>
      <w:r>
        <w:t xml:space="preserve"> </w:t>
      </w:r>
      <w:r>
        <w:tab/>
      </w:r>
      <w:r w:rsidRPr="00E11732">
        <w:t>AGN</w:t>
      </w:r>
      <w:r>
        <w:t>,</w:t>
      </w:r>
      <w:r w:rsidRPr="00E11732">
        <w:t xml:space="preserve"> </w:t>
      </w:r>
      <w:r w:rsidRPr="008C1980">
        <w:rPr>
          <w:rStyle w:val="Emphasis"/>
        </w:rPr>
        <w:t>Revised Access Arrangement Information for AGN's SA Natural Gas Distribution Network, Attachment 12.1 Incentive Arrangements</w:t>
      </w:r>
      <w:r>
        <w:t>, January 2016, p. 9.</w:t>
      </w:r>
    </w:p>
  </w:footnote>
  <w:footnote w:id="84">
    <w:p w:rsidR="00BF22F8" w:rsidRDefault="00BF22F8" w:rsidP="00CF00DE">
      <w:pPr>
        <w:pStyle w:val="FootnoteText"/>
      </w:pPr>
      <w:r>
        <w:rPr>
          <w:rStyle w:val="FootnoteReference"/>
        </w:rPr>
        <w:footnoteRef/>
      </w:r>
      <w:r>
        <w:t xml:space="preserve"> </w:t>
      </w:r>
      <w:r>
        <w:tab/>
        <w:t>NGL, s. 23.</w:t>
      </w:r>
    </w:p>
  </w:footnote>
  <w:footnote w:id="85">
    <w:p w:rsidR="00BF22F8" w:rsidRDefault="00BF22F8" w:rsidP="00CF00DE">
      <w:pPr>
        <w:pStyle w:val="FootnoteText"/>
      </w:pPr>
      <w:r>
        <w:rPr>
          <w:rStyle w:val="FootnoteReference"/>
        </w:rPr>
        <w:footnoteRef/>
      </w:r>
      <w:r>
        <w:t xml:space="preserve"> </w:t>
      </w:r>
      <w:r>
        <w:tab/>
        <w:t xml:space="preserve">Hansard, </w:t>
      </w:r>
      <w:r w:rsidRPr="00A12D0C">
        <w:rPr>
          <w:rStyle w:val="AERtextitalic"/>
        </w:rPr>
        <w:t>SA House of Assembly</w:t>
      </w:r>
      <w:r>
        <w:t>, 9 February 2005, pp. 1451</w:t>
      </w:r>
      <w:r>
        <w:rPr>
          <w:rFonts w:cs="Gautami"/>
        </w:rPr>
        <w:t>–</w:t>
      </w:r>
      <w:r>
        <w:t>1460.</w:t>
      </w:r>
    </w:p>
    <w:p w:rsidR="00BF22F8" w:rsidRDefault="00BF22F8" w:rsidP="00CF00DE">
      <w:pPr>
        <w:pStyle w:val="FootnoteText"/>
      </w:pPr>
      <w:r>
        <w:tab/>
        <w:t xml:space="preserve">Hansard, </w:t>
      </w:r>
      <w:r w:rsidRPr="00A12D0C">
        <w:rPr>
          <w:rStyle w:val="AERtextitalic"/>
        </w:rPr>
        <w:t>SA House of Assembly</w:t>
      </w:r>
      <w:r>
        <w:t>, 27 September 2007, pp. 963</w:t>
      </w:r>
      <w:r>
        <w:rPr>
          <w:rFonts w:cs="Gautami"/>
        </w:rPr>
        <w:t>–</w:t>
      </w:r>
      <w:r>
        <w:t xml:space="preserve">972. </w:t>
      </w:r>
    </w:p>
    <w:p w:rsidR="00BF22F8" w:rsidRDefault="00BF22F8" w:rsidP="00CF00DE">
      <w:pPr>
        <w:pStyle w:val="FootnoteText"/>
      </w:pPr>
      <w:r>
        <w:tab/>
        <w:t xml:space="preserve">Hansard, </w:t>
      </w:r>
      <w:r w:rsidRPr="00A12D0C">
        <w:rPr>
          <w:rStyle w:val="AERtextitalic"/>
        </w:rPr>
        <w:t>SA House of Assembly</w:t>
      </w:r>
      <w:r>
        <w:t>, 26 September 2013, pp. 7171</w:t>
      </w:r>
      <w:r>
        <w:rPr>
          <w:rFonts w:cs="Gautami"/>
        </w:rPr>
        <w:t>–</w:t>
      </w:r>
      <w:r>
        <w:t>7176.</w:t>
      </w:r>
    </w:p>
  </w:footnote>
  <w:footnote w:id="86">
    <w:p w:rsidR="00BF22F8" w:rsidRDefault="00BF22F8" w:rsidP="00CF00DE">
      <w:pPr>
        <w:pStyle w:val="FootnoteText"/>
      </w:pPr>
      <w:r>
        <w:rPr>
          <w:rStyle w:val="FootnoteReference"/>
        </w:rPr>
        <w:footnoteRef/>
      </w:r>
      <w:r>
        <w:tab/>
        <w:t xml:space="preserve">Hansard, </w:t>
      </w:r>
      <w:r w:rsidRPr="00A12D0C">
        <w:rPr>
          <w:rStyle w:val="AERtextitalic"/>
        </w:rPr>
        <w:t>SA House of Assembly</w:t>
      </w:r>
      <w:r>
        <w:t>, 26 September 2013, p. 7173.</w:t>
      </w:r>
    </w:p>
  </w:footnote>
  <w:footnote w:id="87">
    <w:p w:rsidR="00BF22F8" w:rsidRDefault="00BF22F8" w:rsidP="00CF00DE">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88">
    <w:p w:rsidR="00BF22F8" w:rsidRPr="001114AA" w:rsidRDefault="00BF22F8" w:rsidP="00CF00DE">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BF22F8" w:rsidRDefault="00BF22F8" w:rsidP="00CF00DE">
      <w:pPr>
        <w:pStyle w:val="FootnoteText"/>
      </w:pPr>
      <w:r>
        <w:tab/>
        <w:t>Energy Ministers also accept this view – see Hansard, SA House of Assembly, 26 September 2013 p. 7172.</w:t>
      </w:r>
    </w:p>
    <w:p w:rsidR="00BF22F8" w:rsidRDefault="00BF22F8" w:rsidP="00CF00DE">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89">
    <w:p w:rsidR="00BF22F8" w:rsidRDefault="00BF22F8" w:rsidP="00CF00DE">
      <w:pPr>
        <w:pStyle w:val="FootnoteText"/>
      </w:pPr>
      <w:r>
        <w:rPr>
          <w:rStyle w:val="FootnoteReference"/>
        </w:rPr>
        <w:footnoteRef/>
      </w:r>
      <w:r>
        <w:t xml:space="preserve"> </w:t>
      </w:r>
      <w:r>
        <w:tab/>
        <w:t>NGL, s. 24(7).</w:t>
      </w:r>
    </w:p>
  </w:footnote>
  <w:footnote w:id="90">
    <w:p w:rsidR="00BF22F8" w:rsidRDefault="00BF22F8" w:rsidP="00CF00DE">
      <w:pPr>
        <w:pStyle w:val="FootnoteText"/>
      </w:pPr>
      <w:r>
        <w:rPr>
          <w:rStyle w:val="FootnoteReference"/>
        </w:rPr>
        <w:footnoteRef/>
      </w:r>
      <w:r>
        <w:t xml:space="preserve"> </w:t>
      </w:r>
      <w:r>
        <w:tab/>
        <w:t>NGL, s. 24(6).</w:t>
      </w:r>
    </w:p>
  </w:footnote>
  <w:footnote w:id="91">
    <w:p w:rsidR="00BF22F8" w:rsidRDefault="00BF22F8" w:rsidP="00CF00DE">
      <w:pPr>
        <w:pStyle w:val="FootnoteText"/>
      </w:pPr>
      <w:r>
        <w:rPr>
          <w:rStyle w:val="FootnoteReference"/>
        </w:rPr>
        <w:footnoteRef/>
      </w:r>
      <w:r>
        <w:t xml:space="preserve"> </w:t>
      </w:r>
      <w:r>
        <w:tab/>
        <w:t>NGL, s. 24.</w:t>
      </w:r>
    </w:p>
  </w:footnote>
  <w:footnote w:id="92">
    <w:p w:rsidR="00BF22F8" w:rsidRDefault="00BF22F8" w:rsidP="00CF00DE">
      <w:pPr>
        <w:pStyle w:val="FootnoteText"/>
      </w:pPr>
      <w:r>
        <w:rPr>
          <w:rStyle w:val="FootnoteReference"/>
        </w:rPr>
        <w:footnoteRef/>
      </w:r>
      <w:r>
        <w:t xml:space="preserve"> </w:t>
      </w:r>
      <w:r>
        <w:tab/>
        <w:t>NGL, s. 28(2).</w:t>
      </w:r>
    </w:p>
  </w:footnote>
  <w:footnote w:id="93">
    <w:p w:rsidR="00BF22F8" w:rsidRDefault="00BF22F8" w:rsidP="00CF00DE">
      <w:pPr>
        <w:pStyle w:val="FootnoteText"/>
      </w:pPr>
      <w:r>
        <w:rPr>
          <w:rStyle w:val="FootnoteReference"/>
        </w:rPr>
        <w:footnoteRef/>
      </w:r>
      <w:r>
        <w:t xml:space="preserve"> </w:t>
      </w:r>
      <w:r>
        <w:tab/>
        <w:t xml:space="preserve">Hansard, </w:t>
      </w:r>
      <w:r w:rsidRPr="003E79EE">
        <w:rPr>
          <w:rStyle w:val="AERtextitalic"/>
        </w:rPr>
        <w:t>SA House of Assembly</w:t>
      </w:r>
      <w:r>
        <w:t xml:space="preserve">, 27 September 2007 pp. 965, </w:t>
      </w:r>
      <w:r w:rsidRPr="003E79EE">
        <w:rPr>
          <w:rStyle w:val="AERtextitalic"/>
        </w:rPr>
        <w:t>Hansard, SA House of Assembly</w:t>
      </w:r>
      <w:r>
        <w:t>, 9 April 2008 p. 2886, Hansard, SA House of Assembly, 26 September 2013, p. 7173.</w:t>
      </w:r>
    </w:p>
  </w:footnote>
  <w:footnote w:id="94">
    <w:p w:rsidR="00BF22F8" w:rsidRDefault="00BF22F8" w:rsidP="00CF00DE">
      <w:pPr>
        <w:pStyle w:val="FootnoteText"/>
      </w:pPr>
      <w:r>
        <w:rPr>
          <w:rStyle w:val="FootnoteReference"/>
        </w:rPr>
        <w:footnoteRef/>
      </w:r>
      <w:r>
        <w:t xml:space="preserve"> </w:t>
      </w:r>
      <w:r w:rsidRPr="00A34B93">
        <w:t xml:space="preserve"> </w:t>
      </w:r>
      <w:r>
        <w:tab/>
      </w:r>
      <w:r w:rsidRPr="003F64E8">
        <w:t xml:space="preserve">AEMC, </w:t>
      </w:r>
      <w:r w:rsidRPr="008C1980">
        <w:rPr>
          <w:rStyle w:val="Emphasis"/>
        </w:rPr>
        <w:t>Rule Determination, National Electricity Amendment (Economic Regulation of Transmission Services) Rule 2006 No. 18</w:t>
      </w:r>
      <w:r w:rsidRPr="003F64E8">
        <w:t>, 16 November 2016, p. 52.</w:t>
      </w:r>
    </w:p>
  </w:footnote>
  <w:footnote w:id="95">
    <w:p w:rsidR="00BF22F8" w:rsidRDefault="00BF22F8" w:rsidP="00CF00DE">
      <w:pPr>
        <w:pStyle w:val="FootnoteText"/>
      </w:pPr>
      <w:r>
        <w:rPr>
          <w:rStyle w:val="FootnoteReference"/>
        </w:rPr>
        <w:footnoteRef/>
      </w:r>
      <w:r>
        <w:t xml:space="preserve"> </w:t>
      </w:r>
      <w:r>
        <w:tab/>
        <w:t xml:space="preserve">NGL, s. 28(1)(b)(iii). </w:t>
      </w:r>
    </w:p>
  </w:footnote>
  <w:footnote w:id="96">
    <w:p w:rsidR="00BF22F8" w:rsidRDefault="00BF22F8" w:rsidP="00CF00DE">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r>
        <w:t>.</w:t>
      </w:r>
    </w:p>
  </w:footnote>
  <w:footnote w:id="97">
    <w:p w:rsidR="00BF22F8" w:rsidRDefault="00BF22F8" w:rsidP="00CF00DE">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Pr>
          <w:rFonts w:cs="Gautami"/>
        </w:rPr>
        <w:t>–</w:t>
      </w:r>
      <w:r>
        <w:t>13.</w:t>
      </w:r>
    </w:p>
  </w:footnote>
  <w:footnote w:id="98">
    <w:p w:rsidR="00BF22F8" w:rsidRDefault="00BF22F8" w:rsidP="00CF00DE">
      <w:pPr>
        <w:pStyle w:val="FootnoteText"/>
      </w:pPr>
      <w:r>
        <w:rPr>
          <w:rStyle w:val="FootnoteReference"/>
        </w:rPr>
        <w:footnoteRef/>
      </w:r>
      <w:r>
        <w:t xml:space="preserve"> </w:t>
      </w:r>
      <w:r>
        <w:tab/>
        <w:t xml:space="preserve">See AER, </w:t>
      </w:r>
      <w:r w:rsidRPr="00E77648">
        <w:t>http://www.aer.gov.au/networks-pipelines/better-regulation</w:t>
      </w:r>
      <w:r>
        <w:t>.</w:t>
      </w:r>
    </w:p>
  </w:footnote>
  <w:footnote w:id="99">
    <w:p w:rsidR="00BF22F8" w:rsidRDefault="00BF22F8" w:rsidP="00285778">
      <w:pPr>
        <w:pStyle w:val="FootnoteText"/>
      </w:pPr>
      <w:r>
        <w:rPr>
          <w:rStyle w:val="FootnoteReference"/>
        </w:rPr>
        <w:footnoteRef/>
      </w:r>
      <w:r>
        <w:t xml:space="preserve"> </w:t>
      </w:r>
      <w:r>
        <w:tab/>
        <w:t xml:space="preserve">Business SA, </w:t>
      </w:r>
      <w:r w:rsidRPr="00686E8D">
        <w:rPr>
          <w:i/>
        </w:rPr>
        <w:t>Submission to AER on proposed Australian Gas Networks Access Arrangement (2016-21),</w:t>
      </w:r>
      <w:r>
        <w:t xml:space="preserve"> 10 </w:t>
      </w:r>
      <w:r w:rsidRPr="00683483">
        <w:t>August 2015</w:t>
      </w:r>
      <w:r>
        <w:t>, p. 4.</w:t>
      </w:r>
    </w:p>
  </w:footnote>
  <w:footnote w:id="100">
    <w:p w:rsidR="00BF22F8" w:rsidRDefault="00BF22F8" w:rsidP="00285778">
      <w:pPr>
        <w:pStyle w:val="FootnoteText"/>
        <w:tabs>
          <w:tab w:val="clear" w:pos="340"/>
          <w:tab w:val="right" w:pos="8477"/>
        </w:tabs>
      </w:pPr>
      <w:r>
        <w:rPr>
          <w:rStyle w:val="FootnoteReference"/>
        </w:rPr>
        <w:footnoteRef/>
      </w:r>
      <w:r>
        <w:t xml:space="preserve"> </w:t>
      </w:r>
      <w:r>
        <w:tab/>
        <w:t xml:space="preserve">SACOSS, </w:t>
      </w:r>
      <w:r w:rsidRPr="0097442A">
        <w:rPr>
          <w:i/>
        </w:rPr>
        <w:t>Submission on AGN’s regulatory proposal for the 2016-2021 Access Arrangement (AA) period</w:t>
      </w:r>
      <w:r>
        <w:t xml:space="preserve">, </w:t>
      </w:r>
      <w:r w:rsidRPr="00683483">
        <w:t>8</w:t>
      </w:r>
      <w:r>
        <w:t> </w:t>
      </w:r>
      <w:r w:rsidRPr="00683483">
        <w:t>August 2015</w:t>
      </w:r>
      <w:r>
        <w:t>.</w:t>
      </w:r>
      <w:r>
        <w:tab/>
      </w:r>
    </w:p>
  </w:footnote>
  <w:footnote w:id="101">
    <w:p w:rsidR="00BF22F8" w:rsidRDefault="00BF22F8" w:rsidP="00285778">
      <w:pPr>
        <w:pStyle w:val="FootnoteText"/>
      </w:pPr>
      <w:r>
        <w:rPr>
          <w:rStyle w:val="FootnoteReference"/>
        </w:rPr>
        <w:footnoteRef/>
      </w:r>
      <w:r>
        <w:t xml:space="preserve"> </w:t>
      </w:r>
      <w:r>
        <w:tab/>
        <w:t>ECCSA,</w:t>
      </w:r>
      <w:r w:rsidRPr="00683483">
        <w:t xml:space="preserve"> </w:t>
      </w:r>
      <w:r w:rsidRPr="007E1200">
        <w:rPr>
          <w:i/>
        </w:rPr>
        <w:t>Australian Energy Regulator SA Gas Distribution Revenue Reset AGN Application response</w:t>
      </w:r>
      <w:r>
        <w:t>,</w:t>
      </w:r>
      <w:r w:rsidRPr="00683483">
        <w:t xml:space="preserve"> 16 August 2015</w:t>
      </w:r>
      <w:r>
        <w:t>.</w:t>
      </w:r>
    </w:p>
  </w:footnote>
  <w:footnote w:id="102">
    <w:p w:rsidR="00BF22F8" w:rsidRDefault="00BF22F8" w:rsidP="00285778">
      <w:pPr>
        <w:pStyle w:val="FootnoteText"/>
      </w:pPr>
      <w:r>
        <w:rPr>
          <w:rStyle w:val="FootnoteReference"/>
        </w:rPr>
        <w:footnoteRef/>
      </w:r>
      <w:r>
        <w:t xml:space="preserve"> </w:t>
      </w:r>
      <w:r>
        <w:tab/>
        <w:t xml:space="preserve">CCP8, </w:t>
      </w:r>
      <w:r w:rsidRPr="00686E8D">
        <w:rPr>
          <w:i/>
        </w:rPr>
        <w:t xml:space="preserve">Advice to AER from Consumer Challenge Panel sub-panel 8 regarding Australian Gas Networks’ (SA) Access Arrangement 2016-2021 Proposal, </w:t>
      </w:r>
      <w:r w:rsidRPr="00B00E6B">
        <w:t>25 August 2015</w:t>
      </w:r>
      <w:r>
        <w:t>.</w:t>
      </w:r>
    </w:p>
  </w:footnote>
  <w:footnote w:id="103">
    <w:p w:rsidR="00BF22F8" w:rsidRDefault="00BF22F8">
      <w:pPr>
        <w:pStyle w:val="FootnoteText"/>
      </w:pPr>
      <w:r>
        <w:rPr>
          <w:rStyle w:val="FootnoteReference"/>
        </w:rPr>
        <w:footnoteRef/>
      </w:r>
      <w:r>
        <w:t xml:space="preserve"> </w:t>
      </w:r>
      <w:r>
        <w:tab/>
      </w:r>
      <w:r w:rsidRPr="00246954">
        <w:t>Consumer Challenge Panel</w:t>
      </w:r>
      <w:r>
        <w:t>,</w:t>
      </w:r>
      <w:r w:rsidRPr="00246954">
        <w:t xml:space="preserve"> </w:t>
      </w:r>
      <w:r w:rsidRPr="008C1980">
        <w:rPr>
          <w:rStyle w:val="Emphasis"/>
        </w:rPr>
        <w:t>Supplementary advice to AER from Consumer Challenge Panel sub-panel 8 - AGN</w:t>
      </w:r>
      <w:r>
        <w:t>,</w:t>
      </w:r>
      <w:r w:rsidRPr="00246954">
        <w:t xml:space="preserve"> 31 Mar</w:t>
      </w:r>
      <w:r>
        <w:t>ch</w:t>
      </w:r>
      <w:r w:rsidRPr="00246954">
        <w:t xml:space="preserve"> 2016</w:t>
      </w:r>
      <w:r>
        <w:t>,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2F8" w:rsidRDefault="006E1111">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BF22F8">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D74" w:rsidRDefault="00A43D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2F8" w:rsidRDefault="006E111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C15170"/>
    <w:multiLevelType w:val="hybridMultilevel"/>
    <w:tmpl w:val="0C9C03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7920EEE"/>
    <w:multiLevelType w:val="hybridMultilevel"/>
    <w:tmpl w:val="F6780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C439B6"/>
    <w:multiLevelType w:val="hybridMultilevel"/>
    <w:tmpl w:val="6D105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97681A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0"/>
  </w:num>
  <w:num w:numId="15">
    <w:abstractNumId w:val="13"/>
  </w:num>
  <w:num w:numId="16">
    <w:abstractNumId w:val="21"/>
  </w:num>
  <w:num w:numId="17">
    <w:abstractNumId w:val="9"/>
  </w:num>
  <w:num w:numId="18">
    <w:abstractNumId w:val="15"/>
  </w:num>
  <w:num w:numId="19">
    <w:abstractNumId w:val="22"/>
  </w:num>
  <w:num w:numId="20">
    <w:abstractNumId w:val="28"/>
  </w:num>
  <w:num w:numId="21">
    <w:abstractNumId w:val="25"/>
  </w:num>
  <w:num w:numId="22">
    <w:abstractNumId w:val="23"/>
  </w:num>
  <w:num w:numId="23">
    <w:abstractNumId w:val="16"/>
  </w:num>
  <w:num w:numId="24">
    <w:abstractNumId w:val="24"/>
  </w:num>
  <w:num w:numId="25">
    <w:abstractNumId w:val="26"/>
  </w:num>
  <w:num w:numId="26">
    <w:abstractNumId w:val="17"/>
  </w:num>
  <w:num w:numId="27">
    <w:abstractNumId w:val="1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1"/>
  </w:num>
  <w:num w:numId="31">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Sa2qg421KFH24Dok0FtfZW9saFEV4QRAB96zxsbxBZ0=" w:saltValue="p1edAxSQZQkmrEsqvriHP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ljorg\AppData\Local\Microsoft\Windows\Temporary Internet Files\Content.MSO\D80FA2A0.docx"/>
  </w:docVars>
  <w:rsids>
    <w:rsidRoot w:val="00961A4A"/>
    <w:rsid w:val="00001CDF"/>
    <w:rsid w:val="00004633"/>
    <w:rsid w:val="00006F3E"/>
    <w:rsid w:val="0000750C"/>
    <w:rsid w:val="00010286"/>
    <w:rsid w:val="00014322"/>
    <w:rsid w:val="000143C4"/>
    <w:rsid w:val="00021202"/>
    <w:rsid w:val="00021C2B"/>
    <w:rsid w:val="00024494"/>
    <w:rsid w:val="0002517F"/>
    <w:rsid w:val="00025C0F"/>
    <w:rsid w:val="00026495"/>
    <w:rsid w:val="0003578C"/>
    <w:rsid w:val="000364BD"/>
    <w:rsid w:val="00037023"/>
    <w:rsid w:val="000401AF"/>
    <w:rsid w:val="00041DDA"/>
    <w:rsid w:val="000447EE"/>
    <w:rsid w:val="00046FB1"/>
    <w:rsid w:val="00063247"/>
    <w:rsid w:val="00063252"/>
    <w:rsid w:val="00063A92"/>
    <w:rsid w:val="00070846"/>
    <w:rsid w:val="00070F9F"/>
    <w:rsid w:val="0007137B"/>
    <w:rsid w:val="00072819"/>
    <w:rsid w:val="00073335"/>
    <w:rsid w:val="00085663"/>
    <w:rsid w:val="00085EBF"/>
    <w:rsid w:val="00085F93"/>
    <w:rsid w:val="00091B15"/>
    <w:rsid w:val="00096912"/>
    <w:rsid w:val="000A1E7C"/>
    <w:rsid w:val="000A3020"/>
    <w:rsid w:val="000A6C7B"/>
    <w:rsid w:val="000B0360"/>
    <w:rsid w:val="000B4E47"/>
    <w:rsid w:val="000B79FF"/>
    <w:rsid w:val="000C2B40"/>
    <w:rsid w:val="000C2E50"/>
    <w:rsid w:val="000C44D4"/>
    <w:rsid w:val="000D01F4"/>
    <w:rsid w:val="000D06C1"/>
    <w:rsid w:val="000D122C"/>
    <w:rsid w:val="000D3016"/>
    <w:rsid w:val="000D596B"/>
    <w:rsid w:val="000D64F2"/>
    <w:rsid w:val="000D6673"/>
    <w:rsid w:val="000D7F32"/>
    <w:rsid w:val="000E1819"/>
    <w:rsid w:val="000E1A66"/>
    <w:rsid w:val="000E267E"/>
    <w:rsid w:val="000E4821"/>
    <w:rsid w:val="000E6C72"/>
    <w:rsid w:val="000E740F"/>
    <w:rsid w:val="000F0B2B"/>
    <w:rsid w:val="000F2C43"/>
    <w:rsid w:val="000F3E72"/>
    <w:rsid w:val="000F48B1"/>
    <w:rsid w:val="000F6A71"/>
    <w:rsid w:val="000F723D"/>
    <w:rsid w:val="000F7BD7"/>
    <w:rsid w:val="00101118"/>
    <w:rsid w:val="00103A67"/>
    <w:rsid w:val="00110A97"/>
    <w:rsid w:val="00116EB2"/>
    <w:rsid w:val="001171FF"/>
    <w:rsid w:val="00123BC4"/>
    <w:rsid w:val="00124609"/>
    <w:rsid w:val="00126A4C"/>
    <w:rsid w:val="001344B2"/>
    <w:rsid w:val="00142AB6"/>
    <w:rsid w:val="00144F68"/>
    <w:rsid w:val="00145080"/>
    <w:rsid w:val="0014573B"/>
    <w:rsid w:val="00147E70"/>
    <w:rsid w:val="00155F53"/>
    <w:rsid w:val="00156DCC"/>
    <w:rsid w:val="001573E4"/>
    <w:rsid w:val="00160756"/>
    <w:rsid w:val="00166D56"/>
    <w:rsid w:val="00167365"/>
    <w:rsid w:val="0017232E"/>
    <w:rsid w:val="00174102"/>
    <w:rsid w:val="0017480F"/>
    <w:rsid w:val="001754EE"/>
    <w:rsid w:val="00180157"/>
    <w:rsid w:val="00182467"/>
    <w:rsid w:val="00183CCF"/>
    <w:rsid w:val="00185CB9"/>
    <w:rsid w:val="00186F77"/>
    <w:rsid w:val="001909FD"/>
    <w:rsid w:val="001926A4"/>
    <w:rsid w:val="001926B3"/>
    <w:rsid w:val="00192AD5"/>
    <w:rsid w:val="001A6997"/>
    <w:rsid w:val="001B3F62"/>
    <w:rsid w:val="001B45A0"/>
    <w:rsid w:val="001B45C0"/>
    <w:rsid w:val="001B6F2E"/>
    <w:rsid w:val="001B7D00"/>
    <w:rsid w:val="001C17E7"/>
    <w:rsid w:val="001D055E"/>
    <w:rsid w:val="001D25F2"/>
    <w:rsid w:val="001D268E"/>
    <w:rsid w:val="001D4B81"/>
    <w:rsid w:val="001E009C"/>
    <w:rsid w:val="001E5FE2"/>
    <w:rsid w:val="001E66BC"/>
    <w:rsid w:val="001F05A4"/>
    <w:rsid w:val="001F492E"/>
    <w:rsid w:val="001F6DA3"/>
    <w:rsid w:val="0020076A"/>
    <w:rsid w:val="002010BC"/>
    <w:rsid w:val="002016E7"/>
    <w:rsid w:val="00201F98"/>
    <w:rsid w:val="00202E03"/>
    <w:rsid w:val="0020478D"/>
    <w:rsid w:val="0020492C"/>
    <w:rsid w:val="00205A33"/>
    <w:rsid w:val="002076CD"/>
    <w:rsid w:val="002109FC"/>
    <w:rsid w:val="002146AD"/>
    <w:rsid w:val="002175CD"/>
    <w:rsid w:val="002206EF"/>
    <w:rsid w:val="0022444D"/>
    <w:rsid w:val="00224DB9"/>
    <w:rsid w:val="00227DCE"/>
    <w:rsid w:val="0023276C"/>
    <w:rsid w:val="00233775"/>
    <w:rsid w:val="00234985"/>
    <w:rsid w:val="0023648F"/>
    <w:rsid w:val="002457B6"/>
    <w:rsid w:val="0024600C"/>
    <w:rsid w:val="00246954"/>
    <w:rsid w:val="00250922"/>
    <w:rsid w:val="00251745"/>
    <w:rsid w:val="00256DA0"/>
    <w:rsid w:val="002624BF"/>
    <w:rsid w:val="00263AC0"/>
    <w:rsid w:val="00264264"/>
    <w:rsid w:val="00266A3F"/>
    <w:rsid w:val="0026772D"/>
    <w:rsid w:val="00276B1D"/>
    <w:rsid w:val="00277554"/>
    <w:rsid w:val="00285778"/>
    <w:rsid w:val="00286874"/>
    <w:rsid w:val="00290AE1"/>
    <w:rsid w:val="00290C63"/>
    <w:rsid w:val="00296B65"/>
    <w:rsid w:val="00297214"/>
    <w:rsid w:val="0029724D"/>
    <w:rsid w:val="002A6688"/>
    <w:rsid w:val="002A7DEF"/>
    <w:rsid w:val="002B1003"/>
    <w:rsid w:val="002B4FB8"/>
    <w:rsid w:val="002B573C"/>
    <w:rsid w:val="002C233C"/>
    <w:rsid w:val="002C3FD9"/>
    <w:rsid w:val="002C7CAA"/>
    <w:rsid w:val="002D0068"/>
    <w:rsid w:val="002D19F7"/>
    <w:rsid w:val="002D1DB0"/>
    <w:rsid w:val="002D6C18"/>
    <w:rsid w:val="002D72E8"/>
    <w:rsid w:val="002E0917"/>
    <w:rsid w:val="002E1246"/>
    <w:rsid w:val="002E45E0"/>
    <w:rsid w:val="002E7B22"/>
    <w:rsid w:val="002F4C08"/>
    <w:rsid w:val="002F4E8E"/>
    <w:rsid w:val="002F4F7E"/>
    <w:rsid w:val="002F7986"/>
    <w:rsid w:val="00301B40"/>
    <w:rsid w:val="00301F1F"/>
    <w:rsid w:val="003029A5"/>
    <w:rsid w:val="003029EE"/>
    <w:rsid w:val="0030370B"/>
    <w:rsid w:val="00303978"/>
    <w:rsid w:val="00305C19"/>
    <w:rsid w:val="00305CC8"/>
    <w:rsid w:val="00307F6D"/>
    <w:rsid w:val="003130C9"/>
    <w:rsid w:val="003177A2"/>
    <w:rsid w:val="00320869"/>
    <w:rsid w:val="00326B1D"/>
    <w:rsid w:val="003271B5"/>
    <w:rsid w:val="00327A1E"/>
    <w:rsid w:val="00331264"/>
    <w:rsid w:val="003323AE"/>
    <w:rsid w:val="003338A2"/>
    <w:rsid w:val="00334C8D"/>
    <w:rsid w:val="0033548E"/>
    <w:rsid w:val="00335BA3"/>
    <w:rsid w:val="00336A17"/>
    <w:rsid w:val="00343A18"/>
    <w:rsid w:val="00344473"/>
    <w:rsid w:val="00344D08"/>
    <w:rsid w:val="003457F9"/>
    <w:rsid w:val="0034589F"/>
    <w:rsid w:val="00345CBB"/>
    <w:rsid w:val="00346AD3"/>
    <w:rsid w:val="00347114"/>
    <w:rsid w:val="0034799A"/>
    <w:rsid w:val="00350CE6"/>
    <w:rsid w:val="003518B3"/>
    <w:rsid w:val="00356DD1"/>
    <w:rsid w:val="003578CD"/>
    <w:rsid w:val="00365A4C"/>
    <w:rsid w:val="003666F2"/>
    <w:rsid w:val="003670C2"/>
    <w:rsid w:val="00367608"/>
    <w:rsid w:val="003717D8"/>
    <w:rsid w:val="0038228C"/>
    <w:rsid w:val="003846F1"/>
    <w:rsid w:val="003851D9"/>
    <w:rsid w:val="003867C4"/>
    <w:rsid w:val="003903D4"/>
    <w:rsid w:val="00391BF0"/>
    <w:rsid w:val="003931A7"/>
    <w:rsid w:val="00393646"/>
    <w:rsid w:val="00393E57"/>
    <w:rsid w:val="003A260C"/>
    <w:rsid w:val="003B066E"/>
    <w:rsid w:val="003B484F"/>
    <w:rsid w:val="003B7FBA"/>
    <w:rsid w:val="003C0E99"/>
    <w:rsid w:val="003C21BC"/>
    <w:rsid w:val="003C45A6"/>
    <w:rsid w:val="003C6173"/>
    <w:rsid w:val="003D1B37"/>
    <w:rsid w:val="003D301B"/>
    <w:rsid w:val="003E2B57"/>
    <w:rsid w:val="003E5C42"/>
    <w:rsid w:val="003E79EE"/>
    <w:rsid w:val="003F174D"/>
    <w:rsid w:val="003F572D"/>
    <w:rsid w:val="003F7442"/>
    <w:rsid w:val="004058E0"/>
    <w:rsid w:val="00406F6F"/>
    <w:rsid w:val="00407B52"/>
    <w:rsid w:val="004106A5"/>
    <w:rsid w:val="00415F31"/>
    <w:rsid w:val="0041741A"/>
    <w:rsid w:val="00417DB8"/>
    <w:rsid w:val="0042205D"/>
    <w:rsid w:val="00422A29"/>
    <w:rsid w:val="00423A77"/>
    <w:rsid w:val="004261F1"/>
    <w:rsid w:val="00436ECD"/>
    <w:rsid w:val="0044424E"/>
    <w:rsid w:val="004471BF"/>
    <w:rsid w:val="00452473"/>
    <w:rsid w:val="0045777E"/>
    <w:rsid w:val="00461B0F"/>
    <w:rsid w:val="00461C29"/>
    <w:rsid w:val="00466253"/>
    <w:rsid w:val="00467A76"/>
    <w:rsid w:val="00474EC7"/>
    <w:rsid w:val="004768CF"/>
    <w:rsid w:val="00480B4B"/>
    <w:rsid w:val="00480F97"/>
    <w:rsid w:val="00485DC4"/>
    <w:rsid w:val="00494D73"/>
    <w:rsid w:val="004A0A5E"/>
    <w:rsid w:val="004A3664"/>
    <w:rsid w:val="004A43D1"/>
    <w:rsid w:val="004B2837"/>
    <w:rsid w:val="004B355D"/>
    <w:rsid w:val="004B4412"/>
    <w:rsid w:val="004B5219"/>
    <w:rsid w:val="004B7622"/>
    <w:rsid w:val="004C0C43"/>
    <w:rsid w:val="004C348C"/>
    <w:rsid w:val="004C4F1E"/>
    <w:rsid w:val="004C6A30"/>
    <w:rsid w:val="004D1A96"/>
    <w:rsid w:val="004D2C37"/>
    <w:rsid w:val="004D36F6"/>
    <w:rsid w:val="004D55BA"/>
    <w:rsid w:val="004D71AE"/>
    <w:rsid w:val="004E22EC"/>
    <w:rsid w:val="004E2A4C"/>
    <w:rsid w:val="004E513D"/>
    <w:rsid w:val="004E5ABD"/>
    <w:rsid w:val="004E7A9A"/>
    <w:rsid w:val="004F623D"/>
    <w:rsid w:val="004F6A0E"/>
    <w:rsid w:val="00505020"/>
    <w:rsid w:val="00510DEC"/>
    <w:rsid w:val="005110A9"/>
    <w:rsid w:val="00521119"/>
    <w:rsid w:val="00524327"/>
    <w:rsid w:val="00530128"/>
    <w:rsid w:val="00532467"/>
    <w:rsid w:val="00534E0B"/>
    <w:rsid w:val="005355D8"/>
    <w:rsid w:val="00537FD6"/>
    <w:rsid w:val="0054587A"/>
    <w:rsid w:val="00553542"/>
    <w:rsid w:val="005607FD"/>
    <w:rsid w:val="00564A4D"/>
    <w:rsid w:val="0056588A"/>
    <w:rsid w:val="00567BA5"/>
    <w:rsid w:val="00571B35"/>
    <w:rsid w:val="00571D57"/>
    <w:rsid w:val="00575D02"/>
    <w:rsid w:val="00577A09"/>
    <w:rsid w:val="005829C2"/>
    <w:rsid w:val="00582CAF"/>
    <w:rsid w:val="00584BAE"/>
    <w:rsid w:val="00584D8F"/>
    <w:rsid w:val="005857F1"/>
    <w:rsid w:val="00585A4E"/>
    <w:rsid w:val="00586819"/>
    <w:rsid w:val="00593E24"/>
    <w:rsid w:val="0059704C"/>
    <w:rsid w:val="005A404D"/>
    <w:rsid w:val="005B1E3C"/>
    <w:rsid w:val="005B3FB7"/>
    <w:rsid w:val="005B4D33"/>
    <w:rsid w:val="005B704A"/>
    <w:rsid w:val="005C0A7F"/>
    <w:rsid w:val="005C26CC"/>
    <w:rsid w:val="005C349F"/>
    <w:rsid w:val="005C4399"/>
    <w:rsid w:val="005C4C9C"/>
    <w:rsid w:val="005C5059"/>
    <w:rsid w:val="005C5837"/>
    <w:rsid w:val="005C6218"/>
    <w:rsid w:val="005D03B1"/>
    <w:rsid w:val="005D17DF"/>
    <w:rsid w:val="005D30DB"/>
    <w:rsid w:val="005D796B"/>
    <w:rsid w:val="005D7BA2"/>
    <w:rsid w:val="005E36C2"/>
    <w:rsid w:val="005E4186"/>
    <w:rsid w:val="005F0183"/>
    <w:rsid w:val="005F1948"/>
    <w:rsid w:val="005F727F"/>
    <w:rsid w:val="006007DE"/>
    <w:rsid w:val="00601638"/>
    <w:rsid w:val="00606084"/>
    <w:rsid w:val="00610EF9"/>
    <w:rsid w:val="00612F4F"/>
    <w:rsid w:val="006150C0"/>
    <w:rsid w:val="006155B2"/>
    <w:rsid w:val="00615C6B"/>
    <w:rsid w:val="00620331"/>
    <w:rsid w:val="0062063E"/>
    <w:rsid w:val="00620DC3"/>
    <w:rsid w:val="00621276"/>
    <w:rsid w:val="00621DCE"/>
    <w:rsid w:val="00632D6D"/>
    <w:rsid w:val="00640812"/>
    <w:rsid w:val="00642C3E"/>
    <w:rsid w:val="00646ED5"/>
    <w:rsid w:val="00647877"/>
    <w:rsid w:val="00651C3A"/>
    <w:rsid w:val="00651CB2"/>
    <w:rsid w:val="006543F2"/>
    <w:rsid w:val="006560CA"/>
    <w:rsid w:val="0066093B"/>
    <w:rsid w:val="0066104A"/>
    <w:rsid w:val="0066139E"/>
    <w:rsid w:val="00663DAD"/>
    <w:rsid w:val="00665649"/>
    <w:rsid w:val="0066591C"/>
    <w:rsid w:val="00666E20"/>
    <w:rsid w:val="006672AA"/>
    <w:rsid w:val="00671C6F"/>
    <w:rsid w:val="00674700"/>
    <w:rsid w:val="00674C9B"/>
    <w:rsid w:val="00675E20"/>
    <w:rsid w:val="00676679"/>
    <w:rsid w:val="006812E7"/>
    <w:rsid w:val="00683C89"/>
    <w:rsid w:val="00684C16"/>
    <w:rsid w:val="006907F2"/>
    <w:rsid w:val="00691D9A"/>
    <w:rsid w:val="00696CA7"/>
    <w:rsid w:val="006A1C71"/>
    <w:rsid w:val="006A7CB9"/>
    <w:rsid w:val="006A7D76"/>
    <w:rsid w:val="006B2395"/>
    <w:rsid w:val="006B2EF9"/>
    <w:rsid w:val="006B45A4"/>
    <w:rsid w:val="006B4CF9"/>
    <w:rsid w:val="006B5777"/>
    <w:rsid w:val="006B785B"/>
    <w:rsid w:val="006B79E1"/>
    <w:rsid w:val="006B7AC8"/>
    <w:rsid w:val="006C1736"/>
    <w:rsid w:val="006C4798"/>
    <w:rsid w:val="006C5310"/>
    <w:rsid w:val="006C54CD"/>
    <w:rsid w:val="006C774D"/>
    <w:rsid w:val="006D0337"/>
    <w:rsid w:val="006D22F2"/>
    <w:rsid w:val="006D550F"/>
    <w:rsid w:val="006D670D"/>
    <w:rsid w:val="006E1111"/>
    <w:rsid w:val="006E3F76"/>
    <w:rsid w:val="006E608A"/>
    <w:rsid w:val="006F1F83"/>
    <w:rsid w:val="006F3AD1"/>
    <w:rsid w:val="006F3FC8"/>
    <w:rsid w:val="006F6183"/>
    <w:rsid w:val="006F6EF7"/>
    <w:rsid w:val="0070011E"/>
    <w:rsid w:val="00701CAB"/>
    <w:rsid w:val="007023D3"/>
    <w:rsid w:val="007042BF"/>
    <w:rsid w:val="00706EE8"/>
    <w:rsid w:val="00707563"/>
    <w:rsid w:val="00710A22"/>
    <w:rsid w:val="007125D2"/>
    <w:rsid w:val="00722523"/>
    <w:rsid w:val="0072348C"/>
    <w:rsid w:val="0072483A"/>
    <w:rsid w:val="00724A37"/>
    <w:rsid w:val="00727F7E"/>
    <w:rsid w:val="007303C3"/>
    <w:rsid w:val="00734144"/>
    <w:rsid w:val="00741C46"/>
    <w:rsid w:val="00741E23"/>
    <w:rsid w:val="007429BE"/>
    <w:rsid w:val="00743223"/>
    <w:rsid w:val="00746E01"/>
    <w:rsid w:val="0074763F"/>
    <w:rsid w:val="00747EEA"/>
    <w:rsid w:val="00752C8D"/>
    <w:rsid w:val="00757364"/>
    <w:rsid w:val="00757BDF"/>
    <w:rsid w:val="007609D0"/>
    <w:rsid w:val="00763602"/>
    <w:rsid w:val="00763618"/>
    <w:rsid w:val="00763E5D"/>
    <w:rsid w:val="00766881"/>
    <w:rsid w:val="00767740"/>
    <w:rsid w:val="00770A10"/>
    <w:rsid w:val="00773A18"/>
    <w:rsid w:val="00777EE6"/>
    <w:rsid w:val="00781D8E"/>
    <w:rsid w:val="00781E03"/>
    <w:rsid w:val="00781FC2"/>
    <w:rsid w:val="00782EEA"/>
    <w:rsid w:val="00783046"/>
    <w:rsid w:val="00784385"/>
    <w:rsid w:val="007909FB"/>
    <w:rsid w:val="007955AA"/>
    <w:rsid w:val="007A08A4"/>
    <w:rsid w:val="007A7002"/>
    <w:rsid w:val="007A7136"/>
    <w:rsid w:val="007A7F63"/>
    <w:rsid w:val="007B011C"/>
    <w:rsid w:val="007B1009"/>
    <w:rsid w:val="007B186E"/>
    <w:rsid w:val="007B2A85"/>
    <w:rsid w:val="007B2C72"/>
    <w:rsid w:val="007B6C52"/>
    <w:rsid w:val="007C0A30"/>
    <w:rsid w:val="007C1C53"/>
    <w:rsid w:val="007C5C92"/>
    <w:rsid w:val="007C74BB"/>
    <w:rsid w:val="007D456E"/>
    <w:rsid w:val="007E42F4"/>
    <w:rsid w:val="007E4904"/>
    <w:rsid w:val="007E4CB5"/>
    <w:rsid w:val="007F066B"/>
    <w:rsid w:val="007F213A"/>
    <w:rsid w:val="007F75C4"/>
    <w:rsid w:val="00800469"/>
    <w:rsid w:val="008033C4"/>
    <w:rsid w:val="008057DE"/>
    <w:rsid w:val="00806C88"/>
    <w:rsid w:val="00810070"/>
    <w:rsid w:val="0081034E"/>
    <w:rsid w:val="00812B03"/>
    <w:rsid w:val="00815CAC"/>
    <w:rsid w:val="008168E7"/>
    <w:rsid w:val="00816AE5"/>
    <w:rsid w:val="00821004"/>
    <w:rsid w:val="008221F2"/>
    <w:rsid w:val="00825985"/>
    <w:rsid w:val="008301A7"/>
    <w:rsid w:val="008301B2"/>
    <w:rsid w:val="0083259E"/>
    <w:rsid w:val="008344F6"/>
    <w:rsid w:val="0083510F"/>
    <w:rsid w:val="008408C5"/>
    <w:rsid w:val="008414FC"/>
    <w:rsid w:val="00841BE2"/>
    <w:rsid w:val="00845B52"/>
    <w:rsid w:val="00847887"/>
    <w:rsid w:val="00851209"/>
    <w:rsid w:val="00853E6A"/>
    <w:rsid w:val="00856CC8"/>
    <w:rsid w:val="0085722A"/>
    <w:rsid w:val="00862B19"/>
    <w:rsid w:val="00864B35"/>
    <w:rsid w:val="00865DC4"/>
    <w:rsid w:val="00866D99"/>
    <w:rsid w:val="00867CF6"/>
    <w:rsid w:val="00873929"/>
    <w:rsid w:val="00874092"/>
    <w:rsid w:val="008749E0"/>
    <w:rsid w:val="00874CD0"/>
    <w:rsid w:val="0088053D"/>
    <w:rsid w:val="00882481"/>
    <w:rsid w:val="00882A27"/>
    <w:rsid w:val="00882E8E"/>
    <w:rsid w:val="008837AC"/>
    <w:rsid w:val="008877B8"/>
    <w:rsid w:val="00887E64"/>
    <w:rsid w:val="00893571"/>
    <w:rsid w:val="0089583A"/>
    <w:rsid w:val="008A0437"/>
    <w:rsid w:val="008A20F2"/>
    <w:rsid w:val="008A587D"/>
    <w:rsid w:val="008B3355"/>
    <w:rsid w:val="008B35CD"/>
    <w:rsid w:val="008B3728"/>
    <w:rsid w:val="008B3AE3"/>
    <w:rsid w:val="008B5FCC"/>
    <w:rsid w:val="008B7544"/>
    <w:rsid w:val="008C1980"/>
    <w:rsid w:val="008C1CA1"/>
    <w:rsid w:val="008C3374"/>
    <w:rsid w:val="008C39F0"/>
    <w:rsid w:val="008C5486"/>
    <w:rsid w:val="008C63DF"/>
    <w:rsid w:val="008C708B"/>
    <w:rsid w:val="008C7D5C"/>
    <w:rsid w:val="008D163A"/>
    <w:rsid w:val="008D1661"/>
    <w:rsid w:val="008D6800"/>
    <w:rsid w:val="008E56B4"/>
    <w:rsid w:val="008E683D"/>
    <w:rsid w:val="008E6ADC"/>
    <w:rsid w:val="008E7031"/>
    <w:rsid w:val="008E77DE"/>
    <w:rsid w:val="008F07A3"/>
    <w:rsid w:val="008F16B3"/>
    <w:rsid w:val="008F34DD"/>
    <w:rsid w:val="009001B6"/>
    <w:rsid w:val="00900E1B"/>
    <w:rsid w:val="00901C3C"/>
    <w:rsid w:val="00902348"/>
    <w:rsid w:val="009038ED"/>
    <w:rsid w:val="00921F5F"/>
    <w:rsid w:val="009233EE"/>
    <w:rsid w:val="00923CFC"/>
    <w:rsid w:val="00923FA9"/>
    <w:rsid w:val="00926AF3"/>
    <w:rsid w:val="009272AD"/>
    <w:rsid w:val="009277DC"/>
    <w:rsid w:val="00930255"/>
    <w:rsid w:val="00930A79"/>
    <w:rsid w:val="009460AA"/>
    <w:rsid w:val="0094641C"/>
    <w:rsid w:val="00951978"/>
    <w:rsid w:val="00952C61"/>
    <w:rsid w:val="00952CC0"/>
    <w:rsid w:val="00961115"/>
    <w:rsid w:val="00961A4A"/>
    <w:rsid w:val="00964EAB"/>
    <w:rsid w:val="009661DE"/>
    <w:rsid w:val="00983C25"/>
    <w:rsid w:val="009856B7"/>
    <w:rsid w:val="00985C86"/>
    <w:rsid w:val="00991920"/>
    <w:rsid w:val="00996BAF"/>
    <w:rsid w:val="009972D8"/>
    <w:rsid w:val="009A4FAA"/>
    <w:rsid w:val="009A5113"/>
    <w:rsid w:val="009A539D"/>
    <w:rsid w:val="009A5FC3"/>
    <w:rsid w:val="009A64B3"/>
    <w:rsid w:val="009B2F1B"/>
    <w:rsid w:val="009B5DC8"/>
    <w:rsid w:val="009B6F84"/>
    <w:rsid w:val="009B7343"/>
    <w:rsid w:val="009B74B0"/>
    <w:rsid w:val="009C107A"/>
    <w:rsid w:val="009C691D"/>
    <w:rsid w:val="009D2B38"/>
    <w:rsid w:val="009D3906"/>
    <w:rsid w:val="009D433F"/>
    <w:rsid w:val="009D4CF0"/>
    <w:rsid w:val="009D6B46"/>
    <w:rsid w:val="009E0165"/>
    <w:rsid w:val="009F4940"/>
    <w:rsid w:val="009F5BA1"/>
    <w:rsid w:val="009F76AE"/>
    <w:rsid w:val="00A00435"/>
    <w:rsid w:val="00A02A88"/>
    <w:rsid w:val="00A02E79"/>
    <w:rsid w:val="00A04AEC"/>
    <w:rsid w:val="00A0562E"/>
    <w:rsid w:val="00A059F1"/>
    <w:rsid w:val="00A06085"/>
    <w:rsid w:val="00A064A9"/>
    <w:rsid w:val="00A06C52"/>
    <w:rsid w:val="00A0726D"/>
    <w:rsid w:val="00A16596"/>
    <w:rsid w:val="00A168B9"/>
    <w:rsid w:val="00A2121F"/>
    <w:rsid w:val="00A221C6"/>
    <w:rsid w:val="00A22BFE"/>
    <w:rsid w:val="00A2303E"/>
    <w:rsid w:val="00A25A3A"/>
    <w:rsid w:val="00A311A2"/>
    <w:rsid w:val="00A32FBB"/>
    <w:rsid w:val="00A3396C"/>
    <w:rsid w:val="00A403FE"/>
    <w:rsid w:val="00A4150D"/>
    <w:rsid w:val="00A41D26"/>
    <w:rsid w:val="00A428EE"/>
    <w:rsid w:val="00A43D74"/>
    <w:rsid w:val="00A4478A"/>
    <w:rsid w:val="00A44852"/>
    <w:rsid w:val="00A4650A"/>
    <w:rsid w:val="00A50502"/>
    <w:rsid w:val="00A57D04"/>
    <w:rsid w:val="00A60A26"/>
    <w:rsid w:val="00A61598"/>
    <w:rsid w:val="00A62233"/>
    <w:rsid w:val="00A62EEC"/>
    <w:rsid w:val="00A676B0"/>
    <w:rsid w:val="00A700B7"/>
    <w:rsid w:val="00A7171D"/>
    <w:rsid w:val="00A7259C"/>
    <w:rsid w:val="00A80850"/>
    <w:rsid w:val="00A84A99"/>
    <w:rsid w:val="00A84F46"/>
    <w:rsid w:val="00A871F4"/>
    <w:rsid w:val="00A8726F"/>
    <w:rsid w:val="00A90AA4"/>
    <w:rsid w:val="00A923BF"/>
    <w:rsid w:val="00AB4082"/>
    <w:rsid w:val="00AB47E1"/>
    <w:rsid w:val="00AC1B2C"/>
    <w:rsid w:val="00AC3264"/>
    <w:rsid w:val="00AC34F4"/>
    <w:rsid w:val="00AC6043"/>
    <w:rsid w:val="00AD0895"/>
    <w:rsid w:val="00AD2CB7"/>
    <w:rsid w:val="00AD3884"/>
    <w:rsid w:val="00AD7B56"/>
    <w:rsid w:val="00AE1BF1"/>
    <w:rsid w:val="00AE6F79"/>
    <w:rsid w:val="00AF045B"/>
    <w:rsid w:val="00AF0DD2"/>
    <w:rsid w:val="00AF31E3"/>
    <w:rsid w:val="00AF6F2B"/>
    <w:rsid w:val="00B007C7"/>
    <w:rsid w:val="00B0209D"/>
    <w:rsid w:val="00B02165"/>
    <w:rsid w:val="00B02961"/>
    <w:rsid w:val="00B04908"/>
    <w:rsid w:val="00B04B4C"/>
    <w:rsid w:val="00B05D8B"/>
    <w:rsid w:val="00B07CEA"/>
    <w:rsid w:val="00B11942"/>
    <w:rsid w:val="00B13048"/>
    <w:rsid w:val="00B1716D"/>
    <w:rsid w:val="00B17A1D"/>
    <w:rsid w:val="00B200AF"/>
    <w:rsid w:val="00B207A0"/>
    <w:rsid w:val="00B23171"/>
    <w:rsid w:val="00B35EE4"/>
    <w:rsid w:val="00B40CAA"/>
    <w:rsid w:val="00B4224A"/>
    <w:rsid w:val="00B42D3D"/>
    <w:rsid w:val="00B50332"/>
    <w:rsid w:val="00B514DD"/>
    <w:rsid w:val="00B51F3F"/>
    <w:rsid w:val="00B52AF0"/>
    <w:rsid w:val="00B561BD"/>
    <w:rsid w:val="00B56E03"/>
    <w:rsid w:val="00B61EDF"/>
    <w:rsid w:val="00B6620C"/>
    <w:rsid w:val="00B7156D"/>
    <w:rsid w:val="00B71F75"/>
    <w:rsid w:val="00B72C96"/>
    <w:rsid w:val="00B74AC5"/>
    <w:rsid w:val="00B757A6"/>
    <w:rsid w:val="00B757C1"/>
    <w:rsid w:val="00B8080B"/>
    <w:rsid w:val="00B82223"/>
    <w:rsid w:val="00B87BA5"/>
    <w:rsid w:val="00B87C39"/>
    <w:rsid w:val="00B9562D"/>
    <w:rsid w:val="00B95A89"/>
    <w:rsid w:val="00B975B2"/>
    <w:rsid w:val="00BA0731"/>
    <w:rsid w:val="00BA07E8"/>
    <w:rsid w:val="00BA4665"/>
    <w:rsid w:val="00BA47EE"/>
    <w:rsid w:val="00BA7158"/>
    <w:rsid w:val="00BB2DCC"/>
    <w:rsid w:val="00BB2FB2"/>
    <w:rsid w:val="00BB3304"/>
    <w:rsid w:val="00BB3FD7"/>
    <w:rsid w:val="00BB52BF"/>
    <w:rsid w:val="00BB6848"/>
    <w:rsid w:val="00BB7528"/>
    <w:rsid w:val="00BB7B78"/>
    <w:rsid w:val="00BB7D0C"/>
    <w:rsid w:val="00BC1521"/>
    <w:rsid w:val="00BC18DE"/>
    <w:rsid w:val="00BC2FAF"/>
    <w:rsid w:val="00BC42EF"/>
    <w:rsid w:val="00BC6C9D"/>
    <w:rsid w:val="00BD0920"/>
    <w:rsid w:val="00BD0C45"/>
    <w:rsid w:val="00BD310B"/>
    <w:rsid w:val="00BD3446"/>
    <w:rsid w:val="00BD5179"/>
    <w:rsid w:val="00BE1F1B"/>
    <w:rsid w:val="00BE47B5"/>
    <w:rsid w:val="00BE4BB0"/>
    <w:rsid w:val="00BE5ACB"/>
    <w:rsid w:val="00BF0C8F"/>
    <w:rsid w:val="00BF0CD7"/>
    <w:rsid w:val="00BF204F"/>
    <w:rsid w:val="00BF22F8"/>
    <w:rsid w:val="00C0365C"/>
    <w:rsid w:val="00C04223"/>
    <w:rsid w:val="00C15B40"/>
    <w:rsid w:val="00C2250C"/>
    <w:rsid w:val="00C25FA6"/>
    <w:rsid w:val="00C275C4"/>
    <w:rsid w:val="00C30637"/>
    <w:rsid w:val="00C334DB"/>
    <w:rsid w:val="00C36F19"/>
    <w:rsid w:val="00C42ACA"/>
    <w:rsid w:val="00C46BD8"/>
    <w:rsid w:val="00C5122C"/>
    <w:rsid w:val="00C538A9"/>
    <w:rsid w:val="00C53B5A"/>
    <w:rsid w:val="00C54434"/>
    <w:rsid w:val="00C54F5A"/>
    <w:rsid w:val="00C569B4"/>
    <w:rsid w:val="00C56A01"/>
    <w:rsid w:val="00C56A3E"/>
    <w:rsid w:val="00C5711A"/>
    <w:rsid w:val="00C666C6"/>
    <w:rsid w:val="00C67A92"/>
    <w:rsid w:val="00C7497E"/>
    <w:rsid w:val="00C74D43"/>
    <w:rsid w:val="00C74DE0"/>
    <w:rsid w:val="00C75480"/>
    <w:rsid w:val="00C81568"/>
    <w:rsid w:val="00C822EE"/>
    <w:rsid w:val="00C84560"/>
    <w:rsid w:val="00C84F52"/>
    <w:rsid w:val="00C8637F"/>
    <w:rsid w:val="00C86679"/>
    <w:rsid w:val="00C96EA5"/>
    <w:rsid w:val="00C97CDF"/>
    <w:rsid w:val="00C97D79"/>
    <w:rsid w:val="00CA2ABE"/>
    <w:rsid w:val="00CA2ABF"/>
    <w:rsid w:val="00CA2C1D"/>
    <w:rsid w:val="00CA489E"/>
    <w:rsid w:val="00CA52A2"/>
    <w:rsid w:val="00CB0279"/>
    <w:rsid w:val="00CB255F"/>
    <w:rsid w:val="00CB5A99"/>
    <w:rsid w:val="00CB666B"/>
    <w:rsid w:val="00CB79A0"/>
    <w:rsid w:val="00CC0ECD"/>
    <w:rsid w:val="00CC7F1D"/>
    <w:rsid w:val="00CD1111"/>
    <w:rsid w:val="00CD19EE"/>
    <w:rsid w:val="00CD205C"/>
    <w:rsid w:val="00CD7CE0"/>
    <w:rsid w:val="00CE0763"/>
    <w:rsid w:val="00CE484B"/>
    <w:rsid w:val="00CE4900"/>
    <w:rsid w:val="00CE5FBC"/>
    <w:rsid w:val="00CF00DE"/>
    <w:rsid w:val="00CF0DEE"/>
    <w:rsid w:val="00CF2C05"/>
    <w:rsid w:val="00CF43B2"/>
    <w:rsid w:val="00CF552D"/>
    <w:rsid w:val="00CF6EDE"/>
    <w:rsid w:val="00D006AE"/>
    <w:rsid w:val="00D01CF0"/>
    <w:rsid w:val="00D01EFD"/>
    <w:rsid w:val="00D0442A"/>
    <w:rsid w:val="00D04AB9"/>
    <w:rsid w:val="00D06055"/>
    <w:rsid w:val="00D066B7"/>
    <w:rsid w:val="00D12249"/>
    <w:rsid w:val="00D140B1"/>
    <w:rsid w:val="00D15585"/>
    <w:rsid w:val="00D1561B"/>
    <w:rsid w:val="00D17683"/>
    <w:rsid w:val="00D338AB"/>
    <w:rsid w:val="00D36FCC"/>
    <w:rsid w:val="00D41E80"/>
    <w:rsid w:val="00D420C8"/>
    <w:rsid w:val="00D45694"/>
    <w:rsid w:val="00D46654"/>
    <w:rsid w:val="00D46A5C"/>
    <w:rsid w:val="00D46BD3"/>
    <w:rsid w:val="00D5416B"/>
    <w:rsid w:val="00D608F6"/>
    <w:rsid w:val="00D60EFF"/>
    <w:rsid w:val="00D61388"/>
    <w:rsid w:val="00D61550"/>
    <w:rsid w:val="00D61A54"/>
    <w:rsid w:val="00D637FD"/>
    <w:rsid w:val="00D64275"/>
    <w:rsid w:val="00D64DEA"/>
    <w:rsid w:val="00D7168E"/>
    <w:rsid w:val="00D71817"/>
    <w:rsid w:val="00D71E57"/>
    <w:rsid w:val="00D75AA2"/>
    <w:rsid w:val="00D7645E"/>
    <w:rsid w:val="00D80893"/>
    <w:rsid w:val="00D84854"/>
    <w:rsid w:val="00D848B4"/>
    <w:rsid w:val="00D86B06"/>
    <w:rsid w:val="00D9287A"/>
    <w:rsid w:val="00D92CF1"/>
    <w:rsid w:val="00D92D38"/>
    <w:rsid w:val="00D950F5"/>
    <w:rsid w:val="00DA0BCC"/>
    <w:rsid w:val="00DA121B"/>
    <w:rsid w:val="00DA4752"/>
    <w:rsid w:val="00DA61F3"/>
    <w:rsid w:val="00DA6B93"/>
    <w:rsid w:val="00DA6F94"/>
    <w:rsid w:val="00DB0F93"/>
    <w:rsid w:val="00DB1A67"/>
    <w:rsid w:val="00DB304A"/>
    <w:rsid w:val="00DB40E7"/>
    <w:rsid w:val="00DB5002"/>
    <w:rsid w:val="00DB5074"/>
    <w:rsid w:val="00DB5B21"/>
    <w:rsid w:val="00DC3B91"/>
    <w:rsid w:val="00DC7981"/>
    <w:rsid w:val="00DD1C15"/>
    <w:rsid w:val="00DD36E4"/>
    <w:rsid w:val="00DE1093"/>
    <w:rsid w:val="00DE420A"/>
    <w:rsid w:val="00DE4EFA"/>
    <w:rsid w:val="00DE5520"/>
    <w:rsid w:val="00DE563D"/>
    <w:rsid w:val="00DE5E2E"/>
    <w:rsid w:val="00DE6441"/>
    <w:rsid w:val="00DE772C"/>
    <w:rsid w:val="00DF065E"/>
    <w:rsid w:val="00DF102A"/>
    <w:rsid w:val="00DF1D9A"/>
    <w:rsid w:val="00DF2050"/>
    <w:rsid w:val="00DF312A"/>
    <w:rsid w:val="00E01D0E"/>
    <w:rsid w:val="00E04818"/>
    <w:rsid w:val="00E06442"/>
    <w:rsid w:val="00E06BCF"/>
    <w:rsid w:val="00E075B0"/>
    <w:rsid w:val="00E1001C"/>
    <w:rsid w:val="00E11949"/>
    <w:rsid w:val="00E15B75"/>
    <w:rsid w:val="00E23058"/>
    <w:rsid w:val="00E23993"/>
    <w:rsid w:val="00E2523C"/>
    <w:rsid w:val="00E257D6"/>
    <w:rsid w:val="00E25B8C"/>
    <w:rsid w:val="00E324C0"/>
    <w:rsid w:val="00E345BB"/>
    <w:rsid w:val="00E3544F"/>
    <w:rsid w:val="00E40B60"/>
    <w:rsid w:val="00E43A6B"/>
    <w:rsid w:val="00E51D55"/>
    <w:rsid w:val="00E51D65"/>
    <w:rsid w:val="00E55214"/>
    <w:rsid w:val="00E56BD8"/>
    <w:rsid w:val="00E570F4"/>
    <w:rsid w:val="00E6200B"/>
    <w:rsid w:val="00E65C85"/>
    <w:rsid w:val="00E66199"/>
    <w:rsid w:val="00E676EE"/>
    <w:rsid w:val="00E67A61"/>
    <w:rsid w:val="00E711C7"/>
    <w:rsid w:val="00E73E71"/>
    <w:rsid w:val="00E7494F"/>
    <w:rsid w:val="00E755EC"/>
    <w:rsid w:val="00E7624D"/>
    <w:rsid w:val="00E91AFA"/>
    <w:rsid w:val="00E94D22"/>
    <w:rsid w:val="00E97242"/>
    <w:rsid w:val="00EA38F3"/>
    <w:rsid w:val="00EA3D42"/>
    <w:rsid w:val="00EA5FB0"/>
    <w:rsid w:val="00EA6B1B"/>
    <w:rsid w:val="00EA7B88"/>
    <w:rsid w:val="00EB5BC8"/>
    <w:rsid w:val="00EB606C"/>
    <w:rsid w:val="00EC04F1"/>
    <w:rsid w:val="00EC1B2B"/>
    <w:rsid w:val="00EC32E5"/>
    <w:rsid w:val="00ED0EC2"/>
    <w:rsid w:val="00ED3474"/>
    <w:rsid w:val="00ED6791"/>
    <w:rsid w:val="00ED7323"/>
    <w:rsid w:val="00EE28F3"/>
    <w:rsid w:val="00EE4876"/>
    <w:rsid w:val="00EE4D40"/>
    <w:rsid w:val="00EE50D1"/>
    <w:rsid w:val="00EE5E6B"/>
    <w:rsid w:val="00EE65A5"/>
    <w:rsid w:val="00EE77FA"/>
    <w:rsid w:val="00EE7A83"/>
    <w:rsid w:val="00EF1B7A"/>
    <w:rsid w:val="00EF41D6"/>
    <w:rsid w:val="00EF5110"/>
    <w:rsid w:val="00EF70C4"/>
    <w:rsid w:val="00F0334E"/>
    <w:rsid w:val="00F07831"/>
    <w:rsid w:val="00F07967"/>
    <w:rsid w:val="00F10411"/>
    <w:rsid w:val="00F13E9A"/>
    <w:rsid w:val="00F15882"/>
    <w:rsid w:val="00F171E0"/>
    <w:rsid w:val="00F20BD3"/>
    <w:rsid w:val="00F2526A"/>
    <w:rsid w:val="00F2740A"/>
    <w:rsid w:val="00F3451E"/>
    <w:rsid w:val="00F35081"/>
    <w:rsid w:val="00F373A5"/>
    <w:rsid w:val="00F42E08"/>
    <w:rsid w:val="00F47559"/>
    <w:rsid w:val="00F5762F"/>
    <w:rsid w:val="00F57907"/>
    <w:rsid w:val="00F61176"/>
    <w:rsid w:val="00F62A30"/>
    <w:rsid w:val="00F64C7B"/>
    <w:rsid w:val="00F65B25"/>
    <w:rsid w:val="00F66146"/>
    <w:rsid w:val="00F676DD"/>
    <w:rsid w:val="00F71667"/>
    <w:rsid w:val="00F73895"/>
    <w:rsid w:val="00F75A26"/>
    <w:rsid w:val="00F764B9"/>
    <w:rsid w:val="00F76706"/>
    <w:rsid w:val="00F768C8"/>
    <w:rsid w:val="00F77711"/>
    <w:rsid w:val="00F81B8D"/>
    <w:rsid w:val="00F837A2"/>
    <w:rsid w:val="00F83FAD"/>
    <w:rsid w:val="00F8653A"/>
    <w:rsid w:val="00F91F55"/>
    <w:rsid w:val="00F92349"/>
    <w:rsid w:val="00F93B21"/>
    <w:rsid w:val="00F952A0"/>
    <w:rsid w:val="00FA0D4B"/>
    <w:rsid w:val="00FA3C7F"/>
    <w:rsid w:val="00FB1BF3"/>
    <w:rsid w:val="00FB4402"/>
    <w:rsid w:val="00FB60FE"/>
    <w:rsid w:val="00FB66E4"/>
    <w:rsid w:val="00FB6F5D"/>
    <w:rsid w:val="00FB6FAF"/>
    <w:rsid w:val="00FB74E2"/>
    <w:rsid w:val="00FC71DC"/>
    <w:rsid w:val="00FD201A"/>
    <w:rsid w:val="00FD2ED2"/>
    <w:rsid w:val="00FD46BB"/>
    <w:rsid w:val="00FD5614"/>
    <w:rsid w:val="00FD5E78"/>
    <w:rsid w:val="00FD6A13"/>
    <w:rsid w:val="00FE0BE1"/>
    <w:rsid w:val="00FE1DE9"/>
    <w:rsid w:val="00FE36AF"/>
    <w:rsid w:val="00FE39C2"/>
    <w:rsid w:val="00FE3C32"/>
    <w:rsid w:val="00FE64AE"/>
    <w:rsid w:val="00FF03A1"/>
    <w:rsid w:val="00FF5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uiPriority="0" w:qFormat="1"/>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60"/>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uiPriority="0" w:qFormat="1"/>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60"/>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3144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83359896">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997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energymadeeasy.gov.a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nergymadeeasy.gov.au" TargetMode="External"/><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etworks-pipelines/determinations-access-arrangements/australian-gas-networks-sa-%E2%80%94-access-arrangement-2016%E2%80%9321/revised-proposal"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FC5DDCB6</Template>
  <TotalTime>0</TotalTime>
  <Pages>59</Pages>
  <Words>15473</Words>
  <Characters>88200</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2016-05-24T08:07:00Z</dcterms:created>
  <dcterms:modified xsi:type="dcterms:W3CDTF">2016-05-25T04:19:00Z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