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ajorEastAsia" w:cstheme="majorBidi"/>
          <w:noProof/>
          <w:sz w:val="36"/>
          <w:szCs w:val="36"/>
          <w:lang w:eastAsia="en-AU"/>
        </w:rPr>
        <w:id w:val="1021519724"/>
        <w:docPartObj>
          <w:docPartGallery w:val="Cover Pages"/>
          <w:docPartUnique/>
        </w:docPartObj>
      </w:sdtPr>
      <w:sdtEndPr/>
      <w:sdtContent>
        <w:bookmarkStart w:id="0" w:name="_GoBack" w:displacedByCustomXml="prev"/>
        <w:bookmarkEnd w:id="0" w:displacedByCustomXml="prev"/>
        <w:p w:rsidR="000A6C7B" w:rsidRPr="00290C63" w:rsidRDefault="00DE7AB5" w:rsidP="00290C63">
          <w:r w:rsidRPr="00DB723B">
            <w:rPr>
              <w:noProof/>
              <w:lang w:eastAsia="en-AU"/>
            </w:rPr>
            <w:drawing>
              <wp:anchor distT="0" distB="0" distL="114300" distR="114300" simplePos="0" relativeHeight="251661312" behindDoc="1" locked="0" layoutInCell="1" allowOverlap="1" wp14:anchorId="24DBECE3" wp14:editId="241B9489">
                <wp:simplePos x="0" y="0"/>
                <wp:positionH relativeFrom="column">
                  <wp:posOffset>-1116965</wp:posOffset>
                </wp:positionH>
                <wp:positionV relativeFrom="paragraph">
                  <wp:posOffset>-997406</wp:posOffset>
                </wp:positionV>
                <wp:extent cx="7734300" cy="10927003"/>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734300" cy="10927003"/>
                        </a:xfrm>
                        <a:prstGeom prst="rect">
                          <a:avLst/>
                        </a:prstGeom>
                        <a:noFill/>
                      </pic:spPr>
                    </pic:pic>
                  </a:graphicData>
                </a:graphic>
                <wp14:sizeRelH relativeFrom="page">
                  <wp14:pctWidth>0</wp14:pctWidth>
                </wp14:sizeRelH>
                <wp14:sizeRelV relativeFrom="page">
                  <wp14:pctHeight>0</wp14:pctHeight>
                </wp14:sizeRelV>
              </wp:anchor>
            </w:drawing>
          </w:r>
          <w:r w:rsidR="000A6C7B" w:rsidRPr="00290C63">
            <w:rPr>
              <w:noProof/>
              <w:lang w:eastAsia="en-AU"/>
            </w:rPr>
            <w:drawing>
              <wp:anchor distT="0" distB="0" distL="114300" distR="114300" simplePos="0" relativeHeight="251659264" behindDoc="1" locked="0" layoutInCell="1" allowOverlap="1" wp14:anchorId="511E1DF7" wp14:editId="0B70708A">
                <wp:simplePos x="0" y="0"/>
                <wp:positionH relativeFrom="column">
                  <wp:posOffset>-1112520</wp:posOffset>
                </wp:positionH>
                <wp:positionV relativeFrom="paragraph">
                  <wp:posOffset>-919138</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5C16FE" w:rsidRDefault="005C16FE" w:rsidP="00F171E0"/>
        <w:p w:rsidR="00327A1E" w:rsidRDefault="001754EE" w:rsidP="001754EE">
          <w:pPr>
            <w:pStyle w:val="ReportSubtitle"/>
            <w:tabs>
              <w:tab w:val="left" w:pos="1122"/>
              <w:tab w:val="center" w:pos="4238"/>
            </w:tabs>
            <w:jc w:val="left"/>
          </w:pPr>
          <w:r>
            <w:tab/>
          </w:r>
          <w:r>
            <w:tab/>
          </w:r>
          <w:r w:rsidR="00DB4E34">
            <w:t>FINAL</w:t>
          </w:r>
          <w:r w:rsidR="00DA4752">
            <w:t xml:space="preserve"> DECISION</w:t>
          </w:r>
        </w:p>
        <w:p w:rsidR="00415F31" w:rsidRDefault="0073430A" w:rsidP="008F07A3">
          <w:pPr>
            <w:pStyle w:val="ReportSubtitle"/>
          </w:pPr>
          <w:r>
            <w:t>CitiPower</w:t>
          </w:r>
          <w:r w:rsidR="004523B2">
            <w:t xml:space="preserve"> distribution</w:t>
          </w:r>
          <w:r w:rsidR="00415F31">
            <w:t xml:space="preserve"> </w:t>
          </w:r>
          <w:r w:rsidR="00DA4752">
            <w:t>determination</w:t>
          </w:r>
        </w:p>
        <w:p w:rsidR="000A6C7B" w:rsidRDefault="00DA4752" w:rsidP="008F07A3">
          <w:pPr>
            <w:pStyle w:val="ReportSubtitle"/>
          </w:pPr>
          <w:r>
            <w:t xml:space="preserve"> </w:t>
          </w:r>
          <w:r w:rsidR="00DB4E34">
            <w:t>2016 to 2020</w:t>
          </w:r>
        </w:p>
        <w:p w:rsidR="008F07A3" w:rsidRPr="000A6C7B" w:rsidRDefault="008F07A3" w:rsidP="008F07A3">
          <w:pPr>
            <w:pStyle w:val="ReportSubtitle"/>
          </w:pPr>
        </w:p>
        <w:p w:rsidR="000A6C7B" w:rsidRDefault="0037699E" w:rsidP="008F07A3">
          <w:pPr>
            <w:pStyle w:val="ReportSubtitle"/>
          </w:pPr>
          <w:r>
            <w:t xml:space="preserve">Attachment </w:t>
          </w:r>
          <w:r w:rsidR="00D1741A">
            <w:t>1</w:t>
          </w:r>
          <w:r w:rsidR="000474DF">
            <w:t xml:space="preserve"> </w:t>
          </w:r>
          <w:r w:rsidR="00185BA5">
            <w:t>–</w:t>
          </w:r>
          <w:r w:rsidR="000474DF">
            <w:t xml:space="preserve"> </w:t>
          </w:r>
          <w:r w:rsidR="00D1741A">
            <w:t>Annual revenue requirement</w:t>
          </w:r>
        </w:p>
        <w:p w:rsidR="000A6C7B" w:rsidRPr="00327A1E" w:rsidRDefault="00B134D4" w:rsidP="00327A1E">
          <w:pPr>
            <w:pStyle w:val="ReportDate"/>
          </w:pPr>
          <w:r>
            <w:t xml:space="preserve">May </w:t>
          </w:r>
          <w:r w:rsidR="00DB4E34">
            <w:t>2016</w:t>
          </w:r>
        </w:p>
      </w:sdtContent>
    </w:sdt>
    <w:p w:rsidR="00327A1E" w:rsidRPr="00290C63" w:rsidRDefault="00327A1E" w:rsidP="00290C63">
      <w:r>
        <w:br w:type="page"/>
      </w:r>
    </w:p>
    <w:p w:rsidR="00CE2A23" w:rsidRDefault="00CE2A23" w:rsidP="00761454">
      <w:bookmarkStart w:id="1" w:name="_Toc411428008"/>
      <w:r>
        <w:lastRenderedPageBreak/>
        <w:t>© Commonwealth of Australia 201</w:t>
      </w:r>
      <w:r w:rsidR="000474DF">
        <w:t>6</w:t>
      </w:r>
    </w:p>
    <w:p w:rsidR="00CE2A23" w:rsidRDefault="00CE2A23" w:rsidP="00761454">
      <w:r>
        <w:t>This work is copyright. In addition to any use permitted under the Copyright Act 1968, all material contained within this work is provided under a Creative Commons Attributions 3.0 Australia licence, with the exception of:</w:t>
      </w:r>
    </w:p>
    <w:p w:rsidR="00CE2A23" w:rsidRPr="00CE2A23" w:rsidRDefault="00CE2A23" w:rsidP="00CE2A23">
      <w:pPr>
        <w:pStyle w:val="AERbulletlistfirststyle"/>
      </w:pPr>
      <w:r w:rsidRPr="00CE2A23">
        <w:t>the Commonwealth Coat of Arms</w:t>
      </w:r>
    </w:p>
    <w:p w:rsidR="00CE2A23" w:rsidRPr="00CB734B" w:rsidRDefault="00CE2A23" w:rsidP="00CE2A23">
      <w:pPr>
        <w:pStyle w:val="AERbulletlistfirststyle"/>
      </w:pPr>
      <w:r w:rsidRPr="00CE2A23">
        <w:t>the ACCC and AER logos</w:t>
      </w:r>
    </w:p>
    <w:p w:rsidR="00CE2A23" w:rsidRPr="00CE2A23" w:rsidRDefault="00CE2A23" w:rsidP="00CB734B">
      <w:pPr>
        <w:pStyle w:val="AERbulletlistfirststyle"/>
      </w:pPr>
      <w:r w:rsidRPr="00CE2A23">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CE2A23" w:rsidRDefault="00CE2A23" w:rsidP="00761454">
      <w:r>
        <w:t>Requests and inquiries concerning reproduction and rights should be addressed to the:</w:t>
      </w:r>
    </w:p>
    <w:p w:rsidR="00CE2A23" w:rsidRDefault="00CE2A23" w:rsidP="00761454">
      <w:r>
        <w:t>Director, Corporate Communications</w:t>
      </w:r>
      <w:r>
        <w:br/>
        <w:t xml:space="preserve">Australian Competition and Consumer Commission </w:t>
      </w:r>
      <w:r>
        <w:br/>
        <w:t>GPO Box 4141, Canberra ACT 2601</w:t>
      </w:r>
    </w:p>
    <w:p w:rsidR="00CE2A23" w:rsidRDefault="00CE2A23" w:rsidP="00761454">
      <w:r>
        <w:t>or publishing.unit@accc.gov.au.</w:t>
      </w:r>
    </w:p>
    <w:p w:rsidR="00CE2A23" w:rsidRDefault="00CE2A23" w:rsidP="00761454">
      <w:r>
        <w:t>Inquiries about this publication should be addressed to:</w:t>
      </w:r>
    </w:p>
    <w:p w:rsidR="00CE2A23" w:rsidRDefault="00CE2A23" w:rsidP="00761454">
      <w:r>
        <w:t xml:space="preserve">Australian Energy </w:t>
      </w:r>
      <w:r w:rsidRPr="00F171E0">
        <w:t>Regulator</w:t>
      </w:r>
      <w:r>
        <w:br/>
        <w:t>GPO Box 520</w:t>
      </w:r>
      <w:r>
        <w:br/>
      </w:r>
      <w:r w:rsidR="008658A1">
        <w:t>Melbourne Vic 3001</w:t>
      </w:r>
    </w:p>
    <w:p w:rsidR="00CE2A23" w:rsidRDefault="00CE2A23" w:rsidP="00761454">
      <w:r>
        <w:t>Tel: (03) 9290 1444</w:t>
      </w:r>
      <w:r>
        <w:br/>
        <w:t>Fax: (03) 9290 1457</w:t>
      </w:r>
    </w:p>
    <w:p w:rsidR="00CE2A23" w:rsidRDefault="00CE2A23" w:rsidP="00761454">
      <w:r>
        <w:t xml:space="preserve">Email: </w:t>
      </w:r>
      <w:hyperlink r:id="rId12" w:history="1">
        <w:r w:rsidRPr="00D64888">
          <w:rPr>
            <w:rStyle w:val="Hyperlink"/>
          </w:rPr>
          <w:t>AERInquiry@aer.gov.au</w:t>
        </w:r>
      </w:hyperlink>
      <w:r>
        <w:rPr>
          <w:rStyle w:val="Hyperlink"/>
        </w:rPr>
        <w:br/>
      </w:r>
    </w:p>
    <w:p w:rsidR="00291A99" w:rsidRDefault="00291A99" w:rsidP="00761454"/>
    <w:p w:rsidR="00761454" w:rsidRDefault="00761454">
      <w:pPr>
        <w:spacing w:line="240" w:lineRule="auto"/>
      </w:pPr>
      <w:r>
        <w:br w:type="page"/>
      </w:r>
    </w:p>
    <w:p w:rsidR="00761454" w:rsidRDefault="00761454" w:rsidP="00761454">
      <w:pPr>
        <w:pStyle w:val="UnnumberedHeading"/>
        <w:numPr>
          <w:ilvl w:val="0"/>
          <w:numId w:val="23"/>
        </w:numPr>
      </w:pPr>
      <w:bookmarkStart w:id="2" w:name="_Toc404153950"/>
      <w:bookmarkStart w:id="3" w:name="_Toc404437593"/>
      <w:bookmarkStart w:id="4" w:name="_Toc451356614"/>
      <w:r>
        <w:lastRenderedPageBreak/>
        <w:t>Note</w:t>
      </w:r>
      <w:bookmarkEnd w:id="2"/>
      <w:bookmarkEnd w:id="3"/>
      <w:bookmarkEnd w:id="4"/>
    </w:p>
    <w:p w:rsidR="00761454" w:rsidRDefault="00761454" w:rsidP="00761454">
      <w:pPr>
        <w:numPr>
          <w:ilvl w:val="0"/>
          <w:numId w:val="24"/>
        </w:numPr>
      </w:pPr>
      <w:r>
        <w:t xml:space="preserve">This </w:t>
      </w:r>
      <w:r w:rsidR="00B134D4">
        <w:t xml:space="preserve">attachment </w:t>
      </w:r>
      <w:r>
        <w:t xml:space="preserve">forms part of the AER's </w:t>
      </w:r>
      <w:r w:rsidR="00DB4E34">
        <w:t>final</w:t>
      </w:r>
      <w:r w:rsidR="000474DF">
        <w:t xml:space="preserve"> </w:t>
      </w:r>
      <w:r>
        <w:t xml:space="preserve">decision on </w:t>
      </w:r>
      <w:r w:rsidR="0073430A">
        <w:t>CitiPower's</w:t>
      </w:r>
      <w:r w:rsidR="004523B2">
        <w:t xml:space="preserve"> distribution</w:t>
      </w:r>
      <w:r>
        <w:t xml:space="preserve"> determination for 201</w:t>
      </w:r>
      <w:r w:rsidR="00C75E3E">
        <w:t>6</w:t>
      </w:r>
      <w:r w:rsidRPr="00F02D30">
        <w:t>–</w:t>
      </w:r>
      <w:r w:rsidR="00C75E3E">
        <w:t>20</w:t>
      </w:r>
      <w:r>
        <w:t xml:space="preserve">. It should be read with </w:t>
      </w:r>
      <w:r w:rsidR="000474DF">
        <w:t xml:space="preserve">all </w:t>
      </w:r>
      <w:r>
        <w:t xml:space="preserve">other parts of the </w:t>
      </w:r>
      <w:r w:rsidR="00DB4E34">
        <w:t>final</w:t>
      </w:r>
      <w:r>
        <w:t xml:space="preserve"> decision.</w:t>
      </w:r>
    </w:p>
    <w:p w:rsidR="00761454" w:rsidRDefault="00761454" w:rsidP="00761454">
      <w:pPr>
        <w:numPr>
          <w:ilvl w:val="0"/>
          <w:numId w:val="24"/>
        </w:numPr>
      </w:pPr>
      <w:r>
        <w:t xml:space="preserve">The </w:t>
      </w:r>
      <w:r w:rsidR="00DB4E34">
        <w:t>final</w:t>
      </w:r>
      <w:r>
        <w:t xml:space="preserve"> decision includes the following documents:</w:t>
      </w:r>
    </w:p>
    <w:p w:rsidR="00761454" w:rsidRDefault="00761454" w:rsidP="00761454">
      <w:pPr>
        <w:numPr>
          <w:ilvl w:val="0"/>
          <w:numId w:val="24"/>
        </w:numPr>
      </w:pPr>
      <w:r>
        <w:t>Overview</w:t>
      </w:r>
    </w:p>
    <w:p w:rsidR="00761454" w:rsidRDefault="000474DF" w:rsidP="00761454">
      <w:pPr>
        <w:numPr>
          <w:ilvl w:val="0"/>
          <w:numId w:val="24"/>
        </w:numPr>
      </w:pPr>
      <w:r>
        <w:t xml:space="preserve">Attachment 1 – </w:t>
      </w:r>
      <w:r w:rsidR="004523B2">
        <w:t>Annual revenue requirement</w:t>
      </w:r>
    </w:p>
    <w:p w:rsidR="00761454" w:rsidRDefault="000474DF" w:rsidP="00761454">
      <w:pPr>
        <w:numPr>
          <w:ilvl w:val="0"/>
          <w:numId w:val="24"/>
        </w:numPr>
      </w:pPr>
      <w:r>
        <w:t>Attachment 2 – R</w:t>
      </w:r>
      <w:r w:rsidR="00761454">
        <w:t>egulatory asset base</w:t>
      </w:r>
    </w:p>
    <w:p w:rsidR="00761454" w:rsidRDefault="000474DF" w:rsidP="00761454">
      <w:pPr>
        <w:numPr>
          <w:ilvl w:val="0"/>
          <w:numId w:val="24"/>
        </w:numPr>
      </w:pPr>
      <w:r>
        <w:t>Attachment 3 – R</w:t>
      </w:r>
      <w:r w:rsidR="00761454">
        <w:t>ate of return</w:t>
      </w:r>
    </w:p>
    <w:p w:rsidR="00761454" w:rsidRDefault="000474DF" w:rsidP="00761454">
      <w:pPr>
        <w:numPr>
          <w:ilvl w:val="0"/>
          <w:numId w:val="24"/>
        </w:numPr>
      </w:pPr>
      <w:r>
        <w:t>Attachment 4 – V</w:t>
      </w:r>
      <w:r w:rsidR="00761454">
        <w:t>alue of imputation credits</w:t>
      </w:r>
    </w:p>
    <w:p w:rsidR="00761454" w:rsidRDefault="00761454" w:rsidP="00761454">
      <w:pPr>
        <w:numPr>
          <w:ilvl w:val="0"/>
          <w:numId w:val="24"/>
        </w:numPr>
      </w:pPr>
      <w:r>
        <w:t xml:space="preserve">Attachment 5 – </w:t>
      </w:r>
      <w:r w:rsidR="000474DF">
        <w:t>R</w:t>
      </w:r>
      <w:r>
        <w:t>egulatory depreciation</w:t>
      </w:r>
    </w:p>
    <w:p w:rsidR="00761454" w:rsidRDefault="000474DF" w:rsidP="00761454">
      <w:pPr>
        <w:numPr>
          <w:ilvl w:val="0"/>
          <w:numId w:val="24"/>
        </w:numPr>
      </w:pPr>
      <w:r>
        <w:t>Attachment 6 – C</w:t>
      </w:r>
      <w:r w:rsidR="00761454">
        <w:t xml:space="preserve">apital expenditure </w:t>
      </w:r>
    </w:p>
    <w:p w:rsidR="00761454" w:rsidRDefault="000474DF" w:rsidP="00761454">
      <w:pPr>
        <w:numPr>
          <w:ilvl w:val="0"/>
          <w:numId w:val="24"/>
        </w:numPr>
      </w:pPr>
      <w:r>
        <w:t>Attachment 7 – O</w:t>
      </w:r>
      <w:r w:rsidR="00761454">
        <w:t>perating expenditure</w:t>
      </w:r>
    </w:p>
    <w:p w:rsidR="00761454" w:rsidRDefault="00761454" w:rsidP="00761454">
      <w:pPr>
        <w:numPr>
          <w:ilvl w:val="0"/>
          <w:numId w:val="24"/>
        </w:numPr>
      </w:pPr>
      <w:r>
        <w:t xml:space="preserve">Attachment 8 – </w:t>
      </w:r>
      <w:r w:rsidR="000474DF">
        <w:t>C</w:t>
      </w:r>
      <w:r>
        <w:t>orporate income tax</w:t>
      </w:r>
    </w:p>
    <w:p w:rsidR="00761454" w:rsidRDefault="000474DF" w:rsidP="00761454">
      <w:pPr>
        <w:numPr>
          <w:ilvl w:val="0"/>
          <w:numId w:val="24"/>
        </w:numPr>
      </w:pPr>
      <w:r>
        <w:t>Attachment 9 – E</w:t>
      </w:r>
      <w:r w:rsidR="00761454">
        <w:t>fficiency benefit sharing scheme</w:t>
      </w:r>
    </w:p>
    <w:p w:rsidR="00761454" w:rsidRDefault="000474DF" w:rsidP="00761454">
      <w:pPr>
        <w:numPr>
          <w:ilvl w:val="0"/>
          <w:numId w:val="24"/>
        </w:numPr>
      </w:pPr>
      <w:r>
        <w:t>Attachment 10 – C</w:t>
      </w:r>
      <w:r w:rsidR="00761454">
        <w:t>apital expenditure sharing scheme</w:t>
      </w:r>
    </w:p>
    <w:p w:rsidR="00761454" w:rsidRDefault="000474DF" w:rsidP="00761454">
      <w:pPr>
        <w:numPr>
          <w:ilvl w:val="0"/>
          <w:numId w:val="24"/>
        </w:numPr>
      </w:pPr>
      <w:r>
        <w:t>Attachment 11 – S</w:t>
      </w:r>
      <w:r w:rsidR="00761454">
        <w:t>ervice target performance incentive scheme</w:t>
      </w:r>
    </w:p>
    <w:p w:rsidR="00761454" w:rsidRPr="00F02D30" w:rsidRDefault="00761454" w:rsidP="00761454">
      <w:pPr>
        <w:numPr>
          <w:ilvl w:val="0"/>
          <w:numId w:val="24"/>
        </w:numPr>
      </w:pPr>
      <w:r>
        <w:t xml:space="preserve">Attachment 12 – </w:t>
      </w:r>
      <w:r w:rsidR="004523B2">
        <w:t>Demand management incentive scheme</w:t>
      </w:r>
    </w:p>
    <w:p w:rsidR="00761454" w:rsidRPr="00F02D30" w:rsidRDefault="00761454" w:rsidP="00761454">
      <w:pPr>
        <w:numPr>
          <w:ilvl w:val="0"/>
          <w:numId w:val="24"/>
        </w:numPr>
      </w:pPr>
      <w:r>
        <w:t xml:space="preserve">Attachment 13 </w:t>
      </w:r>
      <w:r w:rsidR="000474DF">
        <w:t xml:space="preserve">– </w:t>
      </w:r>
      <w:r w:rsidR="004523B2">
        <w:t>Classification of services</w:t>
      </w:r>
    </w:p>
    <w:p w:rsidR="00761454" w:rsidRDefault="00761454" w:rsidP="00761454">
      <w:pPr>
        <w:numPr>
          <w:ilvl w:val="0"/>
          <w:numId w:val="24"/>
        </w:numPr>
      </w:pPr>
      <w:r>
        <w:t xml:space="preserve">Attachment 14 </w:t>
      </w:r>
      <w:r w:rsidR="000474DF">
        <w:t xml:space="preserve">– </w:t>
      </w:r>
      <w:r w:rsidR="004523B2">
        <w:t>Control mechanisms</w:t>
      </w:r>
    </w:p>
    <w:p w:rsidR="004523B2" w:rsidRDefault="004523B2" w:rsidP="00761454">
      <w:pPr>
        <w:numPr>
          <w:ilvl w:val="0"/>
          <w:numId w:val="24"/>
        </w:numPr>
      </w:pPr>
      <w:r>
        <w:t>Attachment 15 – Pass through events</w:t>
      </w:r>
    </w:p>
    <w:p w:rsidR="004523B2" w:rsidRDefault="004523B2" w:rsidP="00761454">
      <w:pPr>
        <w:numPr>
          <w:ilvl w:val="0"/>
          <w:numId w:val="24"/>
        </w:numPr>
      </w:pPr>
      <w:r>
        <w:t>Attachment 16 – Alternative control services</w:t>
      </w:r>
    </w:p>
    <w:p w:rsidR="004523B2" w:rsidRDefault="004523B2" w:rsidP="00761454">
      <w:pPr>
        <w:numPr>
          <w:ilvl w:val="0"/>
          <w:numId w:val="24"/>
        </w:numPr>
      </w:pPr>
      <w:r>
        <w:t>Attachment 17 – Negotiated services framework and criteria</w:t>
      </w:r>
    </w:p>
    <w:p w:rsidR="004523B2" w:rsidRDefault="004523B2" w:rsidP="00761454">
      <w:pPr>
        <w:numPr>
          <w:ilvl w:val="0"/>
          <w:numId w:val="24"/>
        </w:numPr>
      </w:pPr>
      <w:r>
        <w:t xml:space="preserve">Attachment 18 – </w:t>
      </w:r>
      <w:r w:rsidR="00DB4E34">
        <w:t>f-factor scheme</w:t>
      </w:r>
    </w:p>
    <w:p w:rsidR="004523B2" w:rsidRPr="00F02D30" w:rsidRDefault="004523B2" w:rsidP="00761454">
      <w:pPr>
        <w:numPr>
          <w:ilvl w:val="0"/>
          <w:numId w:val="24"/>
        </w:numPr>
      </w:pPr>
    </w:p>
    <w:p w:rsidR="00761454" w:rsidRPr="009D3906" w:rsidRDefault="00761454" w:rsidP="00761454"/>
    <w:p w:rsidR="00CE2A23" w:rsidRPr="00CE2A23" w:rsidRDefault="00CE2A23" w:rsidP="00CE2A23">
      <w:bookmarkStart w:id="5" w:name="_Toc404354899"/>
      <w:bookmarkStart w:id="6" w:name="_Toc404353070"/>
      <w:bookmarkStart w:id="7" w:name="_Toc404684201"/>
      <w:bookmarkStart w:id="8" w:name="_Toc404700923"/>
      <w:r>
        <w:br w:type="page"/>
      </w:r>
    </w:p>
    <w:bookmarkEnd w:id="5"/>
    <w:bookmarkEnd w:id="6"/>
    <w:bookmarkEnd w:id="7"/>
    <w:bookmarkEnd w:id="8"/>
    <w:p w:rsidR="00CE2A23" w:rsidRPr="008F07A3" w:rsidRDefault="00CE2A23" w:rsidP="00CE2A23">
      <w:pPr>
        <w:numPr>
          <w:ilvl w:val="0"/>
          <w:numId w:val="24"/>
        </w:numPr>
        <w:sectPr w:rsidR="00CE2A23" w:rsidRPr="008F07A3" w:rsidSect="00317E02">
          <w:footerReference w:type="even" r:id="rId13"/>
          <w:footerReference w:type="default" r:id="rId14"/>
          <w:footerReference w:type="first" r:id="rId15"/>
          <w:pgSz w:w="11906" w:h="16838" w:code="9"/>
          <w:pgMar w:top="1440" w:right="1700" w:bottom="1582" w:left="1729" w:header="720" w:footer="0" w:gutter="0"/>
          <w:pgNumType w:start="0" w:chapStyle="1"/>
          <w:cols w:space="720"/>
          <w:docGrid w:linePitch="326"/>
        </w:sectPr>
      </w:pPr>
    </w:p>
    <w:p w:rsidR="00CE2A23" w:rsidRPr="00A72B34" w:rsidRDefault="00CE2A23" w:rsidP="00CE2A23">
      <w:pPr>
        <w:pStyle w:val="UnnumberedHeading"/>
        <w:numPr>
          <w:ilvl w:val="0"/>
          <w:numId w:val="23"/>
        </w:numPr>
      </w:pPr>
      <w:bookmarkStart w:id="9" w:name="_Toc403144133"/>
      <w:bookmarkStart w:id="10" w:name="_Toc451356615"/>
      <w:r>
        <w:lastRenderedPageBreak/>
        <w:t>Contents</w:t>
      </w:r>
      <w:bookmarkEnd w:id="9"/>
      <w:bookmarkEnd w:id="10"/>
    </w:p>
    <w:p w:rsidR="00CE2A23" w:rsidRDefault="00CE2A23" w:rsidP="00CE2A23"/>
    <w:sdt>
      <w:sdtPr>
        <w:id w:val="1269200322"/>
        <w:docPartObj>
          <w:docPartGallery w:val="Table of Contents"/>
          <w:docPartUnique/>
        </w:docPartObj>
      </w:sdtPr>
      <w:sdtEndPr/>
      <w:sdtContent>
        <w:p w:rsidR="00473EE0" w:rsidRDefault="00CD283C">
          <w:pPr>
            <w:pStyle w:val="TOC1"/>
            <w:rPr>
              <w:rFonts w:asciiTheme="minorHAnsi" w:eastAsiaTheme="minorEastAsia" w:hAnsiTheme="minorHAnsi"/>
              <w:b w:val="0"/>
              <w:color w:val="auto"/>
              <w:sz w:val="22"/>
              <w:lang w:val="en-AU" w:eastAsia="en-AU"/>
            </w:rPr>
          </w:pPr>
          <w:r>
            <w:fldChar w:fldCharType="begin"/>
          </w:r>
          <w:r>
            <w:instrText xml:space="preserve"> TOC \o "1-2" \h \z \t "Heading 3,3,Heading 7,1,Heading 8,2,Heading 9,3" </w:instrText>
          </w:r>
          <w:r>
            <w:fldChar w:fldCharType="separate"/>
          </w:r>
          <w:hyperlink w:anchor="_Toc451356614" w:history="1">
            <w:r w:rsidR="00473EE0" w:rsidRPr="007430CE">
              <w:rPr>
                <w:rStyle w:val="Hyperlink"/>
              </w:rPr>
              <w:t>Note</w:t>
            </w:r>
            <w:r w:rsidR="00473EE0">
              <w:rPr>
                <w:webHidden/>
              </w:rPr>
              <w:tab/>
            </w:r>
            <w:r w:rsidR="00473EE0">
              <w:rPr>
                <w:webHidden/>
              </w:rPr>
              <w:fldChar w:fldCharType="begin"/>
            </w:r>
            <w:r w:rsidR="00473EE0">
              <w:rPr>
                <w:webHidden/>
              </w:rPr>
              <w:instrText xml:space="preserve"> PAGEREF _Toc451356614 \h </w:instrText>
            </w:r>
            <w:r w:rsidR="00473EE0">
              <w:rPr>
                <w:webHidden/>
              </w:rPr>
            </w:r>
            <w:r w:rsidR="00473EE0">
              <w:rPr>
                <w:webHidden/>
              </w:rPr>
              <w:fldChar w:fldCharType="separate"/>
            </w:r>
            <w:r w:rsidR="00473EE0">
              <w:rPr>
                <w:webHidden/>
              </w:rPr>
              <w:t>1-2</w:t>
            </w:r>
            <w:r w:rsidR="00473EE0">
              <w:rPr>
                <w:webHidden/>
              </w:rPr>
              <w:fldChar w:fldCharType="end"/>
            </w:r>
          </w:hyperlink>
        </w:p>
        <w:p w:rsidR="00473EE0" w:rsidRDefault="004324A5">
          <w:pPr>
            <w:pStyle w:val="TOC1"/>
            <w:rPr>
              <w:rFonts w:asciiTheme="minorHAnsi" w:eastAsiaTheme="minorEastAsia" w:hAnsiTheme="minorHAnsi"/>
              <w:b w:val="0"/>
              <w:color w:val="auto"/>
              <w:sz w:val="22"/>
              <w:lang w:val="en-AU" w:eastAsia="en-AU"/>
            </w:rPr>
          </w:pPr>
          <w:hyperlink w:anchor="_Toc451356615" w:history="1">
            <w:r w:rsidR="00473EE0" w:rsidRPr="007430CE">
              <w:rPr>
                <w:rStyle w:val="Hyperlink"/>
              </w:rPr>
              <w:t>Contents</w:t>
            </w:r>
            <w:r w:rsidR="00473EE0">
              <w:rPr>
                <w:webHidden/>
              </w:rPr>
              <w:tab/>
            </w:r>
            <w:r w:rsidR="00473EE0">
              <w:rPr>
                <w:webHidden/>
              </w:rPr>
              <w:fldChar w:fldCharType="begin"/>
            </w:r>
            <w:r w:rsidR="00473EE0">
              <w:rPr>
                <w:webHidden/>
              </w:rPr>
              <w:instrText xml:space="preserve"> PAGEREF _Toc451356615 \h </w:instrText>
            </w:r>
            <w:r w:rsidR="00473EE0">
              <w:rPr>
                <w:webHidden/>
              </w:rPr>
            </w:r>
            <w:r w:rsidR="00473EE0">
              <w:rPr>
                <w:webHidden/>
              </w:rPr>
              <w:fldChar w:fldCharType="separate"/>
            </w:r>
            <w:r w:rsidR="00473EE0">
              <w:rPr>
                <w:webHidden/>
              </w:rPr>
              <w:t>1-3</w:t>
            </w:r>
            <w:r w:rsidR="00473EE0">
              <w:rPr>
                <w:webHidden/>
              </w:rPr>
              <w:fldChar w:fldCharType="end"/>
            </w:r>
          </w:hyperlink>
        </w:p>
        <w:p w:rsidR="00473EE0" w:rsidRDefault="004324A5">
          <w:pPr>
            <w:pStyle w:val="TOC1"/>
            <w:rPr>
              <w:rFonts w:asciiTheme="minorHAnsi" w:eastAsiaTheme="minorEastAsia" w:hAnsiTheme="minorHAnsi"/>
              <w:b w:val="0"/>
              <w:color w:val="auto"/>
              <w:sz w:val="22"/>
              <w:lang w:val="en-AU" w:eastAsia="en-AU"/>
            </w:rPr>
          </w:pPr>
          <w:hyperlink w:anchor="_Toc451356616" w:history="1">
            <w:r w:rsidR="00473EE0" w:rsidRPr="007430CE">
              <w:rPr>
                <w:rStyle w:val="Hyperlink"/>
              </w:rPr>
              <w:t>Shortened forms</w:t>
            </w:r>
            <w:r w:rsidR="00473EE0">
              <w:rPr>
                <w:webHidden/>
              </w:rPr>
              <w:tab/>
            </w:r>
            <w:r w:rsidR="00473EE0">
              <w:rPr>
                <w:webHidden/>
              </w:rPr>
              <w:fldChar w:fldCharType="begin"/>
            </w:r>
            <w:r w:rsidR="00473EE0">
              <w:rPr>
                <w:webHidden/>
              </w:rPr>
              <w:instrText xml:space="preserve"> PAGEREF _Toc451356616 \h </w:instrText>
            </w:r>
            <w:r w:rsidR="00473EE0">
              <w:rPr>
                <w:webHidden/>
              </w:rPr>
            </w:r>
            <w:r w:rsidR="00473EE0">
              <w:rPr>
                <w:webHidden/>
              </w:rPr>
              <w:fldChar w:fldCharType="separate"/>
            </w:r>
            <w:r w:rsidR="00473EE0">
              <w:rPr>
                <w:webHidden/>
              </w:rPr>
              <w:t>1-4</w:t>
            </w:r>
            <w:r w:rsidR="00473EE0">
              <w:rPr>
                <w:webHidden/>
              </w:rPr>
              <w:fldChar w:fldCharType="end"/>
            </w:r>
          </w:hyperlink>
        </w:p>
        <w:p w:rsidR="00473EE0" w:rsidRDefault="004324A5">
          <w:pPr>
            <w:pStyle w:val="TOC1"/>
            <w:rPr>
              <w:rFonts w:asciiTheme="minorHAnsi" w:eastAsiaTheme="minorEastAsia" w:hAnsiTheme="minorHAnsi"/>
              <w:b w:val="0"/>
              <w:color w:val="auto"/>
              <w:sz w:val="22"/>
              <w:lang w:val="en-AU" w:eastAsia="en-AU"/>
            </w:rPr>
          </w:pPr>
          <w:hyperlink w:anchor="_Toc451356617" w:history="1">
            <w:r w:rsidR="00473EE0" w:rsidRPr="007430CE">
              <w:rPr>
                <w:rStyle w:val="Hyperlink"/>
              </w:rPr>
              <w:t>1</w:t>
            </w:r>
            <w:r w:rsidR="00473EE0">
              <w:rPr>
                <w:rFonts w:asciiTheme="minorHAnsi" w:eastAsiaTheme="minorEastAsia" w:hAnsiTheme="minorHAnsi"/>
                <w:b w:val="0"/>
                <w:color w:val="auto"/>
                <w:sz w:val="22"/>
                <w:lang w:val="en-AU" w:eastAsia="en-AU"/>
              </w:rPr>
              <w:tab/>
            </w:r>
            <w:r w:rsidR="00473EE0" w:rsidRPr="007430CE">
              <w:rPr>
                <w:rStyle w:val="Hyperlink"/>
              </w:rPr>
              <w:t>Annual revenue requirement</w:t>
            </w:r>
            <w:r w:rsidR="00473EE0">
              <w:rPr>
                <w:webHidden/>
              </w:rPr>
              <w:tab/>
            </w:r>
            <w:r w:rsidR="00473EE0">
              <w:rPr>
                <w:webHidden/>
              </w:rPr>
              <w:fldChar w:fldCharType="begin"/>
            </w:r>
            <w:r w:rsidR="00473EE0">
              <w:rPr>
                <w:webHidden/>
              </w:rPr>
              <w:instrText xml:space="preserve"> PAGEREF _Toc451356617 \h </w:instrText>
            </w:r>
            <w:r w:rsidR="00473EE0">
              <w:rPr>
                <w:webHidden/>
              </w:rPr>
            </w:r>
            <w:r w:rsidR="00473EE0">
              <w:rPr>
                <w:webHidden/>
              </w:rPr>
              <w:fldChar w:fldCharType="separate"/>
            </w:r>
            <w:r w:rsidR="00473EE0">
              <w:rPr>
                <w:webHidden/>
              </w:rPr>
              <w:t>1-6</w:t>
            </w:r>
            <w:r w:rsidR="00473EE0">
              <w:rPr>
                <w:webHidden/>
              </w:rPr>
              <w:fldChar w:fldCharType="end"/>
            </w:r>
          </w:hyperlink>
        </w:p>
        <w:p w:rsidR="00473EE0" w:rsidRDefault="004324A5">
          <w:pPr>
            <w:pStyle w:val="TOC2"/>
            <w:rPr>
              <w:rFonts w:asciiTheme="minorHAnsi" w:eastAsiaTheme="minorEastAsia" w:hAnsiTheme="minorHAnsi"/>
              <w:b w:val="0"/>
              <w:color w:val="auto"/>
              <w:sz w:val="22"/>
              <w:lang w:eastAsia="en-AU"/>
            </w:rPr>
          </w:pPr>
          <w:hyperlink w:anchor="_Toc451356618" w:history="1">
            <w:r w:rsidR="00473EE0" w:rsidRPr="007430CE">
              <w:rPr>
                <w:rStyle w:val="Hyperlink"/>
              </w:rPr>
              <w:t>1.1</w:t>
            </w:r>
            <w:r w:rsidR="00473EE0">
              <w:rPr>
                <w:rFonts w:asciiTheme="minorHAnsi" w:eastAsiaTheme="minorEastAsia" w:hAnsiTheme="minorHAnsi"/>
                <w:b w:val="0"/>
                <w:color w:val="auto"/>
                <w:sz w:val="22"/>
                <w:lang w:eastAsia="en-AU"/>
              </w:rPr>
              <w:tab/>
            </w:r>
            <w:r w:rsidR="00473EE0" w:rsidRPr="007430CE">
              <w:rPr>
                <w:rStyle w:val="Hyperlink"/>
              </w:rPr>
              <w:t>Final decision</w:t>
            </w:r>
            <w:r w:rsidR="00473EE0">
              <w:rPr>
                <w:webHidden/>
              </w:rPr>
              <w:tab/>
            </w:r>
            <w:r w:rsidR="00473EE0">
              <w:rPr>
                <w:webHidden/>
              </w:rPr>
              <w:fldChar w:fldCharType="begin"/>
            </w:r>
            <w:r w:rsidR="00473EE0">
              <w:rPr>
                <w:webHidden/>
              </w:rPr>
              <w:instrText xml:space="preserve"> PAGEREF _Toc451356618 \h </w:instrText>
            </w:r>
            <w:r w:rsidR="00473EE0">
              <w:rPr>
                <w:webHidden/>
              </w:rPr>
            </w:r>
            <w:r w:rsidR="00473EE0">
              <w:rPr>
                <w:webHidden/>
              </w:rPr>
              <w:fldChar w:fldCharType="separate"/>
            </w:r>
            <w:r w:rsidR="00473EE0">
              <w:rPr>
                <w:webHidden/>
              </w:rPr>
              <w:t>1-6</w:t>
            </w:r>
            <w:r w:rsidR="00473EE0">
              <w:rPr>
                <w:webHidden/>
              </w:rPr>
              <w:fldChar w:fldCharType="end"/>
            </w:r>
          </w:hyperlink>
        </w:p>
        <w:p w:rsidR="00473EE0" w:rsidRDefault="004324A5">
          <w:pPr>
            <w:pStyle w:val="TOC2"/>
            <w:rPr>
              <w:rFonts w:asciiTheme="minorHAnsi" w:eastAsiaTheme="minorEastAsia" w:hAnsiTheme="minorHAnsi"/>
              <w:b w:val="0"/>
              <w:color w:val="auto"/>
              <w:sz w:val="22"/>
              <w:lang w:eastAsia="en-AU"/>
            </w:rPr>
          </w:pPr>
          <w:hyperlink w:anchor="_Toc451356619" w:history="1">
            <w:r w:rsidR="00473EE0" w:rsidRPr="007430CE">
              <w:rPr>
                <w:rStyle w:val="Hyperlink"/>
              </w:rPr>
              <w:t>1.2</w:t>
            </w:r>
            <w:r w:rsidR="00473EE0">
              <w:rPr>
                <w:rFonts w:asciiTheme="minorHAnsi" w:eastAsiaTheme="minorEastAsia" w:hAnsiTheme="minorHAnsi"/>
                <w:b w:val="0"/>
                <w:color w:val="auto"/>
                <w:sz w:val="22"/>
                <w:lang w:eastAsia="en-AU"/>
              </w:rPr>
              <w:tab/>
            </w:r>
            <w:r w:rsidR="00473EE0" w:rsidRPr="007430CE">
              <w:rPr>
                <w:rStyle w:val="Hyperlink"/>
              </w:rPr>
              <w:t>CitiPower's revised proposal</w:t>
            </w:r>
            <w:r w:rsidR="00473EE0">
              <w:rPr>
                <w:webHidden/>
              </w:rPr>
              <w:tab/>
            </w:r>
            <w:r w:rsidR="00473EE0">
              <w:rPr>
                <w:webHidden/>
              </w:rPr>
              <w:fldChar w:fldCharType="begin"/>
            </w:r>
            <w:r w:rsidR="00473EE0">
              <w:rPr>
                <w:webHidden/>
              </w:rPr>
              <w:instrText xml:space="preserve"> PAGEREF _Toc451356619 \h </w:instrText>
            </w:r>
            <w:r w:rsidR="00473EE0">
              <w:rPr>
                <w:webHidden/>
              </w:rPr>
            </w:r>
            <w:r w:rsidR="00473EE0">
              <w:rPr>
                <w:webHidden/>
              </w:rPr>
              <w:fldChar w:fldCharType="separate"/>
            </w:r>
            <w:r w:rsidR="00473EE0">
              <w:rPr>
                <w:webHidden/>
              </w:rPr>
              <w:t>1-8</w:t>
            </w:r>
            <w:r w:rsidR="00473EE0">
              <w:rPr>
                <w:webHidden/>
              </w:rPr>
              <w:fldChar w:fldCharType="end"/>
            </w:r>
          </w:hyperlink>
        </w:p>
        <w:p w:rsidR="00473EE0" w:rsidRDefault="004324A5">
          <w:pPr>
            <w:pStyle w:val="TOC2"/>
            <w:rPr>
              <w:rFonts w:asciiTheme="minorHAnsi" w:eastAsiaTheme="minorEastAsia" w:hAnsiTheme="minorHAnsi"/>
              <w:b w:val="0"/>
              <w:color w:val="auto"/>
              <w:sz w:val="22"/>
              <w:lang w:eastAsia="en-AU"/>
            </w:rPr>
          </w:pPr>
          <w:hyperlink w:anchor="_Toc451356620" w:history="1">
            <w:r w:rsidR="00473EE0" w:rsidRPr="007430CE">
              <w:rPr>
                <w:rStyle w:val="Hyperlink"/>
              </w:rPr>
              <w:t>1.3</w:t>
            </w:r>
            <w:r w:rsidR="00473EE0">
              <w:rPr>
                <w:rFonts w:asciiTheme="minorHAnsi" w:eastAsiaTheme="minorEastAsia" w:hAnsiTheme="minorHAnsi"/>
                <w:b w:val="0"/>
                <w:color w:val="auto"/>
                <w:sz w:val="22"/>
                <w:lang w:eastAsia="en-AU"/>
              </w:rPr>
              <w:tab/>
            </w:r>
            <w:r w:rsidR="00473EE0" w:rsidRPr="007430CE">
              <w:rPr>
                <w:rStyle w:val="Hyperlink"/>
              </w:rPr>
              <w:t>Assessment approach</w:t>
            </w:r>
            <w:r w:rsidR="00473EE0">
              <w:rPr>
                <w:webHidden/>
              </w:rPr>
              <w:tab/>
            </w:r>
            <w:r w:rsidR="00473EE0">
              <w:rPr>
                <w:webHidden/>
              </w:rPr>
              <w:fldChar w:fldCharType="begin"/>
            </w:r>
            <w:r w:rsidR="00473EE0">
              <w:rPr>
                <w:webHidden/>
              </w:rPr>
              <w:instrText xml:space="preserve"> PAGEREF _Toc451356620 \h </w:instrText>
            </w:r>
            <w:r w:rsidR="00473EE0">
              <w:rPr>
                <w:webHidden/>
              </w:rPr>
            </w:r>
            <w:r w:rsidR="00473EE0">
              <w:rPr>
                <w:webHidden/>
              </w:rPr>
              <w:fldChar w:fldCharType="separate"/>
            </w:r>
            <w:r w:rsidR="00473EE0">
              <w:rPr>
                <w:webHidden/>
              </w:rPr>
              <w:t>1-9</w:t>
            </w:r>
            <w:r w:rsidR="00473EE0">
              <w:rPr>
                <w:webHidden/>
              </w:rPr>
              <w:fldChar w:fldCharType="end"/>
            </w:r>
          </w:hyperlink>
        </w:p>
        <w:p w:rsidR="00473EE0" w:rsidRDefault="004324A5">
          <w:pPr>
            <w:pStyle w:val="TOC2"/>
            <w:rPr>
              <w:rFonts w:asciiTheme="minorHAnsi" w:eastAsiaTheme="minorEastAsia" w:hAnsiTheme="minorHAnsi"/>
              <w:b w:val="0"/>
              <w:color w:val="auto"/>
              <w:sz w:val="22"/>
              <w:lang w:eastAsia="en-AU"/>
            </w:rPr>
          </w:pPr>
          <w:hyperlink w:anchor="_Toc451356621" w:history="1">
            <w:r w:rsidR="00473EE0" w:rsidRPr="007430CE">
              <w:rPr>
                <w:rStyle w:val="Hyperlink"/>
              </w:rPr>
              <w:t>1.4</w:t>
            </w:r>
            <w:r w:rsidR="00473EE0">
              <w:rPr>
                <w:rFonts w:asciiTheme="minorHAnsi" w:eastAsiaTheme="minorEastAsia" w:hAnsiTheme="minorHAnsi"/>
                <w:b w:val="0"/>
                <w:color w:val="auto"/>
                <w:sz w:val="22"/>
                <w:lang w:eastAsia="en-AU"/>
              </w:rPr>
              <w:tab/>
            </w:r>
            <w:r w:rsidR="00473EE0" w:rsidRPr="007430CE">
              <w:rPr>
                <w:rStyle w:val="Hyperlink"/>
              </w:rPr>
              <w:t>Reasons for final decision</w:t>
            </w:r>
            <w:r w:rsidR="00473EE0">
              <w:rPr>
                <w:webHidden/>
              </w:rPr>
              <w:tab/>
            </w:r>
            <w:r w:rsidR="00473EE0">
              <w:rPr>
                <w:webHidden/>
              </w:rPr>
              <w:fldChar w:fldCharType="begin"/>
            </w:r>
            <w:r w:rsidR="00473EE0">
              <w:rPr>
                <w:webHidden/>
              </w:rPr>
              <w:instrText xml:space="preserve"> PAGEREF _Toc451356621 \h </w:instrText>
            </w:r>
            <w:r w:rsidR="00473EE0">
              <w:rPr>
                <w:webHidden/>
              </w:rPr>
            </w:r>
            <w:r w:rsidR="00473EE0">
              <w:rPr>
                <w:webHidden/>
              </w:rPr>
              <w:fldChar w:fldCharType="separate"/>
            </w:r>
            <w:r w:rsidR="00473EE0">
              <w:rPr>
                <w:webHidden/>
              </w:rPr>
              <w:t>1-9</w:t>
            </w:r>
            <w:r w:rsidR="00473EE0">
              <w:rPr>
                <w:webHidden/>
              </w:rPr>
              <w:fldChar w:fldCharType="end"/>
            </w:r>
          </w:hyperlink>
        </w:p>
        <w:p w:rsidR="00473EE0" w:rsidRDefault="004324A5">
          <w:pPr>
            <w:pStyle w:val="TOC3"/>
            <w:rPr>
              <w:rFonts w:asciiTheme="minorHAnsi" w:eastAsiaTheme="minorEastAsia" w:hAnsiTheme="minorHAnsi"/>
              <w:lang w:eastAsia="en-AU"/>
            </w:rPr>
          </w:pPr>
          <w:hyperlink w:anchor="_Toc451356622" w:history="1">
            <w:r w:rsidR="00473EE0" w:rsidRPr="007430CE">
              <w:rPr>
                <w:rStyle w:val="Hyperlink"/>
              </w:rPr>
              <w:t>1.4.1</w:t>
            </w:r>
            <w:r w:rsidR="00473EE0">
              <w:rPr>
                <w:rFonts w:asciiTheme="minorHAnsi" w:eastAsiaTheme="minorEastAsia" w:hAnsiTheme="minorHAnsi"/>
                <w:lang w:eastAsia="en-AU"/>
              </w:rPr>
              <w:tab/>
            </w:r>
            <w:r w:rsidR="00473EE0" w:rsidRPr="007430CE">
              <w:rPr>
                <w:rStyle w:val="Hyperlink"/>
              </w:rPr>
              <w:t>Revenue true-up for 2016</w:t>
            </w:r>
            <w:r w:rsidR="00473EE0">
              <w:rPr>
                <w:webHidden/>
              </w:rPr>
              <w:tab/>
            </w:r>
            <w:r w:rsidR="00473EE0">
              <w:rPr>
                <w:webHidden/>
              </w:rPr>
              <w:fldChar w:fldCharType="begin"/>
            </w:r>
            <w:r w:rsidR="00473EE0">
              <w:rPr>
                <w:webHidden/>
              </w:rPr>
              <w:instrText xml:space="preserve"> PAGEREF _Toc451356622 \h </w:instrText>
            </w:r>
            <w:r w:rsidR="00473EE0">
              <w:rPr>
                <w:webHidden/>
              </w:rPr>
            </w:r>
            <w:r w:rsidR="00473EE0">
              <w:rPr>
                <w:webHidden/>
              </w:rPr>
              <w:fldChar w:fldCharType="separate"/>
            </w:r>
            <w:r w:rsidR="00473EE0">
              <w:rPr>
                <w:webHidden/>
              </w:rPr>
              <w:t>1-10</w:t>
            </w:r>
            <w:r w:rsidR="00473EE0">
              <w:rPr>
                <w:webHidden/>
              </w:rPr>
              <w:fldChar w:fldCharType="end"/>
            </w:r>
          </w:hyperlink>
        </w:p>
        <w:p w:rsidR="00473EE0" w:rsidRDefault="004324A5">
          <w:pPr>
            <w:pStyle w:val="TOC3"/>
            <w:rPr>
              <w:rFonts w:asciiTheme="minorHAnsi" w:eastAsiaTheme="minorEastAsia" w:hAnsiTheme="minorHAnsi"/>
              <w:lang w:eastAsia="en-AU"/>
            </w:rPr>
          </w:pPr>
          <w:hyperlink w:anchor="_Toc451356623" w:history="1">
            <w:r w:rsidR="00473EE0" w:rsidRPr="007430CE">
              <w:rPr>
                <w:rStyle w:val="Hyperlink"/>
              </w:rPr>
              <w:t>1.4.2</w:t>
            </w:r>
            <w:r w:rsidR="00473EE0">
              <w:rPr>
                <w:rFonts w:asciiTheme="minorHAnsi" w:eastAsiaTheme="minorEastAsia" w:hAnsiTheme="minorHAnsi"/>
                <w:lang w:eastAsia="en-AU"/>
              </w:rPr>
              <w:tab/>
            </w:r>
            <w:r w:rsidR="00473EE0" w:rsidRPr="007430CE">
              <w:rPr>
                <w:rStyle w:val="Hyperlink"/>
              </w:rPr>
              <w:t>Revenue smoothing</w:t>
            </w:r>
            <w:r w:rsidR="00473EE0">
              <w:rPr>
                <w:webHidden/>
              </w:rPr>
              <w:tab/>
            </w:r>
            <w:r w:rsidR="00473EE0">
              <w:rPr>
                <w:webHidden/>
              </w:rPr>
              <w:fldChar w:fldCharType="begin"/>
            </w:r>
            <w:r w:rsidR="00473EE0">
              <w:rPr>
                <w:webHidden/>
              </w:rPr>
              <w:instrText xml:space="preserve"> PAGEREF _Toc451356623 \h </w:instrText>
            </w:r>
            <w:r w:rsidR="00473EE0">
              <w:rPr>
                <w:webHidden/>
              </w:rPr>
            </w:r>
            <w:r w:rsidR="00473EE0">
              <w:rPr>
                <w:webHidden/>
              </w:rPr>
              <w:fldChar w:fldCharType="separate"/>
            </w:r>
            <w:r w:rsidR="00473EE0">
              <w:rPr>
                <w:webHidden/>
              </w:rPr>
              <w:t>1-11</w:t>
            </w:r>
            <w:r w:rsidR="00473EE0">
              <w:rPr>
                <w:webHidden/>
              </w:rPr>
              <w:fldChar w:fldCharType="end"/>
            </w:r>
          </w:hyperlink>
        </w:p>
        <w:p w:rsidR="00473EE0" w:rsidRDefault="004324A5">
          <w:pPr>
            <w:pStyle w:val="TOC3"/>
            <w:rPr>
              <w:rFonts w:asciiTheme="minorHAnsi" w:eastAsiaTheme="minorEastAsia" w:hAnsiTheme="minorHAnsi"/>
              <w:lang w:eastAsia="en-AU"/>
            </w:rPr>
          </w:pPr>
          <w:hyperlink w:anchor="_Toc451356624" w:history="1">
            <w:r w:rsidR="00473EE0" w:rsidRPr="007430CE">
              <w:rPr>
                <w:rStyle w:val="Hyperlink"/>
              </w:rPr>
              <w:t>1.4.3</w:t>
            </w:r>
            <w:r w:rsidR="00473EE0">
              <w:rPr>
                <w:rFonts w:asciiTheme="minorHAnsi" w:eastAsiaTheme="minorEastAsia" w:hAnsiTheme="minorHAnsi"/>
                <w:lang w:eastAsia="en-AU"/>
              </w:rPr>
              <w:tab/>
            </w:r>
            <w:r w:rsidR="00473EE0" w:rsidRPr="007430CE">
              <w:rPr>
                <w:rStyle w:val="Hyperlink"/>
              </w:rPr>
              <w:t>Shared assets</w:t>
            </w:r>
            <w:r w:rsidR="00473EE0">
              <w:rPr>
                <w:webHidden/>
              </w:rPr>
              <w:tab/>
            </w:r>
            <w:r w:rsidR="00473EE0">
              <w:rPr>
                <w:webHidden/>
              </w:rPr>
              <w:fldChar w:fldCharType="begin"/>
            </w:r>
            <w:r w:rsidR="00473EE0">
              <w:rPr>
                <w:webHidden/>
              </w:rPr>
              <w:instrText xml:space="preserve"> PAGEREF _Toc451356624 \h </w:instrText>
            </w:r>
            <w:r w:rsidR="00473EE0">
              <w:rPr>
                <w:webHidden/>
              </w:rPr>
            </w:r>
            <w:r w:rsidR="00473EE0">
              <w:rPr>
                <w:webHidden/>
              </w:rPr>
              <w:fldChar w:fldCharType="separate"/>
            </w:r>
            <w:r w:rsidR="00473EE0">
              <w:rPr>
                <w:webHidden/>
              </w:rPr>
              <w:t>1-12</w:t>
            </w:r>
            <w:r w:rsidR="00473EE0">
              <w:rPr>
                <w:webHidden/>
              </w:rPr>
              <w:fldChar w:fldCharType="end"/>
            </w:r>
          </w:hyperlink>
        </w:p>
        <w:p w:rsidR="00473EE0" w:rsidRDefault="004324A5">
          <w:pPr>
            <w:pStyle w:val="TOC3"/>
            <w:rPr>
              <w:rFonts w:asciiTheme="minorHAnsi" w:eastAsiaTheme="minorEastAsia" w:hAnsiTheme="minorHAnsi"/>
              <w:lang w:eastAsia="en-AU"/>
            </w:rPr>
          </w:pPr>
          <w:hyperlink w:anchor="_Toc451356625" w:history="1">
            <w:r w:rsidR="00473EE0" w:rsidRPr="007430CE">
              <w:rPr>
                <w:rStyle w:val="Hyperlink"/>
              </w:rPr>
              <w:t>1.4.4</w:t>
            </w:r>
            <w:r w:rsidR="00473EE0">
              <w:rPr>
                <w:rFonts w:asciiTheme="minorHAnsi" w:eastAsiaTheme="minorEastAsia" w:hAnsiTheme="minorHAnsi"/>
                <w:lang w:eastAsia="en-AU"/>
              </w:rPr>
              <w:tab/>
            </w:r>
            <w:r w:rsidR="00473EE0" w:rsidRPr="007430CE">
              <w:rPr>
                <w:rStyle w:val="Hyperlink"/>
              </w:rPr>
              <w:t>Indicative average distribution price impact</w:t>
            </w:r>
            <w:r w:rsidR="00473EE0">
              <w:rPr>
                <w:webHidden/>
              </w:rPr>
              <w:tab/>
            </w:r>
            <w:r w:rsidR="00473EE0">
              <w:rPr>
                <w:webHidden/>
              </w:rPr>
              <w:fldChar w:fldCharType="begin"/>
            </w:r>
            <w:r w:rsidR="00473EE0">
              <w:rPr>
                <w:webHidden/>
              </w:rPr>
              <w:instrText xml:space="preserve"> PAGEREF _Toc451356625 \h </w:instrText>
            </w:r>
            <w:r w:rsidR="00473EE0">
              <w:rPr>
                <w:webHidden/>
              </w:rPr>
            </w:r>
            <w:r w:rsidR="00473EE0">
              <w:rPr>
                <w:webHidden/>
              </w:rPr>
              <w:fldChar w:fldCharType="separate"/>
            </w:r>
            <w:r w:rsidR="00473EE0">
              <w:rPr>
                <w:webHidden/>
              </w:rPr>
              <w:t>1-13</w:t>
            </w:r>
            <w:r w:rsidR="00473EE0">
              <w:rPr>
                <w:webHidden/>
              </w:rPr>
              <w:fldChar w:fldCharType="end"/>
            </w:r>
          </w:hyperlink>
        </w:p>
        <w:p w:rsidR="00473EE0" w:rsidRDefault="004324A5">
          <w:pPr>
            <w:pStyle w:val="TOC3"/>
            <w:rPr>
              <w:rFonts w:asciiTheme="minorHAnsi" w:eastAsiaTheme="minorEastAsia" w:hAnsiTheme="minorHAnsi"/>
              <w:lang w:eastAsia="en-AU"/>
            </w:rPr>
          </w:pPr>
          <w:hyperlink w:anchor="_Toc451356626" w:history="1">
            <w:r w:rsidR="00473EE0" w:rsidRPr="007430CE">
              <w:rPr>
                <w:rStyle w:val="Hyperlink"/>
              </w:rPr>
              <w:t>1.4.5</w:t>
            </w:r>
            <w:r w:rsidR="00473EE0">
              <w:rPr>
                <w:rFonts w:asciiTheme="minorHAnsi" w:eastAsiaTheme="minorEastAsia" w:hAnsiTheme="minorHAnsi"/>
                <w:lang w:eastAsia="en-AU"/>
              </w:rPr>
              <w:tab/>
            </w:r>
            <w:r w:rsidR="00473EE0" w:rsidRPr="007430CE">
              <w:rPr>
                <w:rStyle w:val="Hyperlink"/>
              </w:rPr>
              <w:t>Expected impact of decision on electricity bills</w:t>
            </w:r>
            <w:r w:rsidR="00473EE0">
              <w:rPr>
                <w:webHidden/>
              </w:rPr>
              <w:tab/>
            </w:r>
            <w:r w:rsidR="00473EE0">
              <w:rPr>
                <w:webHidden/>
              </w:rPr>
              <w:fldChar w:fldCharType="begin"/>
            </w:r>
            <w:r w:rsidR="00473EE0">
              <w:rPr>
                <w:webHidden/>
              </w:rPr>
              <w:instrText xml:space="preserve"> PAGEREF _Toc451356626 \h </w:instrText>
            </w:r>
            <w:r w:rsidR="00473EE0">
              <w:rPr>
                <w:webHidden/>
              </w:rPr>
            </w:r>
            <w:r w:rsidR="00473EE0">
              <w:rPr>
                <w:webHidden/>
              </w:rPr>
              <w:fldChar w:fldCharType="separate"/>
            </w:r>
            <w:r w:rsidR="00473EE0">
              <w:rPr>
                <w:webHidden/>
              </w:rPr>
              <w:t>1-15</w:t>
            </w:r>
            <w:r w:rsidR="00473EE0">
              <w:rPr>
                <w:webHidden/>
              </w:rPr>
              <w:fldChar w:fldCharType="end"/>
            </w:r>
          </w:hyperlink>
        </w:p>
        <w:p w:rsidR="00CE2A23" w:rsidRDefault="00CD283C" w:rsidP="00CD283C">
          <w:pPr>
            <w:pStyle w:val="TOC1"/>
          </w:pPr>
          <w:r>
            <w:fldChar w:fldCharType="end"/>
          </w:r>
        </w:p>
      </w:sdtContent>
    </w:sdt>
    <w:p w:rsidR="00CE2A23" w:rsidRPr="00CE2A23" w:rsidRDefault="00CE2A23" w:rsidP="00CE2A23">
      <w:r>
        <w:t xml:space="preserve"> </w:t>
      </w:r>
    </w:p>
    <w:p w:rsidR="00CE2A23" w:rsidRPr="00271F7C" w:rsidRDefault="00CE2A23" w:rsidP="00CE2A23">
      <w:pPr>
        <w:pStyle w:val="UnnumberedHeading"/>
        <w:numPr>
          <w:ilvl w:val="0"/>
          <w:numId w:val="23"/>
        </w:numPr>
      </w:pPr>
      <w:bookmarkStart w:id="11" w:name="_Toc404700925"/>
      <w:bookmarkStart w:id="12" w:name="_Toc451356616"/>
      <w:r>
        <w:lastRenderedPageBreak/>
        <w:t>Shortened forms</w:t>
      </w:r>
      <w:bookmarkEnd w:id="11"/>
      <w:bookmarkEnd w:id="12"/>
    </w:p>
    <w:tbl>
      <w:tblPr>
        <w:tblStyle w:val="AERtable-text0"/>
        <w:tblW w:w="0" w:type="auto"/>
        <w:tblLook w:val="04A0" w:firstRow="1" w:lastRow="0" w:firstColumn="1" w:lastColumn="0" w:noHBand="0" w:noVBand="1"/>
      </w:tblPr>
      <w:tblGrid>
        <w:gridCol w:w="4340"/>
        <w:gridCol w:w="4353"/>
      </w:tblGrid>
      <w:tr w:rsidR="0053603C" w:rsidRPr="0087648F" w:rsidTr="000474DF">
        <w:trPr>
          <w:cnfStyle w:val="100000000000" w:firstRow="1" w:lastRow="0" w:firstColumn="0" w:lastColumn="0" w:oddVBand="0" w:evenVBand="0" w:oddHBand="0" w:evenHBand="0" w:firstRowFirstColumn="0" w:firstRowLastColumn="0" w:lastRowFirstColumn="0" w:lastRowLastColumn="0"/>
          <w:tblHeader/>
        </w:trPr>
        <w:tc>
          <w:tcPr>
            <w:tcW w:w="4340" w:type="dxa"/>
          </w:tcPr>
          <w:p w:rsidR="0053603C" w:rsidRPr="0087648F" w:rsidRDefault="0087648F" w:rsidP="0087648F">
            <w:r>
              <w:t>Shortened form</w:t>
            </w:r>
          </w:p>
        </w:tc>
        <w:tc>
          <w:tcPr>
            <w:tcW w:w="4353" w:type="dxa"/>
          </w:tcPr>
          <w:p w:rsidR="0053603C" w:rsidRPr="0087648F" w:rsidRDefault="0087648F" w:rsidP="0087648F">
            <w:r>
              <w:t>Extended form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AEMC</w:t>
            </w:r>
          </w:p>
        </w:tc>
        <w:tc>
          <w:tcPr>
            <w:tcW w:w="4353" w:type="dxa"/>
          </w:tcPr>
          <w:p w:rsidR="004523B2" w:rsidRPr="004523B2" w:rsidRDefault="004523B2" w:rsidP="004523B2">
            <w:pPr>
              <w:pStyle w:val="AERtabletextleft"/>
              <w:rPr>
                <w:rStyle w:val="AERtextsize8"/>
              </w:rPr>
            </w:pPr>
            <w:r w:rsidRPr="00712239">
              <w:rPr>
                <w:rStyle w:val="AERtextsize8"/>
              </w:rPr>
              <w:t>Australian Energy Market Commission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AEMO</w:t>
            </w:r>
          </w:p>
        </w:tc>
        <w:tc>
          <w:tcPr>
            <w:tcW w:w="4353" w:type="dxa"/>
          </w:tcPr>
          <w:p w:rsidR="004523B2" w:rsidRPr="004523B2" w:rsidRDefault="004523B2" w:rsidP="004523B2">
            <w:pPr>
              <w:pStyle w:val="AERtabletextleft"/>
              <w:rPr>
                <w:rStyle w:val="AERtextsize8"/>
              </w:rPr>
            </w:pPr>
            <w:r w:rsidRPr="00712239">
              <w:rPr>
                <w:rStyle w:val="AERtextsize8"/>
              </w:rPr>
              <w:t>Australian Energy Market Operator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AER</w:t>
            </w:r>
          </w:p>
        </w:tc>
        <w:tc>
          <w:tcPr>
            <w:tcW w:w="4353" w:type="dxa"/>
          </w:tcPr>
          <w:p w:rsidR="004523B2" w:rsidRPr="004523B2" w:rsidRDefault="004523B2" w:rsidP="004523B2">
            <w:pPr>
              <w:pStyle w:val="AERtabletextleft"/>
              <w:rPr>
                <w:rStyle w:val="AERtextsize8"/>
              </w:rPr>
            </w:pPr>
            <w:r w:rsidRPr="00712239">
              <w:rPr>
                <w:rStyle w:val="AERtextsize8"/>
              </w:rPr>
              <w:t xml:space="preserve">Australian Energy </w:t>
            </w:r>
            <w:r w:rsidRPr="004523B2">
              <w:rPr>
                <w:rStyle w:val="AERtextsize8"/>
              </w:rPr>
              <w:t>Regulator</w:t>
            </w:r>
          </w:p>
        </w:tc>
      </w:tr>
      <w:tr w:rsidR="000F0F0A"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0F0F0A" w:rsidRPr="00712239" w:rsidRDefault="000F0F0A" w:rsidP="004523B2">
            <w:pPr>
              <w:pStyle w:val="AERtabletextleft"/>
              <w:rPr>
                <w:rStyle w:val="AERtextsize8"/>
              </w:rPr>
            </w:pPr>
            <w:r>
              <w:rPr>
                <w:rStyle w:val="AERtextsize8"/>
              </w:rPr>
              <w:t>AMI</w:t>
            </w:r>
          </w:p>
        </w:tc>
        <w:tc>
          <w:tcPr>
            <w:tcW w:w="4353" w:type="dxa"/>
          </w:tcPr>
          <w:p w:rsidR="000F0F0A" w:rsidRPr="00712239" w:rsidRDefault="000F0F0A" w:rsidP="004523B2">
            <w:pPr>
              <w:pStyle w:val="AERtabletextleft"/>
              <w:rPr>
                <w:rStyle w:val="AERtextsize8"/>
              </w:rPr>
            </w:pPr>
            <w:r>
              <w:rPr>
                <w:rStyle w:val="AERtextsize8"/>
              </w:rPr>
              <w:t>Advanced metering infrastructure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augex</w:t>
            </w:r>
          </w:p>
        </w:tc>
        <w:tc>
          <w:tcPr>
            <w:tcW w:w="4353" w:type="dxa"/>
          </w:tcPr>
          <w:p w:rsidR="004523B2" w:rsidRPr="004523B2" w:rsidRDefault="004523B2" w:rsidP="004523B2">
            <w:pPr>
              <w:pStyle w:val="AERtabletextleft"/>
              <w:rPr>
                <w:rStyle w:val="AERtextsize8"/>
              </w:rPr>
            </w:pPr>
            <w:r w:rsidRPr="00712239">
              <w:rPr>
                <w:rStyle w:val="AERtextsize8"/>
              </w:rPr>
              <w:t>augmentation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capex</w:t>
            </w:r>
          </w:p>
        </w:tc>
        <w:tc>
          <w:tcPr>
            <w:tcW w:w="4353" w:type="dxa"/>
          </w:tcPr>
          <w:p w:rsidR="004523B2" w:rsidRPr="004523B2" w:rsidRDefault="004523B2" w:rsidP="004523B2">
            <w:pPr>
              <w:pStyle w:val="AERtabletextleft"/>
              <w:rPr>
                <w:rStyle w:val="AERtextsize8"/>
              </w:rPr>
            </w:pPr>
            <w:r w:rsidRPr="00712239">
              <w:rPr>
                <w:rStyle w:val="AERtextsize8"/>
              </w:rPr>
              <w:t>capital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CCP</w:t>
            </w:r>
          </w:p>
        </w:tc>
        <w:tc>
          <w:tcPr>
            <w:tcW w:w="4353" w:type="dxa"/>
          </w:tcPr>
          <w:p w:rsidR="004523B2" w:rsidRPr="004523B2" w:rsidRDefault="004523B2" w:rsidP="004523B2">
            <w:pPr>
              <w:pStyle w:val="AERtabletextleft"/>
              <w:rPr>
                <w:rStyle w:val="AERtextsize8"/>
              </w:rPr>
            </w:pPr>
            <w:r w:rsidRPr="00712239">
              <w:rPr>
                <w:rStyle w:val="AERtextsize8"/>
              </w:rPr>
              <w:t>Consumer Challenge Panel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CESS</w:t>
            </w:r>
          </w:p>
        </w:tc>
        <w:tc>
          <w:tcPr>
            <w:tcW w:w="4353" w:type="dxa"/>
          </w:tcPr>
          <w:p w:rsidR="004523B2" w:rsidRPr="004523B2" w:rsidRDefault="004523B2" w:rsidP="004523B2">
            <w:pPr>
              <w:pStyle w:val="AERtabletextleft"/>
              <w:rPr>
                <w:rStyle w:val="AERtextsize8"/>
              </w:rPr>
            </w:pPr>
            <w:r w:rsidRPr="00712239">
              <w:rPr>
                <w:rStyle w:val="AERtextsize8"/>
              </w:rPr>
              <w:t>capital expenditure sharing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CPI</w:t>
            </w:r>
          </w:p>
        </w:tc>
        <w:tc>
          <w:tcPr>
            <w:tcW w:w="4353" w:type="dxa"/>
          </w:tcPr>
          <w:p w:rsidR="004523B2" w:rsidRPr="004523B2" w:rsidRDefault="004523B2" w:rsidP="004523B2">
            <w:pPr>
              <w:pStyle w:val="AERtabletextleft"/>
              <w:rPr>
                <w:rStyle w:val="AERtextsize8"/>
              </w:rPr>
            </w:pPr>
            <w:r w:rsidRPr="00712239">
              <w:rPr>
                <w:rStyle w:val="AERtextsize8"/>
              </w:rPr>
              <w:t>consumer price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DRP</w:t>
            </w:r>
          </w:p>
        </w:tc>
        <w:tc>
          <w:tcPr>
            <w:tcW w:w="4353" w:type="dxa"/>
          </w:tcPr>
          <w:p w:rsidR="004523B2" w:rsidRPr="004523B2" w:rsidRDefault="004523B2" w:rsidP="004523B2">
            <w:pPr>
              <w:pStyle w:val="AERtabletextleft"/>
              <w:rPr>
                <w:rStyle w:val="AERtextsize8"/>
              </w:rPr>
            </w:pPr>
            <w:r w:rsidRPr="00712239">
              <w:rPr>
                <w:rStyle w:val="AERtextsize8"/>
              </w:rPr>
              <w:t>debt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DMIA</w:t>
            </w:r>
          </w:p>
        </w:tc>
        <w:tc>
          <w:tcPr>
            <w:tcW w:w="4353" w:type="dxa"/>
          </w:tcPr>
          <w:p w:rsidR="004523B2" w:rsidRPr="004523B2" w:rsidRDefault="004523B2" w:rsidP="004523B2">
            <w:pPr>
              <w:pStyle w:val="AERtabletextleft"/>
              <w:rPr>
                <w:rStyle w:val="AERtextsize8"/>
              </w:rPr>
            </w:pPr>
            <w:r w:rsidRPr="00712239">
              <w:rPr>
                <w:rStyle w:val="AERtextsize8"/>
              </w:rPr>
              <w:t>demand management innovation allowance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DMIS</w:t>
            </w:r>
          </w:p>
        </w:tc>
        <w:tc>
          <w:tcPr>
            <w:tcW w:w="4353" w:type="dxa"/>
          </w:tcPr>
          <w:p w:rsidR="004523B2" w:rsidRPr="004523B2" w:rsidRDefault="004523B2" w:rsidP="004523B2">
            <w:pPr>
              <w:pStyle w:val="AERtabletextleft"/>
              <w:rPr>
                <w:rStyle w:val="AERtextsize8"/>
              </w:rPr>
            </w:pPr>
            <w:r w:rsidRPr="00712239">
              <w:rPr>
                <w:rStyle w:val="AERtextsize8"/>
              </w:rPr>
              <w:t xml:space="preserve">demand </w:t>
            </w:r>
            <w:r w:rsidRPr="004523B2">
              <w:rPr>
                <w:rStyle w:val="AERtextsize8"/>
              </w:rPr>
              <w:t>management incentive scheme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distributor</w:t>
            </w:r>
          </w:p>
        </w:tc>
        <w:tc>
          <w:tcPr>
            <w:tcW w:w="4353" w:type="dxa"/>
          </w:tcPr>
          <w:p w:rsidR="004523B2" w:rsidRPr="004523B2" w:rsidRDefault="004523B2" w:rsidP="004523B2">
            <w:pPr>
              <w:pStyle w:val="AERtabletextleft"/>
              <w:rPr>
                <w:rStyle w:val="AERtextsize8"/>
              </w:rPr>
            </w:pPr>
            <w:r w:rsidRPr="00712239">
              <w:rPr>
                <w:rStyle w:val="AERtextsize8"/>
              </w:rPr>
              <w:t>distribution network service provider</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DUoS</w:t>
            </w:r>
          </w:p>
        </w:tc>
        <w:tc>
          <w:tcPr>
            <w:tcW w:w="4353" w:type="dxa"/>
          </w:tcPr>
          <w:p w:rsidR="004523B2" w:rsidRPr="004523B2" w:rsidRDefault="004523B2" w:rsidP="004523B2">
            <w:pPr>
              <w:pStyle w:val="AERtabletextleft"/>
              <w:rPr>
                <w:rStyle w:val="AERtextsize8"/>
              </w:rPr>
            </w:pPr>
            <w:r w:rsidRPr="00712239">
              <w:rPr>
                <w:rStyle w:val="AERtextsize8"/>
              </w:rPr>
              <w:t>distribution use of system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EBSS</w:t>
            </w:r>
          </w:p>
        </w:tc>
        <w:tc>
          <w:tcPr>
            <w:tcW w:w="4353" w:type="dxa"/>
          </w:tcPr>
          <w:p w:rsidR="004523B2" w:rsidRPr="004523B2" w:rsidRDefault="004523B2" w:rsidP="004523B2">
            <w:pPr>
              <w:pStyle w:val="AERtabletextleft"/>
              <w:rPr>
                <w:rStyle w:val="AERtextsize8"/>
              </w:rPr>
            </w:pPr>
            <w:r w:rsidRPr="00712239">
              <w:rPr>
                <w:rStyle w:val="AERtextsize8"/>
              </w:rPr>
              <w:t>efficiency benefit sharing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ERP</w:t>
            </w:r>
          </w:p>
        </w:tc>
        <w:tc>
          <w:tcPr>
            <w:tcW w:w="4353" w:type="dxa"/>
          </w:tcPr>
          <w:p w:rsidR="004523B2" w:rsidRPr="004523B2" w:rsidRDefault="004523B2" w:rsidP="004523B2">
            <w:pPr>
              <w:pStyle w:val="AERtabletextleft"/>
              <w:rPr>
                <w:rStyle w:val="AERtextsize8"/>
              </w:rPr>
            </w:pPr>
            <w:r w:rsidRPr="00712239">
              <w:rPr>
                <w:rStyle w:val="AERtextsize8"/>
              </w:rPr>
              <w:t>equity risk premium</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Expenditure A</w:t>
            </w:r>
            <w:r w:rsidRPr="004523B2">
              <w:rPr>
                <w:rStyle w:val="AERtextsize8"/>
              </w:rPr>
              <w:t>ssessment Guideline</w:t>
            </w:r>
          </w:p>
        </w:tc>
        <w:tc>
          <w:tcPr>
            <w:tcW w:w="4353" w:type="dxa"/>
          </w:tcPr>
          <w:p w:rsidR="004523B2" w:rsidRPr="004523B2" w:rsidRDefault="004523B2" w:rsidP="004523B2">
            <w:pPr>
              <w:pStyle w:val="AERtabletextleft"/>
              <w:rPr>
                <w:rStyle w:val="AERtextsize8"/>
              </w:rPr>
            </w:pPr>
            <w:r w:rsidRPr="00712239">
              <w:rPr>
                <w:rStyle w:val="AERtextsize8"/>
              </w:rPr>
              <w:t>E</w:t>
            </w:r>
            <w:r w:rsidRPr="004523B2">
              <w:rPr>
                <w:rStyle w:val="AERtextsize8"/>
              </w:rPr>
              <w:t>xpenditure Forecast Assessment Guideline for Electricity Distribution</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F&amp;A</w:t>
            </w:r>
          </w:p>
        </w:tc>
        <w:tc>
          <w:tcPr>
            <w:tcW w:w="4353" w:type="dxa"/>
          </w:tcPr>
          <w:p w:rsidR="004523B2" w:rsidRPr="004523B2" w:rsidRDefault="004523B2" w:rsidP="004523B2">
            <w:pPr>
              <w:pStyle w:val="AERtabletextleft"/>
              <w:rPr>
                <w:rStyle w:val="AERtextsize8"/>
              </w:rPr>
            </w:pPr>
            <w:r w:rsidRPr="00712239">
              <w:rPr>
                <w:rStyle w:val="AERtextsize8"/>
              </w:rPr>
              <w:t>framework and approach</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MRP</w:t>
            </w:r>
          </w:p>
        </w:tc>
        <w:tc>
          <w:tcPr>
            <w:tcW w:w="4353" w:type="dxa"/>
          </w:tcPr>
          <w:p w:rsidR="004523B2" w:rsidRPr="004523B2" w:rsidRDefault="004523B2" w:rsidP="004523B2">
            <w:pPr>
              <w:pStyle w:val="AERtabletextleft"/>
              <w:rPr>
                <w:rStyle w:val="AERtextsize8"/>
              </w:rPr>
            </w:pPr>
            <w:r w:rsidRPr="00712239">
              <w:rPr>
                <w:rStyle w:val="AERtextsize8"/>
              </w:rPr>
              <w:t>market risk premium</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NEL</w:t>
            </w:r>
          </w:p>
        </w:tc>
        <w:tc>
          <w:tcPr>
            <w:tcW w:w="4353" w:type="dxa"/>
          </w:tcPr>
          <w:p w:rsidR="004523B2" w:rsidRPr="004523B2" w:rsidRDefault="004523B2" w:rsidP="004523B2">
            <w:pPr>
              <w:pStyle w:val="AERtabletextleft"/>
              <w:rPr>
                <w:rStyle w:val="AERtextsize8"/>
              </w:rPr>
            </w:pPr>
            <w:r w:rsidRPr="00712239">
              <w:rPr>
                <w:rStyle w:val="AERtextsize8"/>
              </w:rPr>
              <w:t>national electricity law</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NEM</w:t>
            </w:r>
          </w:p>
        </w:tc>
        <w:tc>
          <w:tcPr>
            <w:tcW w:w="4353" w:type="dxa"/>
          </w:tcPr>
          <w:p w:rsidR="004523B2" w:rsidRPr="004523B2" w:rsidRDefault="004523B2" w:rsidP="004523B2">
            <w:pPr>
              <w:pStyle w:val="AERtabletextleft"/>
              <w:rPr>
                <w:rStyle w:val="AERtextsize8"/>
              </w:rPr>
            </w:pPr>
            <w:r w:rsidRPr="00712239">
              <w:rPr>
                <w:rStyle w:val="AERtextsize8"/>
              </w:rPr>
              <w:t>national electricity market</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NEO</w:t>
            </w:r>
          </w:p>
        </w:tc>
        <w:tc>
          <w:tcPr>
            <w:tcW w:w="4353" w:type="dxa"/>
          </w:tcPr>
          <w:p w:rsidR="004523B2" w:rsidRPr="004523B2" w:rsidRDefault="004523B2" w:rsidP="004523B2">
            <w:pPr>
              <w:pStyle w:val="AERtabletextleft"/>
              <w:rPr>
                <w:rStyle w:val="AERtextsize8"/>
              </w:rPr>
            </w:pPr>
            <w:r w:rsidRPr="00712239">
              <w:rPr>
                <w:rStyle w:val="AERtextsize8"/>
              </w:rPr>
              <w:t>national electricity objective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NER</w:t>
            </w:r>
          </w:p>
        </w:tc>
        <w:tc>
          <w:tcPr>
            <w:tcW w:w="4353" w:type="dxa"/>
          </w:tcPr>
          <w:p w:rsidR="004523B2" w:rsidRPr="004523B2" w:rsidRDefault="004523B2" w:rsidP="004523B2">
            <w:pPr>
              <w:pStyle w:val="AERtabletextleft"/>
              <w:rPr>
                <w:rStyle w:val="AERtextsize8"/>
              </w:rPr>
            </w:pPr>
            <w:r w:rsidRPr="00712239">
              <w:rPr>
                <w:rStyle w:val="AERtextsize8"/>
              </w:rPr>
              <w:t>national electricity rules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NSP</w:t>
            </w:r>
          </w:p>
        </w:tc>
        <w:tc>
          <w:tcPr>
            <w:tcW w:w="4353" w:type="dxa"/>
          </w:tcPr>
          <w:p w:rsidR="004523B2" w:rsidRPr="004523B2" w:rsidRDefault="004523B2" w:rsidP="004523B2">
            <w:pPr>
              <w:pStyle w:val="AERtabletextleft"/>
              <w:rPr>
                <w:rStyle w:val="AERtextsize8"/>
              </w:rPr>
            </w:pPr>
            <w:r w:rsidRPr="00712239">
              <w:rPr>
                <w:rStyle w:val="AERtextsize8"/>
              </w:rPr>
              <w:t xml:space="preserve">network service </w:t>
            </w:r>
            <w:r w:rsidRPr="004523B2">
              <w:rPr>
                <w:rStyle w:val="AERtextsize8"/>
              </w:rPr>
              <w:t>provider</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opex</w:t>
            </w:r>
          </w:p>
        </w:tc>
        <w:tc>
          <w:tcPr>
            <w:tcW w:w="4353" w:type="dxa"/>
          </w:tcPr>
          <w:p w:rsidR="004523B2" w:rsidRPr="004523B2" w:rsidRDefault="004523B2" w:rsidP="004523B2">
            <w:pPr>
              <w:pStyle w:val="AERtabletextleft"/>
              <w:rPr>
                <w:rStyle w:val="AERtextsize8"/>
              </w:rPr>
            </w:pPr>
            <w:r w:rsidRPr="00712239">
              <w:rPr>
                <w:rStyle w:val="AERtextsize8"/>
              </w:rPr>
              <w:t>operating expenditure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PPI</w:t>
            </w:r>
          </w:p>
        </w:tc>
        <w:tc>
          <w:tcPr>
            <w:tcW w:w="4353" w:type="dxa"/>
          </w:tcPr>
          <w:p w:rsidR="004523B2" w:rsidRPr="004523B2" w:rsidRDefault="004523B2" w:rsidP="004523B2">
            <w:pPr>
              <w:pStyle w:val="AERtabletextleft"/>
              <w:rPr>
                <w:rStyle w:val="AERtextsize8"/>
              </w:rPr>
            </w:pPr>
            <w:r w:rsidRPr="00712239">
              <w:rPr>
                <w:rStyle w:val="AERtextsize8"/>
              </w:rPr>
              <w:t>partial performance indicators</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PTRM</w:t>
            </w:r>
          </w:p>
        </w:tc>
        <w:tc>
          <w:tcPr>
            <w:tcW w:w="4353" w:type="dxa"/>
          </w:tcPr>
          <w:p w:rsidR="004523B2" w:rsidRPr="004523B2" w:rsidRDefault="004523B2" w:rsidP="004523B2">
            <w:pPr>
              <w:pStyle w:val="AERtabletextleft"/>
              <w:rPr>
                <w:rStyle w:val="AERtextsize8"/>
              </w:rPr>
            </w:pPr>
            <w:r w:rsidRPr="00712239">
              <w:rPr>
                <w:rStyle w:val="AERtextsize8"/>
              </w:rPr>
              <w:t>post-tax revenue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RAB</w:t>
            </w:r>
          </w:p>
        </w:tc>
        <w:tc>
          <w:tcPr>
            <w:tcW w:w="4353" w:type="dxa"/>
          </w:tcPr>
          <w:p w:rsidR="004523B2" w:rsidRPr="004523B2" w:rsidRDefault="004523B2" w:rsidP="004523B2">
            <w:pPr>
              <w:pStyle w:val="AERtabletextleft"/>
              <w:rPr>
                <w:rStyle w:val="AERtextsize8"/>
              </w:rPr>
            </w:pPr>
            <w:r w:rsidRPr="00712239">
              <w:rPr>
                <w:rStyle w:val="AERtextsize8"/>
              </w:rPr>
              <w:t>regulatory asset base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RBA</w:t>
            </w:r>
          </w:p>
        </w:tc>
        <w:tc>
          <w:tcPr>
            <w:tcW w:w="4353" w:type="dxa"/>
          </w:tcPr>
          <w:p w:rsidR="004523B2" w:rsidRPr="004523B2" w:rsidRDefault="004523B2" w:rsidP="004523B2">
            <w:pPr>
              <w:pStyle w:val="AERtabletextleft"/>
              <w:rPr>
                <w:rStyle w:val="AERtextsize8"/>
              </w:rPr>
            </w:pPr>
            <w:r w:rsidRPr="00712239">
              <w:rPr>
                <w:rStyle w:val="AERtextsize8"/>
              </w:rPr>
              <w:t>Reserve Bank of Australia</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lastRenderedPageBreak/>
              <w:t>repex</w:t>
            </w:r>
          </w:p>
        </w:tc>
        <w:tc>
          <w:tcPr>
            <w:tcW w:w="4353" w:type="dxa"/>
          </w:tcPr>
          <w:p w:rsidR="004523B2" w:rsidRPr="004523B2" w:rsidRDefault="004523B2" w:rsidP="004523B2">
            <w:pPr>
              <w:pStyle w:val="AERtabletextleft"/>
              <w:rPr>
                <w:rStyle w:val="AERtextsize8"/>
              </w:rPr>
            </w:pPr>
            <w:r w:rsidRPr="00712239">
              <w:rPr>
                <w:rStyle w:val="AERtextsize8"/>
              </w:rPr>
              <w:t>replacement expenditure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RFM</w:t>
            </w:r>
          </w:p>
        </w:tc>
        <w:tc>
          <w:tcPr>
            <w:tcW w:w="4353" w:type="dxa"/>
          </w:tcPr>
          <w:p w:rsidR="004523B2" w:rsidRPr="004523B2" w:rsidRDefault="004523B2" w:rsidP="004523B2">
            <w:pPr>
              <w:pStyle w:val="AERtabletextleft"/>
              <w:rPr>
                <w:rStyle w:val="AERtextsize8"/>
              </w:rPr>
            </w:pPr>
            <w:r w:rsidRPr="00712239">
              <w:rPr>
                <w:rStyle w:val="AERtextsize8"/>
              </w:rPr>
              <w:t>roll forward model</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RIN</w:t>
            </w:r>
          </w:p>
        </w:tc>
        <w:tc>
          <w:tcPr>
            <w:tcW w:w="4353" w:type="dxa"/>
          </w:tcPr>
          <w:p w:rsidR="004523B2" w:rsidRPr="004523B2" w:rsidRDefault="004523B2" w:rsidP="004523B2">
            <w:pPr>
              <w:pStyle w:val="AERtabletextleft"/>
              <w:rPr>
                <w:rStyle w:val="AERtextsize8"/>
              </w:rPr>
            </w:pPr>
            <w:r w:rsidRPr="00712239">
              <w:rPr>
                <w:rStyle w:val="AERtextsize8"/>
              </w:rPr>
              <w:t>regulatory information notice</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RPP</w:t>
            </w:r>
          </w:p>
        </w:tc>
        <w:tc>
          <w:tcPr>
            <w:tcW w:w="4353" w:type="dxa"/>
          </w:tcPr>
          <w:p w:rsidR="004523B2" w:rsidRPr="004523B2" w:rsidRDefault="004523B2" w:rsidP="004523B2">
            <w:pPr>
              <w:pStyle w:val="AERtabletextleft"/>
              <w:rPr>
                <w:rStyle w:val="AERtextsize8"/>
              </w:rPr>
            </w:pPr>
            <w:r w:rsidRPr="00712239">
              <w:rPr>
                <w:rStyle w:val="AERtextsize8"/>
              </w:rPr>
              <w:t xml:space="preserve">revenue </w:t>
            </w:r>
            <w:r w:rsidRPr="004523B2">
              <w:rPr>
                <w:rStyle w:val="AERtextsize8"/>
              </w:rPr>
              <w:t>and pricing principles</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SAIDI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duration index</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SAIFI</w:t>
            </w:r>
          </w:p>
        </w:tc>
        <w:tc>
          <w:tcPr>
            <w:tcW w:w="4353" w:type="dxa"/>
          </w:tcPr>
          <w:p w:rsidR="004523B2" w:rsidRPr="004523B2" w:rsidRDefault="004523B2" w:rsidP="004523B2">
            <w:pPr>
              <w:pStyle w:val="AERtabletextleft"/>
              <w:rPr>
                <w:rStyle w:val="AERtextsize8"/>
              </w:rPr>
            </w:pPr>
            <w:r w:rsidRPr="00712239">
              <w:rPr>
                <w:rStyle w:val="AERtextsize8"/>
              </w:rPr>
              <w:t>system average interruption frequency index</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SLCAPM</w:t>
            </w:r>
          </w:p>
        </w:tc>
        <w:tc>
          <w:tcPr>
            <w:tcW w:w="4353" w:type="dxa"/>
          </w:tcPr>
          <w:p w:rsidR="004523B2" w:rsidRPr="004523B2" w:rsidRDefault="004523B2" w:rsidP="004523B2">
            <w:pPr>
              <w:pStyle w:val="AERtabletextleft"/>
              <w:rPr>
                <w:rStyle w:val="AERtextsize8"/>
              </w:rPr>
            </w:pPr>
            <w:r w:rsidRPr="00712239">
              <w:rPr>
                <w:rStyle w:val="AERtextsize8"/>
              </w:rPr>
              <w:t>Sharpe-Lintner capital asset pricing model</w:t>
            </w:r>
          </w:p>
        </w:tc>
      </w:tr>
      <w:tr w:rsidR="004523B2" w:rsidTr="000474DF">
        <w:tc>
          <w:tcPr>
            <w:tcW w:w="4340" w:type="dxa"/>
          </w:tcPr>
          <w:p w:rsidR="004523B2" w:rsidRPr="004523B2" w:rsidRDefault="004523B2" w:rsidP="004523B2">
            <w:pPr>
              <w:pStyle w:val="AERtabletextleft"/>
              <w:rPr>
                <w:rStyle w:val="AERtextsize8"/>
              </w:rPr>
            </w:pPr>
            <w:r w:rsidRPr="00712239">
              <w:rPr>
                <w:rStyle w:val="AERtextsize8"/>
              </w:rPr>
              <w:t>STPIS</w:t>
            </w:r>
          </w:p>
        </w:tc>
        <w:tc>
          <w:tcPr>
            <w:tcW w:w="4353" w:type="dxa"/>
          </w:tcPr>
          <w:p w:rsidR="004523B2" w:rsidRPr="004523B2" w:rsidRDefault="004523B2" w:rsidP="004523B2">
            <w:pPr>
              <w:pStyle w:val="AERtabletextleft"/>
              <w:rPr>
                <w:rStyle w:val="AERtextsize8"/>
              </w:rPr>
            </w:pPr>
            <w:r w:rsidRPr="00712239">
              <w:rPr>
                <w:rStyle w:val="AERtextsize8"/>
              </w:rPr>
              <w:t>service target performance incentive scheme</w:t>
            </w:r>
          </w:p>
        </w:tc>
      </w:tr>
      <w:tr w:rsidR="004523B2" w:rsidTr="000474DF">
        <w:trPr>
          <w:cnfStyle w:val="000000010000" w:firstRow="0" w:lastRow="0" w:firstColumn="0" w:lastColumn="0" w:oddVBand="0" w:evenVBand="0" w:oddHBand="0" w:evenHBand="1" w:firstRowFirstColumn="0" w:firstRowLastColumn="0" w:lastRowFirstColumn="0" w:lastRowLastColumn="0"/>
        </w:trPr>
        <w:tc>
          <w:tcPr>
            <w:tcW w:w="4340" w:type="dxa"/>
          </w:tcPr>
          <w:p w:rsidR="004523B2" w:rsidRPr="004523B2" w:rsidRDefault="004523B2" w:rsidP="004523B2">
            <w:pPr>
              <w:pStyle w:val="AERtabletextleft"/>
              <w:rPr>
                <w:rStyle w:val="AERtextsize8"/>
              </w:rPr>
            </w:pPr>
            <w:r w:rsidRPr="00712239">
              <w:rPr>
                <w:rStyle w:val="AERtextsize8"/>
              </w:rPr>
              <w:t>WACC</w:t>
            </w:r>
          </w:p>
        </w:tc>
        <w:tc>
          <w:tcPr>
            <w:tcW w:w="4353" w:type="dxa"/>
          </w:tcPr>
          <w:p w:rsidR="004523B2" w:rsidRPr="004523B2" w:rsidRDefault="004523B2" w:rsidP="004523B2">
            <w:pPr>
              <w:pStyle w:val="AERtabletextleft"/>
              <w:rPr>
                <w:rStyle w:val="AERtextsize8"/>
              </w:rPr>
            </w:pPr>
            <w:r w:rsidRPr="00712239">
              <w:rPr>
                <w:rStyle w:val="AERtextsize8"/>
              </w:rPr>
              <w:t>weighted average</w:t>
            </w:r>
            <w:r w:rsidRPr="004523B2">
              <w:rPr>
                <w:rStyle w:val="AERtextsize8"/>
              </w:rPr>
              <w:t xml:space="preserve"> cost of capital</w:t>
            </w:r>
          </w:p>
        </w:tc>
      </w:tr>
    </w:tbl>
    <w:p w:rsidR="00DE563D" w:rsidRDefault="00D1741A" w:rsidP="00D1741A">
      <w:pPr>
        <w:pStyle w:val="Heading1"/>
      </w:pPr>
      <w:bookmarkStart w:id="13" w:name="_Toc416278154"/>
      <w:bookmarkStart w:id="14" w:name="_Toc416346517"/>
      <w:bookmarkStart w:id="15" w:name="_Toc416278157"/>
      <w:bookmarkStart w:id="16" w:name="_Toc416346520"/>
      <w:bookmarkStart w:id="17" w:name="_Toc416278160"/>
      <w:bookmarkStart w:id="18" w:name="_Toc416346523"/>
      <w:bookmarkStart w:id="19" w:name="_Toc416278163"/>
      <w:bookmarkStart w:id="20" w:name="_Toc416346526"/>
      <w:bookmarkStart w:id="21" w:name="_Toc416278166"/>
      <w:bookmarkStart w:id="22" w:name="_Toc416346529"/>
      <w:bookmarkStart w:id="23" w:name="_Toc416278169"/>
      <w:bookmarkStart w:id="24" w:name="_Toc416346532"/>
      <w:bookmarkStart w:id="25" w:name="_Toc416278172"/>
      <w:bookmarkStart w:id="26" w:name="_Toc416346535"/>
      <w:bookmarkStart w:id="27" w:name="_Toc416278175"/>
      <w:bookmarkStart w:id="28" w:name="_Toc416346538"/>
      <w:bookmarkStart w:id="29" w:name="_Toc416278178"/>
      <w:bookmarkStart w:id="30" w:name="_Toc416346541"/>
      <w:bookmarkStart w:id="31" w:name="_Toc416278181"/>
      <w:bookmarkStart w:id="32" w:name="_Toc416346544"/>
      <w:bookmarkStart w:id="33" w:name="_Toc416278184"/>
      <w:bookmarkStart w:id="34" w:name="_Toc416346547"/>
      <w:bookmarkStart w:id="35" w:name="_Toc416278187"/>
      <w:bookmarkStart w:id="36" w:name="_Toc416346550"/>
      <w:bookmarkStart w:id="37" w:name="_Toc416278190"/>
      <w:bookmarkStart w:id="38" w:name="_Toc416346553"/>
      <w:bookmarkStart w:id="39" w:name="_Toc416278193"/>
      <w:bookmarkStart w:id="40" w:name="_Toc416346556"/>
      <w:bookmarkStart w:id="41" w:name="_Toc416278196"/>
      <w:bookmarkStart w:id="42" w:name="_Toc416346559"/>
      <w:bookmarkStart w:id="43" w:name="_Toc416278199"/>
      <w:bookmarkStart w:id="44" w:name="_Toc416346562"/>
      <w:bookmarkStart w:id="45" w:name="_Toc416278202"/>
      <w:bookmarkStart w:id="46" w:name="_Toc416346565"/>
      <w:bookmarkStart w:id="47" w:name="_Toc416278205"/>
      <w:bookmarkStart w:id="48" w:name="_Toc416346568"/>
      <w:bookmarkStart w:id="49" w:name="_Toc416278208"/>
      <w:bookmarkStart w:id="50" w:name="_Toc416346571"/>
      <w:bookmarkStart w:id="51" w:name="_Toc416278211"/>
      <w:bookmarkStart w:id="52" w:name="_Toc416346574"/>
      <w:bookmarkStart w:id="53" w:name="_Toc416278214"/>
      <w:bookmarkStart w:id="54" w:name="_Toc416346577"/>
      <w:bookmarkStart w:id="55" w:name="_Toc416278217"/>
      <w:bookmarkStart w:id="56" w:name="_Toc416346580"/>
      <w:bookmarkStart w:id="57" w:name="_Toc416278220"/>
      <w:bookmarkStart w:id="58" w:name="_Toc416346583"/>
      <w:bookmarkStart w:id="59" w:name="_Toc416278223"/>
      <w:bookmarkStart w:id="60" w:name="_Toc416346586"/>
      <w:bookmarkStart w:id="61" w:name="_Toc416278226"/>
      <w:bookmarkStart w:id="62" w:name="_Toc416346589"/>
      <w:bookmarkStart w:id="63" w:name="_Toc416278229"/>
      <w:bookmarkStart w:id="64" w:name="_Toc416346592"/>
      <w:bookmarkStart w:id="65" w:name="_Toc416278232"/>
      <w:bookmarkStart w:id="66" w:name="_Toc416346595"/>
      <w:bookmarkStart w:id="67" w:name="_Toc416278235"/>
      <w:bookmarkStart w:id="68" w:name="_Toc416346598"/>
      <w:bookmarkStart w:id="69" w:name="_Toc416278238"/>
      <w:bookmarkStart w:id="70" w:name="_Toc416346601"/>
      <w:bookmarkStart w:id="71" w:name="_Toc451356617"/>
      <w:bookmarkEnd w:id="1"/>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lastRenderedPageBreak/>
        <w:t>Annual revenue requirement</w:t>
      </w:r>
      <w:bookmarkEnd w:id="71"/>
    </w:p>
    <w:p w:rsidR="00C76C05" w:rsidRPr="00132D43" w:rsidRDefault="00C76C05" w:rsidP="00C76C05">
      <w:r>
        <w:t xml:space="preserve">The </w:t>
      </w:r>
      <w:r w:rsidRPr="0094506C">
        <w:t>annual revenue requirement (ARR) is the sum of the various building block costs for each year of th</w:t>
      </w:r>
      <w:r>
        <w:t>e regulatory control</w:t>
      </w:r>
      <w:r w:rsidRPr="0094506C">
        <w:t xml:space="preserve"> period before smoothing. The ARRs are smoothed across the period to reduce fluctuations between years and to determine expected revenues for each year. The expected revenues are the amounts that </w:t>
      </w:r>
      <w:r>
        <w:t xml:space="preserve">CitiPower </w:t>
      </w:r>
      <w:r w:rsidRPr="0094506C">
        <w:t>will target for annual pricing purposes</w:t>
      </w:r>
      <w:r w:rsidRPr="003A41F3">
        <w:t xml:space="preserve"> </w:t>
      </w:r>
      <w:r>
        <w:t xml:space="preserve">and </w:t>
      </w:r>
      <w:r w:rsidRPr="00F95B9F">
        <w:t xml:space="preserve">recover from </w:t>
      </w:r>
      <w:r>
        <w:t xml:space="preserve">customers for </w:t>
      </w:r>
      <w:r w:rsidRPr="00F95B9F">
        <w:t>the provision of standard control services for each year of the regulatory control period</w:t>
      </w:r>
      <w:r w:rsidRPr="0094506C">
        <w:t xml:space="preserve">. This attachment sets out our </w:t>
      </w:r>
      <w:r>
        <w:t xml:space="preserve">final </w:t>
      </w:r>
      <w:r w:rsidRPr="0094506C">
        <w:t xml:space="preserve">decision on </w:t>
      </w:r>
      <w:r>
        <w:t xml:space="preserve">CitiPower's </w:t>
      </w:r>
      <w:r w:rsidRPr="0094506C">
        <w:t>ARRs and expected revenues for the 201</w:t>
      </w:r>
      <w:r>
        <w:t>6–20</w:t>
      </w:r>
      <w:r w:rsidRPr="0094506C">
        <w:t xml:space="preserve"> </w:t>
      </w:r>
      <w:r>
        <w:t xml:space="preserve">regulatory control </w:t>
      </w:r>
      <w:r w:rsidRPr="0094506C">
        <w:t>period.</w:t>
      </w:r>
    </w:p>
    <w:p w:rsidR="00132D43" w:rsidRDefault="00DB4E34" w:rsidP="00132D43">
      <w:pPr>
        <w:pStyle w:val="Heading2"/>
      </w:pPr>
      <w:bookmarkStart w:id="72" w:name="_Toc451356618"/>
      <w:r>
        <w:t>Final</w:t>
      </w:r>
      <w:r w:rsidR="00132D43">
        <w:t xml:space="preserve"> decision</w:t>
      </w:r>
      <w:bookmarkEnd w:id="72"/>
    </w:p>
    <w:p w:rsidR="00C76C05" w:rsidRPr="00060145" w:rsidRDefault="00C76C05" w:rsidP="00060145">
      <w:r>
        <w:t xml:space="preserve">We </w:t>
      </w:r>
      <w:r w:rsidRPr="0094506C">
        <w:t xml:space="preserve">do not accept </w:t>
      </w:r>
      <w:r>
        <w:t>CitiPower's revised</w:t>
      </w:r>
      <w:r w:rsidRPr="0094506C">
        <w:t xml:space="preserve"> proposed total revenue requirement</w:t>
      </w:r>
      <w:r>
        <w:t xml:space="preserve"> </w:t>
      </w:r>
      <w:r w:rsidRPr="0094506C">
        <w:t>of $</w:t>
      </w:r>
      <w:r w:rsidR="00A75BDB">
        <w:t>1838.3</w:t>
      </w:r>
      <w:r>
        <w:t> </w:t>
      </w:r>
      <w:r w:rsidRPr="0094506C">
        <w:t>million over the 201</w:t>
      </w:r>
      <w:r>
        <w:t>6</w:t>
      </w:r>
      <w:r w:rsidRPr="0094506C">
        <w:t>–</w:t>
      </w:r>
      <w:r>
        <w:t>20</w:t>
      </w:r>
      <w:r w:rsidRPr="0094506C">
        <w:t xml:space="preserve"> </w:t>
      </w:r>
      <w:r>
        <w:t xml:space="preserve">regulatory control </w:t>
      </w:r>
      <w:r w:rsidRPr="0094506C">
        <w:t>period.</w:t>
      </w:r>
      <w:r w:rsidR="007C53FC">
        <w:rPr>
          <w:rStyle w:val="FootnoteReference"/>
        </w:rPr>
        <w:footnoteReference w:id="1"/>
      </w:r>
      <w:r w:rsidRPr="0094506C">
        <w:t xml:space="preserve"> </w:t>
      </w:r>
      <w:r>
        <w:t xml:space="preserve">This is because we have not accepted the building block costs in CitiPower's revised </w:t>
      </w:r>
      <w:r w:rsidRPr="00060145">
        <w:t>proposal. We determine a total revenue requirement of $</w:t>
      </w:r>
      <w:r w:rsidR="00420B33" w:rsidRPr="00060145">
        <w:t>1503.1</w:t>
      </w:r>
      <w:r w:rsidRPr="00060145">
        <w:t> million ($ nominal) for CitiPower</w:t>
      </w:r>
      <w:r w:rsidRPr="0094506C">
        <w:t xml:space="preserve"> for </w:t>
      </w:r>
      <w:r>
        <w:t>the 2016–20 regulatory control period, reflecting our final decision on the various building block costs</w:t>
      </w:r>
      <w:r w:rsidRPr="002B52F6">
        <w:t xml:space="preserve">. This is a </w:t>
      </w:r>
      <w:r w:rsidRPr="00060145">
        <w:t>reduction of $</w:t>
      </w:r>
      <w:r w:rsidR="00420B33" w:rsidRPr="00060145">
        <w:t>335.2</w:t>
      </w:r>
      <w:r w:rsidRPr="00060145">
        <w:t xml:space="preserve"> million ($ nominal) or </w:t>
      </w:r>
      <w:r w:rsidR="00420B33" w:rsidRPr="00060145">
        <w:t>18.2</w:t>
      </w:r>
      <w:r w:rsidRPr="00060145">
        <w:t> per cent to CitiPower's revised proposal.</w:t>
      </w:r>
    </w:p>
    <w:p w:rsidR="00C76C05" w:rsidRDefault="00C76C05" w:rsidP="00060145">
      <w:r>
        <w:t>We approved the expected revenue for 2016 of $2</w:t>
      </w:r>
      <w:r w:rsidR="00A75BDB">
        <w:t>8</w:t>
      </w:r>
      <w:r w:rsidR="00517DFB">
        <w:t>2</w:t>
      </w:r>
      <w:r>
        <w:t>.</w:t>
      </w:r>
      <w:r w:rsidR="00517DFB">
        <w:t>9</w:t>
      </w:r>
      <w:r>
        <w:t xml:space="preserve"> million </w:t>
      </w:r>
      <w:r w:rsidR="00A25B9A">
        <w:t xml:space="preserve">in our preliminary decision </w:t>
      </w:r>
      <w:r>
        <w:t>for CitiPower.</w:t>
      </w:r>
      <w:r>
        <w:rPr>
          <w:rStyle w:val="FootnoteReference"/>
        </w:rPr>
        <w:footnoteReference w:id="2"/>
      </w:r>
      <w:r>
        <w:t xml:space="preserve"> Under the transitional rules, we are required to determine the ARR for 2016 as part of this final determination process and adjust for the difference between the </w:t>
      </w:r>
      <w:r w:rsidRPr="00060145">
        <w:t>preliminary decision revenue and the ARR for 2016. We have now determined the ARR for 2016 of $</w:t>
      </w:r>
      <w:r w:rsidR="00420B33" w:rsidRPr="00060145">
        <w:t>275.5</w:t>
      </w:r>
      <w:r w:rsidRPr="00060145">
        <w:t> million for CitiPower. The difference is therefore $</w:t>
      </w:r>
      <w:r w:rsidR="00420B33" w:rsidRPr="00060145">
        <w:t>7.3</w:t>
      </w:r>
      <w:r w:rsidRPr="00060145">
        <w:t> million. We have</w:t>
      </w:r>
      <w:r>
        <w:t xml:space="preserve"> applied this difference as part of the smoothing process to establish the annual expected revenue for the remaining four years of the 2016–20 regulatory control period.</w:t>
      </w:r>
    </w:p>
    <w:p w:rsidR="00C76C05" w:rsidRDefault="00C76C05" w:rsidP="00060145">
      <w:r w:rsidRPr="00AC0E54">
        <w:t xml:space="preserve">As a result of our smoothing of the ARRs, our </w:t>
      </w:r>
      <w:r>
        <w:t>final</w:t>
      </w:r>
      <w:r w:rsidRPr="00AC0E54">
        <w:t xml:space="preserve"> decision </w:t>
      </w:r>
      <w:r>
        <w:t xml:space="preserve">on the annual expected revenue and X factor for each regulatory year of the 2016–20 regulatory control period is set out in </w:t>
      </w:r>
      <w:r w:rsidR="00C23FA4">
        <w:fldChar w:fldCharType="begin"/>
      </w:r>
      <w:r w:rsidR="00C23FA4">
        <w:instrText xml:space="preserve"> REF  _Ref444775062 \* Lower \h </w:instrText>
      </w:r>
      <w:r w:rsidR="00C23FA4">
        <w:fldChar w:fldCharType="separate"/>
      </w:r>
      <w:r w:rsidR="00473EE0">
        <w:t xml:space="preserve">table </w:t>
      </w:r>
      <w:r w:rsidR="00473EE0">
        <w:rPr>
          <w:noProof/>
        </w:rPr>
        <w:t>1</w:t>
      </w:r>
      <w:r w:rsidR="00473EE0">
        <w:t>.</w:t>
      </w:r>
      <w:r w:rsidR="00473EE0">
        <w:rPr>
          <w:noProof/>
        </w:rPr>
        <w:t>1</w:t>
      </w:r>
      <w:r w:rsidR="00C23FA4">
        <w:fldChar w:fldCharType="end"/>
      </w:r>
      <w:r>
        <w:t xml:space="preserve">. Our final </w:t>
      </w:r>
      <w:r w:rsidRPr="00060145">
        <w:t>decision is to approve total expected revenues of $</w:t>
      </w:r>
      <w:r w:rsidR="00420B33" w:rsidRPr="00060145">
        <w:t>1500.3</w:t>
      </w:r>
      <w:r w:rsidRPr="00060145">
        <w:t> million ($ nominal) for the 20</w:t>
      </w:r>
      <w:r w:rsidRPr="00AC0E54">
        <w:t>1</w:t>
      </w:r>
      <w:r>
        <w:t>6</w:t>
      </w:r>
      <w:r w:rsidRPr="00AC0E54">
        <w:t>–</w:t>
      </w:r>
      <w:r>
        <w:t>20</w:t>
      </w:r>
      <w:r w:rsidRPr="00AC0E54">
        <w:t xml:space="preserve"> </w:t>
      </w:r>
      <w:r>
        <w:t xml:space="preserve">regulatory control </w:t>
      </w:r>
      <w:r w:rsidRPr="00AC0E54">
        <w:t>period.</w:t>
      </w:r>
    </w:p>
    <w:p w:rsidR="00C76C05" w:rsidRDefault="00C76C05" w:rsidP="00C76C05">
      <w:pPr>
        <w:numPr>
          <w:ilvl w:val="0"/>
          <w:numId w:val="24"/>
        </w:numPr>
      </w:pPr>
      <w:r>
        <w:fldChar w:fldCharType="begin"/>
      </w:r>
      <w:r>
        <w:instrText xml:space="preserve"> REF _Ref444774934 \h </w:instrText>
      </w:r>
      <w:r>
        <w:fldChar w:fldCharType="separate"/>
      </w:r>
      <w:r w:rsidR="00473EE0">
        <w:t xml:space="preserve">Figure </w:t>
      </w:r>
      <w:r w:rsidR="00473EE0">
        <w:rPr>
          <w:noProof/>
        </w:rPr>
        <w:t>1</w:t>
      </w:r>
      <w:r w:rsidR="00473EE0">
        <w:t>.</w:t>
      </w:r>
      <w:r w:rsidR="00473EE0">
        <w:rPr>
          <w:noProof/>
        </w:rPr>
        <w:t>1</w:t>
      </w:r>
      <w:r>
        <w:fldChar w:fldCharType="end"/>
      </w:r>
      <w:r>
        <w:t xml:space="preserve"> </w:t>
      </w:r>
      <w:r w:rsidRPr="0094506C">
        <w:t>show</w:t>
      </w:r>
      <w:r>
        <w:t>s</w:t>
      </w:r>
      <w:r w:rsidRPr="0094506C">
        <w:t xml:space="preserve"> the difference between </w:t>
      </w:r>
      <w:r>
        <w:t>CitiPower's</w:t>
      </w:r>
      <w:r w:rsidRPr="0094506C">
        <w:t xml:space="preserve"> </w:t>
      </w:r>
      <w:r>
        <w:t xml:space="preserve">revised </w:t>
      </w:r>
      <w:r w:rsidRPr="0094506C">
        <w:t xml:space="preserve">proposal and our </w:t>
      </w:r>
      <w:r w:rsidR="003E245B">
        <w:t xml:space="preserve">final </w:t>
      </w:r>
      <w:r>
        <w:t>decision</w:t>
      </w:r>
      <w:r w:rsidRPr="0094506C">
        <w:t>.</w:t>
      </w:r>
      <w:r w:rsidRPr="00EF29B4">
        <w:t xml:space="preserve"> </w:t>
      </w:r>
    </w:p>
    <w:p w:rsidR="00C76C05" w:rsidRDefault="00C76C05" w:rsidP="00C76C05">
      <w:pPr>
        <w:numPr>
          <w:ilvl w:val="0"/>
          <w:numId w:val="24"/>
        </w:numPr>
      </w:pPr>
      <w:r>
        <w:lastRenderedPageBreak/>
        <w:fldChar w:fldCharType="begin"/>
      </w:r>
      <w:r>
        <w:instrText xml:space="preserve"> REF _Ref444775062 \h </w:instrText>
      </w:r>
      <w:r>
        <w:fldChar w:fldCharType="separate"/>
      </w:r>
      <w:r w:rsidR="00473EE0">
        <w:t xml:space="preserve">Table </w:t>
      </w:r>
      <w:r w:rsidR="00473EE0">
        <w:rPr>
          <w:noProof/>
        </w:rPr>
        <w:t>1</w:t>
      </w:r>
      <w:r w:rsidR="00473EE0">
        <w:t>.</w:t>
      </w:r>
      <w:r w:rsidR="00473EE0">
        <w:rPr>
          <w:noProof/>
        </w:rPr>
        <w:t>1</w:t>
      </w:r>
      <w:r>
        <w:fldChar w:fldCharType="end"/>
      </w:r>
      <w:r>
        <w:t xml:space="preserve"> shows our final decision on the building block costs, the ARR, annual expected revenue and X factor for each year of the 2016–20 regulatory control period.</w:t>
      </w:r>
    </w:p>
    <w:p w:rsidR="00C76C05" w:rsidRDefault="00C76C05" w:rsidP="00C76C05">
      <w:pPr>
        <w:pStyle w:val="Caption"/>
      </w:pPr>
      <w:bookmarkStart w:id="73" w:name="_Ref444774934"/>
      <w:r>
        <w:t xml:space="preserve">Figure </w:t>
      </w:r>
      <w:r w:rsidRPr="00C76C05">
        <w:fldChar w:fldCharType="begin"/>
      </w:r>
      <w:r>
        <w:instrText xml:space="preserve"> STYLEREF 1 \s </w:instrText>
      </w:r>
      <w:r w:rsidRPr="00C76C05">
        <w:fldChar w:fldCharType="separate"/>
      </w:r>
      <w:r w:rsidR="00473EE0">
        <w:rPr>
          <w:noProof/>
        </w:rPr>
        <w:t>1</w:t>
      </w:r>
      <w:r w:rsidRPr="00C76C05">
        <w:fldChar w:fldCharType="end"/>
      </w:r>
      <w:r>
        <w:t>.</w:t>
      </w:r>
      <w:fldSimple w:instr=" SEQ Figure \* ARABIC \s 1 ">
        <w:r w:rsidR="00473EE0">
          <w:rPr>
            <w:noProof/>
          </w:rPr>
          <w:t>1</w:t>
        </w:r>
      </w:fldSimple>
      <w:bookmarkEnd w:id="73"/>
      <w:r>
        <w:tab/>
      </w:r>
      <w:r w:rsidRPr="00AC6064">
        <w:t xml:space="preserve">AER's final decision on </w:t>
      </w:r>
      <w:r>
        <w:t>CitiPower's</w:t>
      </w:r>
      <w:r w:rsidRPr="00AC6064">
        <w:t xml:space="preserve"> revenues for the 201</w:t>
      </w:r>
      <w:r>
        <w:t>6</w:t>
      </w:r>
      <w:r w:rsidRPr="00AC6064">
        <w:t>–20 regulatory control period ($million, nominal)</w:t>
      </w:r>
    </w:p>
    <w:p w:rsidR="00C76C05" w:rsidRDefault="00420B33" w:rsidP="00B576C7">
      <w:r>
        <w:rPr>
          <w:noProof/>
          <w:lang w:eastAsia="en-AU"/>
        </w:rPr>
        <w:drawing>
          <wp:inline distT="0" distB="0" distL="0" distR="0" wp14:anchorId="2F7841CB" wp14:editId="3380DB2B">
            <wp:extent cx="5346700" cy="324358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46700" cy="3243580"/>
                    </a:xfrm>
                    <a:prstGeom prst="rect">
                      <a:avLst/>
                    </a:prstGeom>
                    <a:noFill/>
                  </pic:spPr>
                </pic:pic>
              </a:graphicData>
            </a:graphic>
          </wp:inline>
        </w:drawing>
      </w:r>
    </w:p>
    <w:p w:rsidR="00C76C05" w:rsidRDefault="00C76C05" w:rsidP="00C76C05">
      <w:pPr>
        <w:pStyle w:val="AERtablesource"/>
      </w:pPr>
      <w:r>
        <w:t>Source:</w:t>
      </w:r>
      <w:r>
        <w:tab/>
        <w:t>AER analysis.</w:t>
      </w:r>
    </w:p>
    <w:p w:rsidR="00D142DD" w:rsidRDefault="00D142DD">
      <w:pPr>
        <w:spacing w:line="240" w:lineRule="auto"/>
      </w:pPr>
      <w:r>
        <w:br w:type="page"/>
      </w:r>
    </w:p>
    <w:p w:rsidR="00C76C05" w:rsidRDefault="00C76C05" w:rsidP="00C76C05">
      <w:pPr>
        <w:pStyle w:val="Caption"/>
      </w:pPr>
      <w:bookmarkStart w:id="74" w:name="_Ref444775062"/>
      <w:r>
        <w:lastRenderedPageBreak/>
        <w:t xml:space="preserve">Table </w:t>
      </w:r>
      <w:r w:rsidRPr="00C76C05">
        <w:fldChar w:fldCharType="begin"/>
      </w:r>
      <w:r>
        <w:instrText xml:space="preserve"> STYLEREF 1 \s </w:instrText>
      </w:r>
      <w:r w:rsidRPr="00C76C05">
        <w:fldChar w:fldCharType="separate"/>
      </w:r>
      <w:r w:rsidR="00473EE0">
        <w:rPr>
          <w:noProof/>
        </w:rPr>
        <w:t>1</w:t>
      </w:r>
      <w:r w:rsidRPr="00C76C05">
        <w:fldChar w:fldCharType="end"/>
      </w:r>
      <w:r>
        <w:t>.</w:t>
      </w:r>
      <w:fldSimple w:instr=" SEQ Table \* ARABIC \s 1 ">
        <w:r w:rsidR="00473EE0">
          <w:rPr>
            <w:noProof/>
          </w:rPr>
          <w:t>1</w:t>
        </w:r>
      </w:fldSimple>
      <w:bookmarkEnd w:id="74"/>
      <w:r>
        <w:tab/>
      </w:r>
      <w:r w:rsidRPr="00EE7AFE">
        <w:t xml:space="preserve">AER's final decision on </w:t>
      </w:r>
      <w:r>
        <w:t>CitiPower's</w:t>
      </w:r>
      <w:r w:rsidRPr="00EE7AFE">
        <w:t xml:space="preserve"> revenues for the 201</w:t>
      </w:r>
      <w:r>
        <w:t>6</w:t>
      </w:r>
      <w:r w:rsidRPr="00EE7AFE">
        <w:t>–20 regulatory control period ($million, nominal)</w:t>
      </w:r>
    </w:p>
    <w:tbl>
      <w:tblPr>
        <w:tblStyle w:val="AERtable-numbers"/>
        <w:tblW w:w="8755" w:type="dxa"/>
        <w:tblLayout w:type="fixed"/>
        <w:tblLook w:val="04A0" w:firstRow="1" w:lastRow="0" w:firstColumn="1" w:lastColumn="0" w:noHBand="0" w:noVBand="1"/>
      </w:tblPr>
      <w:tblGrid>
        <w:gridCol w:w="3369"/>
        <w:gridCol w:w="897"/>
        <w:gridCol w:w="898"/>
        <w:gridCol w:w="898"/>
        <w:gridCol w:w="897"/>
        <w:gridCol w:w="898"/>
        <w:gridCol w:w="898"/>
      </w:tblGrid>
      <w:tr w:rsidR="00C76C05" w:rsidRPr="00A75D48" w:rsidTr="00E34748">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C76C05" w:rsidRPr="00C76C05" w:rsidRDefault="00C76C05" w:rsidP="00C76C05">
            <w:r w:rsidRPr="00A75D48">
              <w:t> </w:t>
            </w:r>
          </w:p>
        </w:tc>
        <w:tc>
          <w:tcPr>
            <w:tcW w:w="897" w:type="dxa"/>
            <w:noWrap/>
            <w:hideMark/>
          </w:tcPr>
          <w:p w:rsidR="00C76C05" w:rsidRPr="00C76C05" w:rsidRDefault="00C76C05" w:rsidP="00C76C05">
            <w:pPr>
              <w:cnfStyle w:val="100000000000" w:firstRow="1" w:lastRow="0" w:firstColumn="0" w:lastColumn="0" w:oddVBand="0" w:evenVBand="0" w:oddHBand="0" w:evenHBand="0" w:firstRowFirstColumn="0" w:firstRowLastColumn="0" w:lastRowFirstColumn="0" w:lastRowLastColumn="0"/>
            </w:pPr>
            <w:r>
              <w:t>20</w:t>
            </w:r>
            <w:r w:rsidRPr="00C76C05">
              <w:t>16</w:t>
            </w:r>
          </w:p>
        </w:tc>
        <w:tc>
          <w:tcPr>
            <w:tcW w:w="898" w:type="dxa"/>
            <w:noWrap/>
            <w:hideMark/>
          </w:tcPr>
          <w:p w:rsidR="00C76C05" w:rsidRPr="00C76C05" w:rsidRDefault="00C76C05" w:rsidP="00C76C05">
            <w:pPr>
              <w:cnfStyle w:val="100000000000" w:firstRow="1" w:lastRow="0" w:firstColumn="0" w:lastColumn="0" w:oddVBand="0" w:evenVBand="0" w:oddHBand="0" w:evenHBand="0" w:firstRowFirstColumn="0" w:firstRowLastColumn="0" w:lastRowFirstColumn="0" w:lastRowLastColumn="0"/>
            </w:pPr>
            <w:r>
              <w:t>2017</w:t>
            </w:r>
          </w:p>
        </w:tc>
        <w:tc>
          <w:tcPr>
            <w:tcW w:w="898" w:type="dxa"/>
          </w:tcPr>
          <w:p w:rsidR="00C76C05" w:rsidRPr="00C76C05" w:rsidRDefault="00C76C05" w:rsidP="00C76C05">
            <w:pPr>
              <w:cnfStyle w:val="100000000000" w:firstRow="1" w:lastRow="0" w:firstColumn="0" w:lastColumn="0" w:oddVBand="0" w:evenVBand="0" w:oddHBand="0" w:evenHBand="0" w:firstRowFirstColumn="0" w:firstRowLastColumn="0" w:lastRowFirstColumn="0" w:lastRowLastColumn="0"/>
            </w:pPr>
            <w:r>
              <w:t>2018</w:t>
            </w:r>
          </w:p>
        </w:tc>
        <w:tc>
          <w:tcPr>
            <w:tcW w:w="897" w:type="dxa"/>
          </w:tcPr>
          <w:p w:rsidR="00C76C05" w:rsidRPr="00C76C05" w:rsidRDefault="00C76C05" w:rsidP="00C76C05">
            <w:pPr>
              <w:cnfStyle w:val="100000000000" w:firstRow="1" w:lastRow="0" w:firstColumn="0" w:lastColumn="0" w:oddVBand="0" w:evenVBand="0" w:oddHBand="0" w:evenHBand="0" w:firstRowFirstColumn="0" w:firstRowLastColumn="0" w:lastRowFirstColumn="0" w:lastRowLastColumn="0"/>
            </w:pPr>
            <w:r>
              <w:t>2019</w:t>
            </w:r>
          </w:p>
        </w:tc>
        <w:tc>
          <w:tcPr>
            <w:tcW w:w="898" w:type="dxa"/>
          </w:tcPr>
          <w:p w:rsidR="00C76C05" w:rsidRPr="00C76C05" w:rsidRDefault="00C76C05" w:rsidP="00C76C05">
            <w:pPr>
              <w:cnfStyle w:val="100000000000" w:firstRow="1" w:lastRow="0" w:firstColumn="0" w:lastColumn="0" w:oddVBand="0" w:evenVBand="0" w:oddHBand="0" w:evenHBand="0" w:firstRowFirstColumn="0" w:firstRowLastColumn="0" w:lastRowFirstColumn="0" w:lastRowLastColumn="0"/>
            </w:pPr>
            <w:r>
              <w:t>2020</w:t>
            </w:r>
          </w:p>
        </w:tc>
        <w:tc>
          <w:tcPr>
            <w:tcW w:w="898" w:type="dxa"/>
          </w:tcPr>
          <w:p w:rsidR="00C76C05" w:rsidRPr="00C76C05" w:rsidRDefault="00C76C05" w:rsidP="00C76C05">
            <w:pPr>
              <w:cnfStyle w:val="100000000000" w:firstRow="1" w:lastRow="0" w:firstColumn="0" w:lastColumn="0" w:oddVBand="0" w:evenVBand="0" w:oddHBand="0" w:evenHBand="0" w:firstRowFirstColumn="0" w:firstRowLastColumn="0" w:lastRowFirstColumn="0" w:lastRowLastColumn="0"/>
            </w:pPr>
            <w:r w:rsidRPr="00A75D48">
              <w:t>Total</w:t>
            </w:r>
          </w:p>
        </w:tc>
      </w:tr>
      <w:tr w:rsidR="00420B33" w:rsidRPr="00A75D48" w:rsidTr="00E34748">
        <w:trPr>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420B33" w:rsidRPr="00420B33" w:rsidRDefault="00420B33" w:rsidP="00420B33">
            <w:r w:rsidRPr="00420B33">
              <w:t>Return on capital</w:t>
            </w:r>
          </w:p>
        </w:tc>
        <w:tc>
          <w:tcPr>
            <w:tcW w:w="897" w:type="dxa"/>
            <w:noWrap/>
            <w:vAlign w:val="bottom"/>
          </w:tcPr>
          <w:p w:rsidR="00420B33" w:rsidRPr="00420B33" w:rsidRDefault="00420B33" w:rsidP="00420B33">
            <w:pPr>
              <w:cnfStyle w:val="000000000000" w:firstRow="0" w:lastRow="0" w:firstColumn="0" w:lastColumn="0" w:oddVBand="0" w:evenVBand="0" w:oddHBand="0" w:evenHBand="0" w:firstRowFirstColumn="0" w:firstRowLastColumn="0" w:lastRowFirstColumn="0" w:lastRowLastColumn="0"/>
            </w:pPr>
            <w:r w:rsidRPr="00420B33">
              <w:t>107.6</w:t>
            </w:r>
          </w:p>
        </w:tc>
        <w:tc>
          <w:tcPr>
            <w:tcW w:w="898" w:type="dxa"/>
            <w:noWrap/>
            <w:vAlign w:val="bottom"/>
          </w:tcPr>
          <w:p w:rsidR="00420B33" w:rsidRPr="00420B33" w:rsidRDefault="00420B33" w:rsidP="00420B33">
            <w:pPr>
              <w:cnfStyle w:val="000000000000" w:firstRow="0" w:lastRow="0" w:firstColumn="0" w:lastColumn="0" w:oddVBand="0" w:evenVBand="0" w:oddHBand="0" w:evenHBand="0" w:firstRowFirstColumn="0" w:firstRowLastColumn="0" w:lastRowFirstColumn="0" w:lastRowLastColumn="0"/>
            </w:pPr>
            <w:r w:rsidRPr="00420B33">
              <w:t>114.4</w:t>
            </w:r>
          </w:p>
        </w:tc>
        <w:tc>
          <w:tcPr>
            <w:tcW w:w="898" w:type="dxa"/>
            <w:vAlign w:val="bottom"/>
          </w:tcPr>
          <w:p w:rsidR="00420B33" w:rsidRPr="00420B33" w:rsidRDefault="00420B33" w:rsidP="00420B33">
            <w:pPr>
              <w:cnfStyle w:val="000000000000" w:firstRow="0" w:lastRow="0" w:firstColumn="0" w:lastColumn="0" w:oddVBand="0" w:evenVBand="0" w:oddHBand="0" w:evenHBand="0" w:firstRowFirstColumn="0" w:firstRowLastColumn="0" w:lastRowFirstColumn="0" w:lastRowLastColumn="0"/>
            </w:pPr>
            <w:r w:rsidRPr="00420B33">
              <w:t>123.0</w:t>
            </w:r>
          </w:p>
        </w:tc>
        <w:tc>
          <w:tcPr>
            <w:tcW w:w="897" w:type="dxa"/>
            <w:vAlign w:val="bottom"/>
          </w:tcPr>
          <w:p w:rsidR="00420B33" w:rsidRPr="00420B33" w:rsidRDefault="00420B33" w:rsidP="00420B33">
            <w:pPr>
              <w:cnfStyle w:val="000000000000" w:firstRow="0" w:lastRow="0" w:firstColumn="0" w:lastColumn="0" w:oddVBand="0" w:evenVBand="0" w:oddHBand="0" w:evenHBand="0" w:firstRowFirstColumn="0" w:firstRowLastColumn="0" w:lastRowFirstColumn="0" w:lastRowLastColumn="0"/>
            </w:pPr>
            <w:r w:rsidRPr="00420B33">
              <w:t>130.2</w:t>
            </w:r>
          </w:p>
        </w:tc>
        <w:tc>
          <w:tcPr>
            <w:tcW w:w="898" w:type="dxa"/>
            <w:vAlign w:val="bottom"/>
          </w:tcPr>
          <w:p w:rsidR="00420B33" w:rsidRPr="00420B33" w:rsidRDefault="00420B33" w:rsidP="00420B33">
            <w:pPr>
              <w:cnfStyle w:val="000000000000" w:firstRow="0" w:lastRow="0" w:firstColumn="0" w:lastColumn="0" w:oddVBand="0" w:evenVBand="0" w:oddHBand="0" w:evenHBand="0" w:firstRowFirstColumn="0" w:firstRowLastColumn="0" w:lastRowFirstColumn="0" w:lastRowLastColumn="0"/>
            </w:pPr>
            <w:r w:rsidRPr="00420B33">
              <w:t>135.7</w:t>
            </w:r>
          </w:p>
        </w:tc>
        <w:tc>
          <w:tcPr>
            <w:tcW w:w="898" w:type="dxa"/>
            <w:vAlign w:val="bottom"/>
          </w:tcPr>
          <w:p w:rsidR="00420B33" w:rsidRPr="00420B33" w:rsidRDefault="00420B33" w:rsidP="00420B33">
            <w:pPr>
              <w:cnfStyle w:val="000000000000" w:firstRow="0" w:lastRow="0" w:firstColumn="0" w:lastColumn="0" w:oddVBand="0" w:evenVBand="0" w:oddHBand="0" w:evenHBand="0" w:firstRowFirstColumn="0" w:firstRowLastColumn="0" w:lastRowFirstColumn="0" w:lastRowLastColumn="0"/>
            </w:pPr>
            <w:r w:rsidRPr="00420B33">
              <w:t>610.9</w:t>
            </w:r>
          </w:p>
        </w:tc>
      </w:tr>
      <w:tr w:rsidR="00420B33" w:rsidRPr="00A75D48" w:rsidTr="00E34748">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420B33" w:rsidRPr="00420B33" w:rsidRDefault="00420B33" w:rsidP="00420B33">
            <w:r w:rsidRPr="00420B33">
              <w:t>Regulatory depreciation</w:t>
            </w:r>
          </w:p>
        </w:tc>
        <w:tc>
          <w:tcPr>
            <w:tcW w:w="897" w:type="dxa"/>
            <w:noWrap/>
            <w:vAlign w:val="bottom"/>
          </w:tcPr>
          <w:p w:rsidR="00420B33" w:rsidRPr="00420B33" w:rsidRDefault="00420B33" w:rsidP="00420B33">
            <w:pPr>
              <w:cnfStyle w:val="000000010000" w:firstRow="0" w:lastRow="0" w:firstColumn="0" w:lastColumn="0" w:oddVBand="0" w:evenVBand="0" w:oddHBand="0" w:evenHBand="1" w:firstRowFirstColumn="0" w:firstRowLastColumn="0" w:lastRowFirstColumn="0" w:lastRowLastColumn="0"/>
            </w:pPr>
            <w:r w:rsidRPr="00420B33">
              <w:t>62.0</w:t>
            </w:r>
          </w:p>
        </w:tc>
        <w:tc>
          <w:tcPr>
            <w:tcW w:w="898" w:type="dxa"/>
            <w:noWrap/>
            <w:vAlign w:val="bottom"/>
          </w:tcPr>
          <w:p w:rsidR="00420B33" w:rsidRPr="00420B33" w:rsidRDefault="00420B33" w:rsidP="00420B33">
            <w:pPr>
              <w:cnfStyle w:val="000000010000" w:firstRow="0" w:lastRow="0" w:firstColumn="0" w:lastColumn="0" w:oddVBand="0" w:evenVBand="0" w:oddHBand="0" w:evenHBand="1" w:firstRowFirstColumn="0" w:firstRowLastColumn="0" w:lastRowFirstColumn="0" w:lastRowLastColumn="0"/>
            </w:pPr>
            <w:r w:rsidRPr="00420B33">
              <w:t>61.5</w:t>
            </w:r>
          </w:p>
        </w:tc>
        <w:tc>
          <w:tcPr>
            <w:tcW w:w="898" w:type="dxa"/>
            <w:vAlign w:val="bottom"/>
          </w:tcPr>
          <w:p w:rsidR="00420B33" w:rsidRPr="00420B33" w:rsidRDefault="00420B33" w:rsidP="00420B33">
            <w:pPr>
              <w:cnfStyle w:val="000000010000" w:firstRow="0" w:lastRow="0" w:firstColumn="0" w:lastColumn="0" w:oddVBand="0" w:evenVBand="0" w:oddHBand="0" w:evenHBand="1" w:firstRowFirstColumn="0" w:firstRowLastColumn="0" w:lastRowFirstColumn="0" w:lastRowLastColumn="0"/>
            </w:pPr>
            <w:r w:rsidRPr="00420B33">
              <w:t>65.8</w:t>
            </w:r>
          </w:p>
        </w:tc>
        <w:tc>
          <w:tcPr>
            <w:tcW w:w="897" w:type="dxa"/>
            <w:vAlign w:val="bottom"/>
          </w:tcPr>
          <w:p w:rsidR="00420B33" w:rsidRPr="00420B33" w:rsidRDefault="00420B33" w:rsidP="00420B33">
            <w:pPr>
              <w:cnfStyle w:val="000000010000" w:firstRow="0" w:lastRow="0" w:firstColumn="0" w:lastColumn="0" w:oddVBand="0" w:evenVBand="0" w:oddHBand="0" w:evenHBand="1" w:firstRowFirstColumn="0" w:firstRowLastColumn="0" w:lastRowFirstColumn="0" w:lastRowLastColumn="0"/>
            </w:pPr>
            <w:r w:rsidRPr="00420B33">
              <w:t>69.8</w:t>
            </w:r>
          </w:p>
        </w:tc>
        <w:tc>
          <w:tcPr>
            <w:tcW w:w="898" w:type="dxa"/>
            <w:vAlign w:val="bottom"/>
          </w:tcPr>
          <w:p w:rsidR="00420B33" w:rsidRPr="00420B33" w:rsidRDefault="00420B33" w:rsidP="00420B33">
            <w:pPr>
              <w:cnfStyle w:val="000000010000" w:firstRow="0" w:lastRow="0" w:firstColumn="0" w:lastColumn="0" w:oddVBand="0" w:evenVBand="0" w:oddHBand="0" w:evenHBand="1" w:firstRowFirstColumn="0" w:firstRowLastColumn="0" w:lastRowFirstColumn="0" w:lastRowLastColumn="0"/>
            </w:pPr>
            <w:r w:rsidRPr="00420B33">
              <w:t>75.4</w:t>
            </w:r>
          </w:p>
        </w:tc>
        <w:tc>
          <w:tcPr>
            <w:tcW w:w="898" w:type="dxa"/>
            <w:vAlign w:val="bottom"/>
          </w:tcPr>
          <w:p w:rsidR="00420B33" w:rsidRPr="00420B33" w:rsidRDefault="00420B33" w:rsidP="00420B33">
            <w:pPr>
              <w:cnfStyle w:val="000000010000" w:firstRow="0" w:lastRow="0" w:firstColumn="0" w:lastColumn="0" w:oddVBand="0" w:evenVBand="0" w:oddHBand="0" w:evenHBand="1" w:firstRowFirstColumn="0" w:firstRowLastColumn="0" w:lastRowFirstColumn="0" w:lastRowLastColumn="0"/>
            </w:pPr>
            <w:r w:rsidRPr="00420B33">
              <w:t>334.5</w:t>
            </w:r>
          </w:p>
        </w:tc>
      </w:tr>
      <w:tr w:rsidR="00420B33" w:rsidRPr="00A75D48" w:rsidTr="00E34748">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420B33" w:rsidRPr="00420B33" w:rsidRDefault="00420B33" w:rsidP="00420B33">
            <w:r w:rsidRPr="00420B33">
              <w:t>Operating expenditure</w:t>
            </w:r>
          </w:p>
        </w:tc>
        <w:tc>
          <w:tcPr>
            <w:tcW w:w="897" w:type="dxa"/>
            <w:noWrap/>
            <w:vAlign w:val="bottom"/>
          </w:tcPr>
          <w:p w:rsidR="00420B33" w:rsidRPr="00420B33" w:rsidRDefault="00420B33" w:rsidP="00420B33">
            <w:pPr>
              <w:cnfStyle w:val="000000000000" w:firstRow="0" w:lastRow="0" w:firstColumn="0" w:lastColumn="0" w:oddVBand="0" w:evenVBand="0" w:oddHBand="0" w:evenHBand="0" w:firstRowFirstColumn="0" w:firstRowLastColumn="0" w:lastRowFirstColumn="0" w:lastRowLastColumn="0"/>
            </w:pPr>
            <w:r w:rsidRPr="00420B33">
              <w:t>84.4</w:t>
            </w:r>
          </w:p>
        </w:tc>
        <w:tc>
          <w:tcPr>
            <w:tcW w:w="898" w:type="dxa"/>
            <w:noWrap/>
            <w:vAlign w:val="bottom"/>
          </w:tcPr>
          <w:p w:rsidR="00420B33" w:rsidRPr="00420B33" w:rsidRDefault="00420B33" w:rsidP="00420B33">
            <w:pPr>
              <w:cnfStyle w:val="000000000000" w:firstRow="0" w:lastRow="0" w:firstColumn="0" w:lastColumn="0" w:oddVBand="0" w:evenVBand="0" w:oddHBand="0" w:evenHBand="0" w:firstRowFirstColumn="0" w:firstRowLastColumn="0" w:lastRowFirstColumn="0" w:lastRowLastColumn="0"/>
            </w:pPr>
            <w:r w:rsidRPr="00420B33">
              <w:t>87.6</w:t>
            </w:r>
          </w:p>
        </w:tc>
        <w:tc>
          <w:tcPr>
            <w:tcW w:w="898" w:type="dxa"/>
            <w:vAlign w:val="bottom"/>
          </w:tcPr>
          <w:p w:rsidR="00420B33" w:rsidRPr="00420B33" w:rsidRDefault="00420B33" w:rsidP="00420B33">
            <w:pPr>
              <w:cnfStyle w:val="000000000000" w:firstRow="0" w:lastRow="0" w:firstColumn="0" w:lastColumn="0" w:oddVBand="0" w:evenVBand="0" w:oddHBand="0" w:evenHBand="0" w:firstRowFirstColumn="0" w:firstRowLastColumn="0" w:lastRowFirstColumn="0" w:lastRowLastColumn="0"/>
            </w:pPr>
            <w:r w:rsidRPr="00420B33">
              <w:t>93.0</w:t>
            </w:r>
          </w:p>
        </w:tc>
        <w:tc>
          <w:tcPr>
            <w:tcW w:w="897" w:type="dxa"/>
            <w:vAlign w:val="bottom"/>
          </w:tcPr>
          <w:p w:rsidR="00420B33" w:rsidRPr="00420B33" w:rsidRDefault="00420B33" w:rsidP="00420B33">
            <w:pPr>
              <w:cnfStyle w:val="000000000000" w:firstRow="0" w:lastRow="0" w:firstColumn="0" w:lastColumn="0" w:oddVBand="0" w:evenVBand="0" w:oddHBand="0" w:evenHBand="0" w:firstRowFirstColumn="0" w:firstRowLastColumn="0" w:lastRowFirstColumn="0" w:lastRowLastColumn="0"/>
            </w:pPr>
            <w:r w:rsidRPr="00420B33">
              <w:t>96.8</w:t>
            </w:r>
          </w:p>
        </w:tc>
        <w:tc>
          <w:tcPr>
            <w:tcW w:w="898" w:type="dxa"/>
            <w:vAlign w:val="bottom"/>
          </w:tcPr>
          <w:p w:rsidR="00420B33" w:rsidRPr="00420B33" w:rsidRDefault="00420B33" w:rsidP="00420B33">
            <w:pPr>
              <w:cnfStyle w:val="000000000000" w:firstRow="0" w:lastRow="0" w:firstColumn="0" w:lastColumn="0" w:oddVBand="0" w:evenVBand="0" w:oddHBand="0" w:evenHBand="0" w:firstRowFirstColumn="0" w:firstRowLastColumn="0" w:lastRowFirstColumn="0" w:lastRowLastColumn="0"/>
            </w:pPr>
            <w:r w:rsidRPr="00420B33">
              <w:t>101.3</w:t>
            </w:r>
          </w:p>
        </w:tc>
        <w:tc>
          <w:tcPr>
            <w:tcW w:w="898" w:type="dxa"/>
            <w:vAlign w:val="bottom"/>
          </w:tcPr>
          <w:p w:rsidR="00420B33" w:rsidRPr="00420B33" w:rsidRDefault="00420B33" w:rsidP="00420B33">
            <w:pPr>
              <w:cnfStyle w:val="000000000000" w:firstRow="0" w:lastRow="0" w:firstColumn="0" w:lastColumn="0" w:oddVBand="0" w:evenVBand="0" w:oddHBand="0" w:evenHBand="0" w:firstRowFirstColumn="0" w:firstRowLastColumn="0" w:lastRowFirstColumn="0" w:lastRowLastColumn="0"/>
            </w:pPr>
            <w:r w:rsidRPr="00420B33">
              <w:t>463.0</w:t>
            </w:r>
          </w:p>
        </w:tc>
      </w:tr>
      <w:tr w:rsidR="00420B33" w:rsidRPr="00A75D48" w:rsidTr="00E34748">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420B33" w:rsidRPr="00420B33" w:rsidRDefault="00420B33" w:rsidP="00420B33">
            <w:r w:rsidRPr="00420B33">
              <w:t>Revenue adjustments</w:t>
            </w:r>
            <w:r w:rsidRPr="00420B33">
              <w:rPr>
                <w:rStyle w:val="AERsuperscript"/>
              </w:rPr>
              <w:t>a</w:t>
            </w:r>
          </w:p>
        </w:tc>
        <w:tc>
          <w:tcPr>
            <w:tcW w:w="897" w:type="dxa"/>
            <w:noWrap/>
            <w:vAlign w:val="bottom"/>
          </w:tcPr>
          <w:p w:rsidR="00420B33" w:rsidRPr="00420B33" w:rsidRDefault="00420B33" w:rsidP="00420B33">
            <w:pPr>
              <w:cnfStyle w:val="000000010000" w:firstRow="0" w:lastRow="0" w:firstColumn="0" w:lastColumn="0" w:oddVBand="0" w:evenVBand="0" w:oddHBand="0" w:evenHBand="1" w:firstRowFirstColumn="0" w:firstRowLastColumn="0" w:lastRowFirstColumn="0" w:lastRowLastColumn="0"/>
            </w:pPr>
            <w:r w:rsidRPr="00420B33">
              <w:t>1.4</w:t>
            </w:r>
          </w:p>
        </w:tc>
        <w:tc>
          <w:tcPr>
            <w:tcW w:w="898" w:type="dxa"/>
            <w:noWrap/>
            <w:vAlign w:val="bottom"/>
          </w:tcPr>
          <w:p w:rsidR="00420B33" w:rsidRPr="00420B33" w:rsidRDefault="00420B33" w:rsidP="00420B33">
            <w:pPr>
              <w:cnfStyle w:val="000000010000" w:firstRow="0" w:lastRow="0" w:firstColumn="0" w:lastColumn="0" w:oddVBand="0" w:evenVBand="0" w:oddHBand="0" w:evenHBand="1" w:firstRowFirstColumn="0" w:firstRowLastColumn="0" w:lastRowFirstColumn="0" w:lastRowLastColumn="0"/>
            </w:pPr>
            <w:r>
              <w:t>–</w:t>
            </w:r>
            <w:r w:rsidRPr="00420B33">
              <w:t>2.9</w:t>
            </w:r>
          </w:p>
        </w:tc>
        <w:tc>
          <w:tcPr>
            <w:tcW w:w="898" w:type="dxa"/>
            <w:vAlign w:val="bottom"/>
          </w:tcPr>
          <w:p w:rsidR="00420B33" w:rsidRPr="00420B33" w:rsidRDefault="00420B33" w:rsidP="00420B33">
            <w:pPr>
              <w:cnfStyle w:val="000000010000" w:firstRow="0" w:lastRow="0" w:firstColumn="0" w:lastColumn="0" w:oddVBand="0" w:evenVBand="0" w:oddHBand="0" w:evenHBand="1" w:firstRowFirstColumn="0" w:firstRowLastColumn="0" w:lastRowFirstColumn="0" w:lastRowLastColumn="0"/>
            </w:pPr>
            <w:r w:rsidRPr="00420B33">
              <w:t>1.0</w:t>
            </w:r>
          </w:p>
        </w:tc>
        <w:tc>
          <w:tcPr>
            <w:tcW w:w="897" w:type="dxa"/>
            <w:vAlign w:val="bottom"/>
          </w:tcPr>
          <w:p w:rsidR="00420B33" w:rsidRPr="00420B33" w:rsidRDefault="00420B33" w:rsidP="00420B33">
            <w:pPr>
              <w:cnfStyle w:val="000000010000" w:firstRow="0" w:lastRow="0" w:firstColumn="0" w:lastColumn="0" w:oddVBand="0" w:evenVBand="0" w:oddHBand="0" w:evenHBand="1" w:firstRowFirstColumn="0" w:firstRowLastColumn="0" w:lastRowFirstColumn="0" w:lastRowLastColumn="0"/>
            </w:pPr>
            <w:r>
              <w:t>–</w:t>
            </w:r>
            <w:r w:rsidRPr="00420B33">
              <w:t>1.5</w:t>
            </w:r>
          </w:p>
        </w:tc>
        <w:tc>
          <w:tcPr>
            <w:tcW w:w="898" w:type="dxa"/>
            <w:vAlign w:val="bottom"/>
          </w:tcPr>
          <w:p w:rsidR="00420B33" w:rsidRPr="00420B33" w:rsidRDefault="00F216B4" w:rsidP="00420B33">
            <w:pPr>
              <w:cnfStyle w:val="000000010000" w:firstRow="0" w:lastRow="0" w:firstColumn="0" w:lastColumn="0" w:oddVBand="0" w:evenVBand="0" w:oddHBand="0" w:evenHBand="1" w:firstRowFirstColumn="0" w:firstRowLastColumn="0" w:lastRowFirstColumn="0" w:lastRowLastColumn="0"/>
            </w:pPr>
            <w:r>
              <w:t>–</w:t>
            </w:r>
            <w:r w:rsidR="00420B33" w:rsidRPr="00420B33">
              <w:t>0.1</w:t>
            </w:r>
          </w:p>
        </w:tc>
        <w:tc>
          <w:tcPr>
            <w:tcW w:w="898" w:type="dxa"/>
            <w:vAlign w:val="bottom"/>
          </w:tcPr>
          <w:p w:rsidR="00420B33" w:rsidRPr="00420B33" w:rsidRDefault="00F216B4" w:rsidP="00420B33">
            <w:pPr>
              <w:cnfStyle w:val="000000010000" w:firstRow="0" w:lastRow="0" w:firstColumn="0" w:lastColumn="0" w:oddVBand="0" w:evenVBand="0" w:oddHBand="0" w:evenHBand="1" w:firstRowFirstColumn="0" w:firstRowLastColumn="0" w:lastRowFirstColumn="0" w:lastRowLastColumn="0"/>
            </w:pPr>
            <w:r>
              <w:t>–</w:t>
            </w:r>
            <w:r w:rsidR="00420B33" w:rsidRPr="00420B33">
              <w:t>2.2</w:t>
            </w:r>
          </w:p>
        </w:tc>
      </w:tr>
      <w:tr w:rsidR="00420B33" w:rsidRPr="00A75D48" w:rsidTr="00E34748">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420B33" w:rsidRPr="00420B33" w:rsidRDefault="00420B33" w:rsidP="00420B33">
            <w:r w:rsidRPr="00420B33">
              <w:t>Net tax allowance</w:t>
            </w:r>
          </w:p>
        </w:tc>
        <w:tc>
          <w:tcPr>
            <w:tcW w:w="897" w:type="dxa"/>
            <w:noWrap/>
            <w:vAlign w:val="bottom"/>
          </w:tcPr>
          <w:p w:rsidR="00420B33" w:rsidRPr="00420B33" w:rsidRDefault="00420B33" w:rsidP="00420B33">
            <w:pPr>
              <w:cnfStyle w:val="000000000000" w:firstRow="0" w:lastRow="0" w:firstColumn="0" w:lastColumn="0" w:oddVBand="0" w:evenVBand="0" w:oddHBand="0" w:evenHBand="0" w:firstRowFirstColumn="0" w:firstRowLastColumn="0" w:lastRowFirstColumn="0" w:lastRowLastColumn="0"/>
            </w:pPr>
            <w:r w:rsidRPr="00420B33">
              <w:t>20.1</w:t>
            </w:r>
          </w:p>
        </w:tc>
        <w:tc>
          <w:tcPr>
            <w:tcW w:w="898" w:type="dxa"/>
            <w:noWrap/>
            <w:vAlign w:val="bottom"/>
          </w:tcPr>
          <w:p w:rsidR="00420B33" w:rsidRPr="00420B33" w:rsidRDefault="00420B33" w:rsidP="00420B33">
            <w:pPr>
              <w:cnfStyle w:val="000000000000" w:firstRow="0" w:lastRow="0" w:firstColumn="0" w:lastColumn="0" w:oddVBand="0" w:evenVBand="0" w:oddHBand="0" w:evenHBand="0" w:firstRowFirstColumn="0" w:firstRowLastColumn="0" w:lastRowFirstColumn="0" w:lastRowLastColumn="0"/>
            </w:pPr>
            <w:r w:rsidRPr="00420B33">
              <w:t>20.2</w:t>
            </w:r>
          </w:p>
        </w:tc>
        <w:tc>
          <w:tcPr>
            <w:tcW w:w="898" w:type="dxa"/>
            <w:vAlign w:val="bottom"/>
          </w:tcPr>
          <w:p w:rsidR="00420B33" w:rsidRPr="00420B33" w:rsidRDefault="00420B33" w:rsidP="00420B33">
            <w:pPr>
              <w:cnfStyle w:val="000000000000" w:firstRow="0" w:lastRow="0" w:firstColumn="0" w:lastColumn="0" w:oddVBand="0" w:evenVBand="0" w:oddHBand="0" w:evenHBand="0" w:firstRowFirstColumn="0" w:firstRowLastColumn="0" w:lastRowFirstColumn="0" w:lastRowLastColumn="0"/>
            </w:pPr>
            <w:r w:rsidRPr="00420B33">
              <w:t>18.6</w:t>
            </w:r>
          </w:p>
        </w:tc>
        <w:tc>
          <w:tcPr>
            <w:tcW w:w="897" w:type="dxa"/>
            <w:vAlign w:val="bottom"/>
          </w:tcPr>
          <w:p w:rsidR="00420B33" w:rsidRPr="00420B33" w:rsidRDefault="00420B33" w:rsidP="00420B33">
            <w:pPr>
              <w:cnfStyle w:val="000000000000" w:firstRow="0" w:lastRow="0" w:firstColumn="0" w:lastColumn="0" w:oddVBand="0" w:evenVBand="0" w:oddHBand="0" w:evenHBand="0" w:firstRowFirstColumn="0" w:firstRowLastColumn="0" w:lastRowFirstColumn="0" w:lastRowLastColumn="0"/>
            </w:pPr>
            <w:r w:rsidRPr="00420B33">
              <w:t>18.5</w:t>
            </w:r>
          </w:p>
        </w:tc>
        <w:tc>
          <w:tcPr>
            <w:tcW w:w="898" w:type="dxa"/>
            <w:vAlign w:val="bottom"/>
          </w:tcPr>
          <w:p w:rsidR="00420B33" w:rsidRPr="00420B33" w:rsidRDefault="00420B33" w:rsidP="00420B33">
            <w:pPr>
              <w:cnfStyle w:val="000000000000" w:firstRow="0" w:lastRow="0" w:firstColumn="0" w:lastColumn="0" w:oddVBand="0" w:evenVBand="0" w:oddHBand="0" w:evenHBand="0" w:firstRowFirstColumn="0" w:firstRowLastColumn="0" w:lastRowFirstColumn="0" w:lastRowLastColumn="0"/>
            </w:pPr>
            <w:r w:rsidRPr="00420B33">
              <w:t>19.4</w:t>
            </w:r>
          </w:p>
        </w:tc>
        <w:tc>
          <w:tcPr>
            <w:tcW w:w="898" w:type="dxa"/>
            <w:vAlign w:val="bottom"/>
          </w:tcPr>
          <w:p w:rsidR="00420B33" w:rsidRPr="00420B33" w:rsidRDefault="00420B33" w:rsidP="00420B33">
            <w:pPr>
              <w:cnfStyle w:val="000000000000" w:firstRow="0" w:lastRow="0" w:firstColumn="0" w:lastColumn="0" w:oddVBand="0" w:evenVBand="0" w:oddHBand="0" w:evenHBand="0" w:firstRowFirstColumn="0" w:firstRowLastColumn="0" w:lastRowFirstColumn="0" w:lastRowLastColumn="0"/>
            </w:pPr>
            <w:r w:rsidRPr="00420B33">
              <w:t>96.9</w:t>
            </w:r>
          </w:p>
        </w:tc>
      </w:tr>
      <w:tr w:rsidR="00420B33" w:rsidRPr="00A75D48" w:rsidTr="00E34748">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420B33" w:rsidRPr="00420B33" w:rsidRDefault="00420B33" w:rsidP="00420B33">
            <w:r w:rsidRPr="00420B33">
              <w:t>Annual revenue requirement (unsmoothed)</w:t>
            </w:r>
          </w:p>
        </w:tc>
        <w:tc>
          <w:tcPr>
            <w:tcW w:w="897" w:type="dxa"/>
            <w:noWrap/>
            <w:vAlign w:val="bottom"/>
          </w:tcPr>
          <w:p w:rsidR="00420B33" w:rsidRPr="00420B33" w:rsidRDefault="00420B33" w:rsidP="00420B33">
            <w:pPr>
              <w:cnfStyle w:val="000000010000" w:firstRow="0" w:lastRow="0" w:firstColumn="0" w:lastColumn="0" w:oddVBand="0" w:evenVBand="0" w:oddHBand="0" w:evenHBand="1" w:firstRowFirstColumn="0" w:firstRowLastColumn="0" w:lastRowFirstColumn="0" w:lastRowLastColumn="0"/>
            </w:pPr>
            <w:r w:rsidRPr="00420B33">
              <w:t>275.5</w:t>
            </w:r>
          </w:p>
        </w:tc>
        <w:tc>
          <w:tcPr>
            <w:tcW w:w="898" w:type="dxa"/>
            <w:noWrap/>
            <w:vAlign w:val="bottom"/>
          </w:tcPr>
          <w:p w:rsidR="00420B33" w:rsidRPr="00420B33" w:rsidRDefault="00420B33" w:rsidP="00420B33">
            <w:pPr>
              <w:cnfStyle w:val="000000010000" w:firstRow="0" w:lastRow="0" w:firstColumn="0" w:lastColumn="0" w:oddVBand="0" w:evenVBand="0" w:oddHBand="0" w:evenHBand="1" w:firstRowFirstColumn="0" w:firstRowLastColumn="0" w:lastRowFirstColumn="0" w:lastRowLastColumn="0"/>
            </w:pPr>
            <w:r w:rsidRPr="00420B33">
              <w:t>280.7</w:t>
            </w:r>
          </w:p>
        </w:tc>
        <w:tc>
          <w:tcPr>
            <w:tcW w:w="898" w:type="dxa"/>
            <w:vAlign w:val="bottom"/>
          </w:tcPr>
          <w:p w:rsidR="00420B33" w:rsidRPr="00420B33" w:rsidRDefault="00420B33" w:rsidP="00420B33">
            <w:pPr>
              <w:cnfStyle w:val="000000010000" w:firstRow="0" w:lastRow="0" w:firstColumn="0" w:lastColumn="0" w:oddVBand="0" w:evenVBand="0" w:oddHBand="0" w:evenHBand="1" w:firstRowFirstColumn="0" w:firstRowLastColumn="0" w:lastRowFirstColumn="0" w:lastRowLastColumn="0"/>
            </w:pPr>
            <w:r w:rsidRPr="00420B33">
              <w:t>301.3</w:t>
            </w:r>
          </w:p>
        </w:tc>
        <w:tc>
          <w:tcPr>
            <w:tcW w:w="897" w:type="dxa"/>
            <w:vAlign w:val="bottom"/>
          </w:tcPr>
          <w:p w:rsidR="00420B33" w:rsidRPr="00420B33" w:rsidRDefault="00420B33" w:rsidP="00420B33">
            <w:pPr>
              <w:cnfStyle w:val="000000010000" w:firstRow="0" w:lastRow="0" w:firstColumn="0" w:lastColumn="0" w:oddVBand="0" w:evenVBand="0" w:oddHBand="0" w:evenHBand="1" w:firstRowFirstColumn="0" w:firstRowLastColumn="0" w:lastRowFirstColumn="0" w:lastRowLastColumn="0"/>
            </w:pPr>
            <w:r w:rsidRPr="00420B33">
              <w:t>313.8</w:t>
            </w:r>
          </w:p>
        </w:tc>
        <w:tc>
          <w:tcPr>
            <w:tcW w:w="898" w:type="dxa"/>
            <w:vAlign w:val="bottom"/>
          </w:tcPr>
          <w:p w:rsidR="00420B33" w:rsidRPr="00420B33" w:rsidRDefault="00420B33" w:rsidP="00420B33">
            <w:pPr>
              <w:cnfStyle w:val="000000010000" w:firstRow="0" w:lastRow="0" w:firstColumn="0" w:lastColumn="0" w:oddVBand="0" w:evenVBand="0" w:oddHBand="0" w:evenHBand="1" w:firstRowFirstColumn="0" w:firstRowLastColumn="0" w:lastRowFirstColumn="0" w:lastRowLastColumn="0"/>
            </w:pPr>
            <w:r w:rsidRPr="00420B33">
              <w:t>331.6</w:t>
            </w:r>
          </w:p>
        </w:tc>
        <w:tc>
          <w:tcPr>
            <w:tcW w:w="898" w:type="dxa"/>
            <w:vAlign w:val="bottom"/>
          </w:tcPr>
          <w:p w:rsidR="00420B33" w:rsidRPr="00420B33" w:rsidRDefault="00420B33" w:rsidP="00420B33">
            <w:pPr>
              <w:cnfStyle w:val="000000010000" w:firstRow="0" w:lastRow="0" w:firstColumn="0" w:lastColumn="0" w:oddVBand="0" w:evenVBand="0" w:oddHBand="0" w:evenHBand="1" w:firstRowFirstColumn="0" w:firstRowLastColumn="0" w:lastRowFirstColumn="0" w:lastRowLastColumn="0"/>
            </w:pPr>
            <w:r w:rsidRPr="00420B33">
              <w:t>1503.1</w:t>
            </w:r>
          </w:p>
        </w:tc>
      </w:tr>
      <w:tr w:rsidR="00420B33" w:rsidRPr="00494E44" w:rsidTr="00E34748">
        <w:trPr>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420B33" w:rsidRPr="00420B33" w:rsidRDefault="00420B33" w:rsidP="00420B33">
            <w:pPr>
              <w:rPr>
                <w:rStyle w:val="Strong"/>
              </w:rPr>
            </w:pPr>
            <w:r w:rsidRPr="00420B33">
              <w:rPr>
                <w:rStyle w:val="Strong"/>
              </w:rPr>
              <w:t>Annual expected revenue (smoothed)</w:t>
            </w:r>
          </w:p>
        </w:tc>
        <w:tc>
          <w:tcPr>
            <w:tcW w:w="897" w:type="dxa"/>
            <w:noWrap/>
            <w:vAlign w:val="bottom"/>
          </w:tcPr>
          <w:p w:rsidR="00420B33" w:rsidRPr="00494E44" w:rsidRDefault="00420B33" w:rsidP="00420B33">
            <w:pPr>
              <w:cnfStyle w:val="000000000000" w:firstRow="0" w:lastRow="0" w:firstColumn="0" w:lastColumn="0" w:oddVBand="0" w:evenVBand="0" w:oddHBand="0" w:evenHBand="0" w:firstRowFirstColumn="0" w:firstRowLastColumn="0" w:lastRowFirstColumn="0" w:lastRowLastColumn="0"/>
              <w:rPr>
                <w:rStyle w:val="Strong"/>
              </w:rPr>
            </w:pPr>
            <w:r w:rsidRPr="00B576C7">
              <w:rPr>
                <w:rStyle w:val="Strong"/>
              </w:rPr>
              <w:t>282.9</w:t>
            </w:r>
          </w:p>
        </w:tc>
        <w:tc>
          <w:tcPr>
            <w:tcW w:w="898" w:type="dxa"/>
            <w:noWrap/>
            <w:vAlign w:val="bottom"/>
          </w:tcPr>
          <w:p w:rsidR="00420B33" w:rsidRPr="00B576C7" w:rsidRDefault="00420B33" w:rsidP="00420B33">
            <w:pPr>
              <w:cnfStyle w:val="000000000000" w:firstRow="0" w:lastRow="0" w:firstColumn="0" w:lastColumn="0" w:oddVBand="0" w:evenVBand="0" w:oddHBand="0" w:evenHBand="0" w:firstRowFirstColumn="0" w:firstRowLastColumn="0" w:lastRowFirstColumn="0" w:lastRowLastColumn="0"/>
              <w:rPr>
                <w:rStyle w:val="Strong"/>
              </w:rPr>
            </w:pPr>
            <w:r w:rsidRPr="00B576C7">
              <w:rPr>
                <w:rStyle w:val="Strong"/>
              </w:rPr>
              <w:t>289.5</w:t>
            </w:r>
          </w:p>
        </w:tc>
        <w:tc>
          <w:tcPr>
            <w:tcW w:w="898" w:type="dxa"/>
            <w:vAlign w:val="bottom"/>
          </w:tcPr>
          <w:p w:rsidR="00420B33" w:rsidRPr="00B576C7" w:rsidRDefault="00420B33" w:rsidP="00420B33">
            <w:pPr>
              <w:cnfStyle w:val="000000000000" w:firstRow="0" w:lastRow="0" w:firstColumn="0" w:lastColumn="0" w:oddVBand="0" w:evenVBand="0" w:oddHBand="0" w:evenHBand="0" w:firstRowFirstColumn="0" w:firstRowLastColumn="0" w:lastRowFirstColumn="0" w:lastRowLastColumn="0"/>
              <w:rPr>
                <w:rStyle w:val="Strong"/>
              </w:rPr>
            </w:pPr>
            <w:r w:rsidRPr="00B576C7">
              <w:rPr>
                <w:rStyle w:val="Strong"/>
              </w:rPr>
              <w:t>297.4</w:t>
            </w:r>
          </w:p>
        </w:tc>
        <w:tc>
          <w:tcPr>
            <w:tcW w:w="897" w:type="dxa"/>
            <w:vAlign w:val="bottom"/>
          </w:tcPr>
          <w:p w:rsidR="00420B33" w:rsidRPr="00B576C7" w:rsidRDefault="00420B33" w:rsidP="00420B33">
            <w:pPr>
              <w:cnfStyle w:val="000000000000" w:firstRow="0" w:lastRow="0" w:firstColumn="0" w:lastColumn="0" w:oddVBand="0" w:evenVBand="0" w:oddHBand="0" w:evenHBand="0" w:firstRowFirstColumn="0" w:firstRowLastColumn="0" w:lastRowFirstColumn="0" w:lastRowLastColumn="0"/>
              <w:rPr>
                <w:rStyle w:val="Strong"/>
              </w:rPr>
            </w:pPr>
            <w:r w:rsidRPr="00B576C7">
              <w:rPr>
                <w:rStyle w:val="Strong"/>
              </w:rPr>
              <w:t>307.9</w:t>
            </w:r>
          </w:p>
        </w:tc>
        <w:tc>
          <w:tcPr>
            <w:tcW w:w="898" w:type="dxa"/>
            <w:vAlign w:val="bottom"/>
          </w:tcPr>
          <w:p w:rsidR="00420B33" w:rsidRPr="00B576C7" w:rsidRDefault="00420B33" w:rsidP="00420B33">
            <w:pPr>
              <w:cnfStyle w:val="000000000000" w:firstRow="0" w:lastRow="0" w:firstColumn="0" w:lastColumn="0" w:oddVBand="0" w:evenVBand="0" w:oddHBand="0" w:evenHBand="0" w:firstRowFirstColumn="0" w:firstRowLastColumn="0" w:lastRowFirstColumn="0" w:lastRowLastColumn="0"/>
              <w:rPr>
                <w:rStyle w:val="Strong"/>
              </w:rPr>
            </w:pPr>
            <w:r w:rsidRPr="00B576C7">
              <w:rPr>
                <w:rStyle w:val="Strong"/>
              </w:rPr>
              <w:t>322.6</w:t>
            </w:r>
          </w:p>
        </w:tc>
        <w:tc>
          <w:tcPr>
            <w:tcW w:w="898" w:type="dxa"/>
            <w:vAlign w:val="bottom"/>
          </w:tcPr>
          <w:p w:rsidR="00420B33" w:rsidRPr="00B576C7" w:rsidRDefault="00420B33" w:rsidP="00420B33">
            <w:pPr>
              <w:cnfStyle w:val="000000000000" w:firstRow="0" w:lastRow="0" w:firstColumn="0" w:lastColumn="0" w:oddVBand="0" w:evenVBand="0" w:oddHBand="0" w:evenHBand="0" w:firstRowFirstColumn="0" w:firstRowLastColumn="0" w:lastRowFirstColumn="0" w:lastRowLastColumn="0"/>
              <w:rPr>
                <w:rStyle w:val="Strong"/>
              </w:rPr>
            </w:pPr>
            <w:r w:rsidRPr="00B576C7">
              <w:rPr>
                <w:rStyle w:val="Strong"/>
              </w:rPr>
              <w:t>1500.3</w:t>
            </w:r>
          </w:p>
        </w:tc>
      </w:tr>
      <w:tr w:rsidR="00420B33" w:rsidRPr="00A75D48" w:rsidTr="00E34748">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420B33" w:rsidRPr="00420B33" w:rsidRDefault="00420B33" w:rsidP="00420B33">
            <w:r w:rsidRPr="00420B33">
              <w:t>X factor</w:t>
            </w:r>
            <w:r w:rsidRPr="00420B33">
              <w:rPr>
                <w:rStyle w:val="AERsuperscript"/>
              </w:rPr>
              <w:t>b</w:t>
            </w:r>
          </w:p>
        </w:tc>
        <w:tc>
          <w:tcPr>
            <w:tcW w:w="897" w:type="dxa"/>
            <w:noWrap/>
            <w:vAlign w:val="bottom"/>
          </w:tcPr>
          <w:p w:rsidR="00420B33" w:rsidRPr="00420B33" w:rsidRDefault="00420B33" w:rsidP="00420B33">
            <w:pPr>
              <w:cnfStyle w:val="000000010000" w:firstRow="0" w:lastRow="0" w:firstColumn="0" w:lastColumn="0" w:oddVBand="0" w:evenVBand="0" w:oddHBand="0" w:evenHBand="1" w:firstRowFirstColumn="0" w:firstRowLastColumn="0" w:lastRowFirstColumn="0" w:lastRowLastColumn="0"/>
              <w:rPr>
                <w:rStyle w:val="AERsuperscript"/>
              </w:rPr>
            </w:pPr>
            <w:r w:rsidRPr="00420B33">
              <w:t>n/a</w:t>
            </w:r>
            <w:r w:rsidRPr="00420B33">
              <w:rPr>
                <w:rStyle w:val="AERsuperscript"/>
              </w:rPr>
              <w:t>c</w:t>
            </w:r>
          </w:p>
        </w:tc>
        <w:tc>
          <w:tcPr>
            <w:tcW w:w="898" w:type="dxa"/>
            <w:noWrap/>
            <w:vAlign w:val="bottom"/>
          </w:tcPr>
          <w:p w:rsidR="00420B33" w:rsidRPr="00420B33" w:rsidRDefault="00420B33" w:rsidP="00420B33">
            <w:pPr>
              <w:cnfStyle w:val="000000010000" w:firstRow="0" w:lastRow="0" w:firstColumn="0" w:lastColumn="0" w:oddVBand="0" w:evenVBand="0" w:oddHBand="0" w:evenHBand="1" w:firstRowFirstColumn="0" w:firstRowLastColumn="0" w:lastRowFirstColumn="0" w:lastRowLastColumn="0"/>
            </w:pPr>
            <w:r w:rsidRPr="00420B33">
              <w:t>0.00%</w:t>
            </w:r>
          </w:p>
        </w:tc>
        <w:tc>
          <w:tcPr>
            <w:tcW w:w="898" w:type="dxa"/>
            <w:vAlign w:val="bottom"/>
          </w:tcPr>
          <w:p w:rsidR="00420B33" w:rsidRPr="00420B33" w:rsidRDefault="00420B33" w:rsidP="00420B33">
            <w:pPr>
              <w:cnfStyle w:val="000000010000" w:firstRow="0" w:lastRow="0" w:firstColumn="0" w:lastColumn="0" w:oddVBand="0" w:evenVBand="0" w:oddHBand="0" w:evenHBand="1" w:firstRowFirstColumn="0" w:firstRowLastColumn="0" w:lastRowFirstColumn="0" w:lastRowLastColumn="0"/>
            </w:pPr>
            <w:r>
              <w:t>–</w:t>
            </w:r>
            <w:r w:rsidRPr="00420B33">
              <w:t>0.40%</w:t>
            </w:r>
          </w:p>
        </w:tc>
        <w:tc>
          <w:tcPr>
            <w:tcW w:w="897" w:type="dxa"/>
            <w:vAlign w:val="bottom"/>
          </w:tcPr>
          <w:p w:rsidR="00420B33" w:rsidRPr="00420B33" w:rsidRDefault="00420B33" w:rsidP="00420B33">
            <w:pPr>
              <w:cnfStyle w:val="000000010000" w:firstRow="0" w:lastRow="0" w:firstColumn="0" w:lastColumn="0" w:oddVBand="0" w:evenVBand="0" w:oddHBand="0" w:evenHBand="1" w:firstRowFirstColumn="0" w:firstRowLastColumn="0" w:lastRowFirstColumn="0" w:lastRowLastColumn="0"/>
            </w:pPr>
            <w:r>
              <w:t>–</w:t>
            </w:r>
            <w:r w:rsidRPr="00420B33">
              <w:t>1.20%</w:t>
            </w:r>
          </w:p>
        </w:tc>
        <w:tc>
          <w:tcPr>
            <w:tcW w:w="898" w:type="dxa"/>
            <w:vAlign w:val="bottom"/>
          </w:tcPr>
          <w:p w:rsidR="00420B33" w:rsidRPr="00420B33" w:rsidRDefault="00420B33" w:rsidP="00420B33">
            <w:pPr>
              <w:cnfStyle w:val="000000010000" w:firstRow="0" w:lastRow="0" w:firstColumn="0" w:lastColumn="0" w:oddVBand="0" w:evenVBand="0" w:oddHBand="0" w:evenHBand="1" w:firstRowFirstColumn="0" w:firstRowLastColumn="0" w:lastRowFirstColumn="0" w:lastRowLastColumn="0"/>
            </w:pPr>
            <w:r>
              <w:t>–</w:t>
            </w:r>
            <w:r w:rsidRPr="00420B33">
              <w:t>2.40%</w:t>
            </w:r>
          </w:p>
        </w:tc>
        <w:tc>
          <w:tcPr>
            <w:tcW w:w="898" w:type="dxa"/>
            <w:vAlign w:val="bottom"/>
          </w:tcPr>
          <w:p w:rsidR="00420B33" w:rsidRPr="00420B33" w:rsidRDefault="00420B33" w:rsidP="00420B33">
            <w:pPr>
              <w:cnfStyle w:val="000000010000" w:firstRow="0" w:lastRow="0" w:firstColumn="0" w:lastColumn="0" w:oddVBand="0" w:evenVBand="0" w:oddHBand="0" w:evenHBand="1" w:firstRowFirstColumn="0" w:firstRowLastColumn="0" w:lastRowFirstColumn="0" w:lastRowLastColumn="0"/>
            </w:pPr>
            <w:r w:rsidRPr="00420B33">
              <w:t>n/a</w:t>
            </w:r>
          </w:p>
        </w:tc>
      </w:tr>
      <w:tr w:rsidR="00420B33" w:rsidRPr="00A75D48" w:rsidTr="00E34748">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420B33" w:rsidRPr="00420B33" w:rsidRDefault="00420B33" w:rsidP="00420B33">
            <w:r w:rsidRPr="00420B33">
              <w:t>Annual change in revenue (smoothed)</w:t>
            </w:r>
          </w:p>
        </w:tc>
        <w:tc>
          <w:tcPr>
            <w:tcW w:w="897" w:type="dxa"/>
            <w:noWrap/>
            <w:vAlign w:val="bottom"/>
          </w:tcPr>
          <w:p w:rsidR="00420B33" w:rsidRPr="00420B33" w:rsidRDefault="00420B33" w:rsidP="00420B33">
            <w:pPr>
              <w:cnfStyle w:val="000000000000" w:firstRow="0" w:lastRow="0" w:firstColumn="0" w:lastColumn="0" w:oddVBand="0" w:evenVBand="0" w:oddHBand="0" w:evenHBand="0" w:firstRowFirstColumn="0" w:firstRowLastColumn="0" w:lastRowFirstColumn="0" w:lastRowLastColumn="0"/>
            </w:pPr>
            <w:r w:rsidRPr="00420B33">
              <w:t>n/a</w:t>
            </w:r>
          </w:p>
        </w:tc>
        <w:tc>
          <w:tcPr>
            <w:tcW w:w="898" w:type="dxa"/>
            <w:noWrap/>
            <w:vAlign w:val="bottom"/>
          </w:tcPr>
          <w:p w:rsidR="00420B33" w:rsidRPr="00420B33" w:rsidRDefault="00420B33" w:rsidP="00420B33">
            <w:pPr>
              <w:cnfStyle w:val="000000000000" w:firstRow="0" w:lastRow="0" w:firstColumn="0" w:lastColumn="0" w:oddVBand="0" w:evenVBand="0" w:oddHBand="0" w:evenHBand="0" w:firstRowFirstColumn="0" w:firstRowLastColumn="0" w:lastRowFirstColumn="0" w:lastRowLastColumn="0"/>
            </w:pPr>
            <w:r w:rsidRPr="00420B33">
              <w:t>2.3%</w:t>
            </w:r>
          </w:p>
        </w:tc>
        <w:tc>
          <w:tcPr>
            <w:tcW w:w="898" w:type="dxa"/>
            <w:vAlign w:val="bottom"/>
          </w:tcPr>
          <w:p w:rsidR="00420B33" w:rsidRPr="00420B33" w:rsidRDefault="00420B33" w:rsidP="00420B33">
            <w:pPr>
              <w:cnfStyle w:val="000000000000" w:firstRow="0" w:lastRow="0" w:firstColumn="0" w:lastColumn="0" w:oddVBand="0" w:evenVBand="0" w:oddHBand="0" w:evenHBand="0" w:firstRowFirstColumn="0" w:firstRowLastColumn="0" w:lastRowFirstColumn="0" w:lastRowLastColumn="0"/>
            </w:pPr>
            <w:r w:rsidRPr="00420B33">
              <w:t>2.7%</w:t>
            </w:r>
          </w:p>
        </w:tc>
        <w:tc>
          <w:tcPr>
            <w:tcW w:w="897" w:type="dxa"/>
            <w:vAlign w:val="bottom"/>
          </w:tcPr>
          <w:p w:rsidR="00420B33" w:rsidRPr="00420B33" w:rsidRDefault="00420B33" w:rsidP="00420B33">
            <w:pPr>
              <w:cnfStyle w:val="000000000000" w:firstRow="0" w:lastRow="0" w:firstColumn="0" w:lastColumn="0" w:oddVBand="0" w:evenVBand="0" w:oddHBand="0" w:evenHBand="0" w:firstRowFirstColumn="0" w:firstRowLastColumn="0" w:lastRowFirstColumn="0" w:lastRowLastColumn="0"/>
            </w:pPr>
            <w:r w:rsidRPr="00420B33">
              <w:t>3.6%</w:t>
            </w:r>
          </w:p>
        </w:tc>
        <w:tc>
          <w:tcPr>
            <w:tcW w:w="898" w:type="dxa"/>
            <w:vAlign w:val="bottom"/>
          </w:tcPr>
          <w:p w:rsidR="00420B33" w:rsidRPr="00420B33" w:rsidRDefault="00420B33" w:rsidP="00420B33">
            <w:pPr>
              <w:cnfStyle w:val="000000000000" w:firstRow="0" w:lastRow="0" w:firstColumn="0" w:lastColumn="0" w:oddVBand="0" w:evenVBand="0" w:oddHBand="0" w:evenHBand="0" w:firstRowFirstColumn="0" w:firstRowLastColumn="0" w:lastRowFirstColumn="0" w:lastRowLastColumn="0"/>
            </w:pPr>
            <w:r w:rsidRPr="00420B33">
              <w:t>4.8%</w:t>
            </w:r>
          </w:p>
        </w:tc>
        <w:tc>
          <w:tcPr>
            <w:tcW w:w="898" w:type="dxa"/>
            <w:vAlign w:val="bottom"/>
          </w:tcPr>
          <w:p w:rsidR="00420B33" w:rsidRPr="00420B33" w:rsidRDefault="00420B33" w:rsidP="00420B33">
            <w:pPr>
              <w:cnfStyle w:val="000000000000" w:firstRow="0" w:lastRow="0" w:firstColumn="0" w:lastColumn="0" w:oddVBand="0" w:evenVBand="0" w:oddHBand="0" w:evenHBand="0" w:firstRowFirstColumn="0" w:firstRowLastColumn="0" w:lastRowFirstColumn="0" w:lastRowLastColumn="0"/>
            </w:pPr>
            <w:r w:rsidRPr="00420B33">
              <w:t>n/a</w:t>
            </w:r>
          </w:p>
        </w:tc>
      </w:tr>
    </w:tbl>
    <w:p w:rsidR="00C76C05" w:rsidRPr="00F87D06" w:rsidRDefault="00C76C05" w:rsidP="00C76C05">
      <w:pPr>
        <w:pStyle w:val="AERtablesource"/>
      </w:pPr>
      <w:r w:rsidRPr="00F87D06">
        <w:t xml:space="preserve">Source: </w:t>
      </w:r>
      <w:r w:rsidRPr="00F87D06">
        <w:tab/>
        <w:t xml:space="preserve">AER analysis. </w:t>
      </w:r>
    </w:p>
    <w:p w:rsidR="00C76C05" w:rsidRPr="00F87D06" w:rsidRDefault="00C76C05" w:rsidP="00C76C05">
      <w:pPr>
        <w:pStyle w:val="AERtablesource"/>
      </w:pPr>
      <w:r w:rsidRPr="00F87D06">
        <w:t>(a)</w:t>
      </w:r>
      <w:r w:rsidRPr="00F87D06">
        <w:tab/>
        <w:t xml:space="preserve">Revenue adjustments include efficiency benefit sharing scheme carry-overs, forecast DMIA, </w:t>
      </w:r>
      <w:r>
        <w:t xml:space="preserve">2010 </w:t>
      </w:r>
      <w:r w:rsidRPr="00F87D06">
        <w:t>S-factor scheme close out and shared asset adjustments.</w:t>
      </w:r>
    </w:p>
    <w:p w:rsidR="00C76C05" w:rsidRPr="00F87D06" w:rsidRDefault="00C76C05" w:rsidP="00C76C05">
      <w:pPr>
        <w:pStyle w:val="AERtablesource"/>
      </w:pPr>
      <w:r w:rsidRPr="00F87D06">
        <w:t>(b)</w:t>
      </w:r>
      <w:r w:rsidRPr="00F87D06">
        <w:tab/>
        <w:t>The X factors from 2017 to 2020 will be revised to reflect the annual return on debt update. Under the CPI–X framework, the X factor measures the real rate of change in annual expected revenue from one year to the next. A negative X factor represents a real increase in revenue. Conversely, a positive X factor represents a real decrease in revenue.</w:t>
      </w:r>
    </w:p>
    <w:p w:rsidR="00C76C05" w:rsidRPr="00F87D06" w:rsidRDefault="00C76C05" w:rsidP="00C76C05">
      <w:pPr>
        <w:pStyle w:val="AERtablesource"/>
      </w:pPr>
      <w:r w:rsidRPr="00F87D06">
        <w:t>(c)</w:t>
      </w:r>
      <w:r w:rsidRPr="00F87D06">
        <w:tab/>
        <w:t xml:space="preserve">In our preliminary decision, we determined the expected revenue and associated X factor for 2016. In this final decision to update the 2016 revenue for our assessment of efficient costs, we maintained the preliminary decision expected revenue and determined X factors for the final four years of the 2016–20 regulatory control period. This is to adjust the total expected revenue requirement for the remaining four years in the 2016–20 regulatory control period for the difference between the preliminary decision revenue and our final decision on efficient costs for 2016. </w:t>
      </w:r>
      <w:r w:rsidR="00172090" w:rsidRPr="001206E7">
        <w:t xml:space="preserve">Expected revenue in 2016 is around </w:t>
      </w:r>
      <w:r w:rsidR="00172090">
        <w:t>6.6</w:t>
      </w:r>
      <w:r w:rsidR="00172090" w:rsidRPr="001206E7">
        <w:t xml:space="preserve"> per cent lower than approved revenue in 2015 in real terms, or </w:t>
      </w:r>
      <w:r w:rsidR="00172090">
        <w:t>4.4</w:t>
      </w:r>
      <w:r w:rsidR="00172090" w:rsidRPr="001206E7">
        <w:t xml:space="preserve"> per cent lower in nominal terms.</w:t>
      </w:r>
    </w:p>
    <w:p w:rsidR="00132D43" w:rsidRDefault="0073430A" w:rsidP="00132D43">
      <w:pPr>
        <w:pStyle w:val="Heading2"/>
      </w:pPr>
      <w:bookmarkStart w:id="75" w:name="_Toc451356619"/>
      <w:r>
        <w:t>CitiPower's</w:t>
      </w:r>
      <w:r w:rsidR="00132D43">
        <w:t xml:space="preserve"> </w:t>
      </w:r>
      <w:r w:rsidR="000F0F0A">
        <w:t xml:space="preserve">revised </w:t>
      </w:r>
      <w:r w:rsidR="00132D43">
        <w:t>proposal</w:t>
      </w:r>
      <w:bookmarkEnd w:id="75"/>
    </w:p>
    <w:p w:rsidR="00C76C05" w:rsidRDefault="00C76C05" w:rsidP="00C76C05">
      <w:r>
        <w:t>CitiPower's revised proposal included a total expected revenue of $</w:t>
      </w:r>
      <w:r w:rsidR="00517DFB">
        <w:t>1847.8</w:t>
      </w:r>
      <w:r>
        <w:t> million ($ nominal) for the 2016–20 regulatory control period.</w:t>
      </w:r>
    </w:p>
    <w:p w:rsidR="00C76C05" w:rsidRDefault="00C76C05" w:rsidP="00C76C05">
      <w:r>
        <w:fldChar w:fldCharType="begin"/>
      </w:r>
      <w:r>
        <w:instrText xml:space="preserve"> REF _Ref445106524 \h </w:instrText>
      </w:r>
      <w:r>
        <w:fldChar w:fldCharType="separate"/>
      </w:r>
      <w:r w:rsidR="00473EE0">
        <w:t xml:space="preserve">Table </w:t>
      </w:r>
      <w:r w:rsidR="00473EE0">
        <w:rPr>
          <w:noProof/>
        </w:rPr>
        <w:t>1</w:t>
      </w:r>
      <w:r w:rsidR="00473EE0">
        <w:t>.</w:t>
      </w:r>
      <w:r w:rsidR="00473EE0">
        <w:rPr>
          <w:noProof/>
        </w:rPr>
        <w:t>2</w:t>
      </w:r>
      <w:r>
        <w:fldChar w:fldCharType="end"/>
      </w:r>
      <w:r>
        <w:t xml:space="preserve"> shows CitiPower's revised proposed building block costs, the ARR, expected revenue and X factor for each year of the 2016–20 regulatory control period.</w:t>
      </w:r>
    </w:p>
    <w:p w:rsidR="00D142DD" w:rsidRDefault="00D142DD">
      <w:pPr>
        <w:spacing w:line="240" w:lineRule="auto"/>
      </w:pPr>
      <w:r>
        <w:br w:type="page"/>
      </w:r>
    </w:p>
    <w:p w:rsidR="00C76C05" w:rsidRDefault="00C76C05" w:rsidP="00C76C05">
      <w:pPr>
        <w:pStyle w:val="Caption"/>
      </w:pPr>
      <w:bookmarkStart w:id="76" w:name="_Ref445106524"/>
      <w:r>
        <w:lastRenderedPageBreak/>
        <w:t xml:space="preserve">Table </w:t>
      </w:r>
      <w:r w:rsidRPr="00C76C05">
        <w:fldChar w:fldCharType="begin"/>
      </w:r>
      <w:r>
        <w:instrText xml:space="preserve"> STYLEREF 1 \s </w:instrText>
      </w:r>
      <w:r w:rsidRPr="00C76C05">
        <w:fldChar w:fldCharType="separate"/>
      </w:r>
      <w:r w:rsidR="00473EE0">
        <w:rPr>
          <w:noProof/>
        </w:rPr>
        <w:t>1</w:t>
      </w:r>
      <w:r w:rsidRPr="00C76C05">
        <w:fldChar w:fldCharType="end"/>
      </w:r>
      <w:r>
        <w:t>.</w:t>
      </w:r>
      <w:fldSimple w:instr=" SEQ Table \* ARABIC \s 1 ">
        <w:r w:rsidR="00473EE0">
          <w:rPr>
            <w:noProof/>
          </w:rPr>
          <w:t>2</w:t>
        </w:r>
      </w:fldSimple>
      <w:bookmarkEnd w:id="76"/>
      <w:r>
        <w:tab/>
        <w:t>CitiPower's</w:t>
      </w:r>
      <w:r w:rsidRPr="00EE7AFE">
        <w:t xml:space="preserve"> revised proposed revenues for the </w:t>
      </w:r>
      <w:r>
        <w:t>2016</w:t>
      </w:r>
      <w:r w:rsidRPr="00EE7AFE">
        <w:t>–20 regulatory control period ($million, nominal)</w:t>
      </w:r>
    </w:p>
    <w:tbl>
      <w:tblPr>
        <w:tblStyle w:val="AERtable-numbers"/>
        <w:tblW w:w="8755" w:type="dxa"/>
        <w:tblLayout w:type="fixed"/>
        <w:tblLook w:val="04A0" w:firstRow="1" w:lastRow="0" w:firstColumn="1" w:lastColumn="0" w:noHBand="0" w:noVBand="1"/>
      </w:tblPr>
      <w:tblGrid>
        <w:gridCol w:w="3369"/>
        <w:gridCol w:w="897"/>
        <w:gridCol w:w="898"/>
        <w:gridCol w:w="898"/>
        <w:gridCol w:w="897"/>
        <w:gridCol w:w="898"/>
        <w:gridCol w:w="898"/>
      </w:tblGrid>
      <w:tr w:rsidR="00C76C05" w:rsidRPr="00A75D48" w:rsidTr="00E34748">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C76C05" w:rsidRPr="00C76C05" w:rsidRDefault="00C76C05" w:rsidP="00C76C05">
            <w:r w:rsidRPr="00A75D48">
              <w:t> </w:t>
            </w:r>
          </w:p>
        </w:tc>
        <w:tc>
          <w:tcPr>
            <w:tcW w:w="897" w:type="dxa"/>
            <w:noWrap/>
            <w:hideMark/>
          </w:tcPr>
          <w:p w:rsidR="00C76C05" w:rsidRPr="00C76C05" w:rsidRDefault="00C76C05" w:rsidP="00C76C05">
            <w:pPr>
              <w:cnfStyle w:val="100000000000" w:firstRow="1" w:lastRow="0" w:firstColumn="0" w:lastColumn="0" w:oddVBand="0" w:evenVBand="0" w:oddHBand="0" w:evenHBand="0" w:firstRowFirstColumn="0" w:firstRowLastColumn="0" w:lastRowFirstColumn="0" w:lastRowLastColumn="0"/>
            </w:pPr>
            <w:r>
              <w:t>20</w:t>
            </w:r>
            <w:r w:rsidRPr="00C76C05">
              <w:t>16</w:t>
            </w:r>
          </w:p>
        </w:tc>
        <w:tc>
          <w:tcPr>
            <w:tcW w:w="898" w:type="dxa"/>
            <w:noWrap/>
            <w:hideMark/>
          </w:tcPr>
          <w:p w:rsidR="00C76C05" w:rsidRPr="00C76C05" w:rsidRDefault="00C76C05" w:rsidP="00C76C05">
            <w:pPr>
              <w:cnfStyle w:val="100000000000" w:firstRow="1" w:lastRow="0" w:firstColumn="0" w:lastColumn="0" w:oddVBand="0" w:evenVBand="0" w:oddHBand="0" w:evenHBand="0" w:firstRowFirstColumn="0" w:firstRowLastColumn="0" w:lastRowFirstColumn="0" w:lastRowLastColumn="0"/>
            </w:pPr>
            <w:r>
              <w:t>2</w:t>
            </w:r>
            <w:r w:rsidRPr="00C76C05">
              <w:t>017</w:t>
            </w:r>
          </w:p>
        </w:tc>
        <w:tc>
          <w:tcPr>
            <w:tcW w:w="898" w:type="dxa"/>
          </w:tcPr>
          <w:p w:rsidR="00C76C05" w:rsidRPr="00C76C05" w:rsidRDefault="00C76C05" w:rsidP="00C76C05">
            <w:pPr>
              <w:cnfStyle w:val="100000000000" w:firstRow="1" w:lastRow="0" w:firstColumn="0" w:lastColumn="0" w:oddVBand="0" w:evenVBand="0" w:oddHBand="0" w:evenHBand="0" w:firstRowFirstColumn="0" w:firstRowLastColumn="0" w:lastRowFirstColumn="0" w:lastRowLastColumn="0"/>
            </w:pPr>
            <w:r>
              <w:t>2</w:t>
            </w:r>
            <w:r w:rsidRPr="00C76C05">
              <w:t>018</w:t>
            </w:r>
          </w:p>
        </w:tc>
        <w:tc>
          <w:tcPr>
            <w:tcW w:w="897" w:type="dxa"/>
          </w:tcPr>
          <w:p w:rsidR="00C76C05" w:rsidRPr="00C76C05" w:rsidRDefault="00C76C05" w:rsidP="00C76C05">
            <w:pPr>
              <w:cnfStyle w:val="100000000000" w:firstRow="1" w:lastRow="0" w:firstColumn="0" w:lastColumn="0" w:oddVBand="0" w:evenVBand="0" w:oddHBand="0" w:evenHBand="0" w:firstRowFirstColumn="0" w:firstRowLastColumn="0" w:lastRowFirstColumn="0" w:lastRowLastColumn="0"/>
            </w:pPr>
            <w:r>
              <w:t>2</w:t>
            </w:r>
            <w:r w:rsidRPr="00C76C05">
              <w:t>019</w:t>
            </w:r>
          </w:p>
        </w:tc>
        <w:tc>
          <w:tcPr>
            <w:tcW w:w="898" w:type="dxa"/>
          </w:tcPr>
          <w:p w:rsidR="00C76C05" w:rsidRPr="00C76C05" w:rsidRDefault="00C76C05" w:rsidP="00C76C05">
            <w:pPr>
              <w:cnfStyle w:val="100000000000" w:firstRow="1" w:lastRow="0" w:firstColumn="0" w:lastColumn="0" w:oddVBand="0" w:evenVBand="0" w:oddHBand="0" w:evenHBand="0" w:firstRowFirstColumn="0" w:firstRowLastColumn="0" w:lastRowFirstColumn="0" w:lastRowLastColumn="0"/>
            </w:pPr>
            <w:r>
              <w:t>2</w:t>
            </w:r>
            <w:r w:rsidRPr="00C76C05">
              <w:t>020</w:t>
            </w:r>
          </w:p>
        </w:tc>
        <w:tc>
          <w:tcPr>
            <w:tcW w:w="898" w:type="dxa"/>
          </w:tcPr>
          <w:p w:rsidR="00C76C05" w:rsidRPr="00C76C05" w:rsidRDefault="00C76C05" w:rsidP="00C76C05">
            <w:pPr>
              <w:cnfStyle w:val="100000000000" w:firstRow="1" w:lastRow="0" w:firstColumn="0" w:lastColumn="0" w:oddVBand="0" w:evenVBand="0" w:oddHBand="0" w:evenHBand="0" w:firstRowFirstColumn="0" w:firstRowLastColumn="0" w:lastRowFirstColumn="0" w:lastRowLastColumn="0"/>
            </w:pPr>
            <w:r w:rsidRPr="00A75D48">
              <w:t>Total</w:t>
            </w:r>
          </w:p>
        </w:tc>
      </w:tr>
      <w:tr w:rsidR="00517DFB" w:rsidRPr="00A75D48" w:rsidTr="00E34748">
        <w:trPr>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517DFB" w:rsidRPr="00517DFB" w:rsidRDefault="00517DFB" w:rsidP="00517DFB">
            <w:r w:rsidRPr="00517DFB">
              <w:t>Return on capital</w:t>
            </w:r>
          </w:p>
        </w:tc>
        <w:tc>
          <w:tcPr>
            <w:tcW w:w="897" w:type="dxa"/>
            <w:noWrap/>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pPr>
            <w:r w:rsidRPr="00517DFB">
              <w:t>155.3</w:t>
            </w:r>
          </w:p>
        </w:tc>
        <w:tc>
          <w:tcPr>
            <w:tcW w:w="898" w:type="dxa"/>
            <w:noWrap/>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pPr>
            <w:r w:rsidRPr="00517DFB">
              <w:t>163.9</w:t>
            </w:r>
          </w:p>
        </w:tc>
        <w:tc>
          <w:tcPr>
            <w:tcW w:w="898" w:type="dxa"/>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pPr>
            <w:r w:rsidRPr="00517DFB">
              <w:t>174.4</w:t>
            </w:r>
          </w:p>
        </w:tc>
        <w:tc>
          <w:tcPr>
            <w:tcW w:w="897" w:type="dxa"/>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pPr>
            <w:r w:rsidRPr="00517DFB">
              <w:t>179.8</w:t>
            </w:r>
          </w:p>
        </w:tc>
        <w:tc>
          <w:tcPr>
            <w:tcW w:w="898" w:type="dxa"/>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pPr>
            <w:r w:rsidRPr="00517DFB">
              <w:t>182.2</w:t>
            </w:r>
          </w:p>
        </w:tc>
        <w:tc>
          <w:tcPr>
            <w:tcW w:w="898" w:type="dxa"/>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pPr>
            <w:r w:rsidRPr="00517DFB">
              <w:t>855.5</w:t>
            </w:r>
          </w:p>
        </w:tc>
      </w:tr>
      <w:tr w:rsidR="00517DFB" w:rsidRPr="00A75D48" w:rsidTr="00E34748">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517DFB" w:rsidRPr="00517DFB" w:rsidRDefault="00517DFB" w:rsidP="00517DFB">
            <w:r w:rsidRPr="00517DFB">
              <w:t>Regulatory depreciation</w:t>
            </w:r>
            <w:r w:rsidRPr="00517DFB">
              <w:rPr>
                <w:rStyle w:val="AERsuperscript"/>
              </w:rPr>
              <w:t>a</w:t>
            </w:r>
          </w:p>
        </w:tc>
        <w:tc>
          <w:tcPr>
            <w:tcW w:w="897" w:type="dxa"/>
            <w:noWrap/>
            <w:vAlign w:val="bottom"/>
          </w:tcPr>
          <w:p w:rsidR="00517DFB" w:rsidRPr="00517DFB" w:rsidRDefault="00517DFB" w:rsidP="00517DFB">
            <w:pPr>
              <w:cnfStyle w:val="000000010000" w:firstRow="0" w:lastRow="0" w:firstColumn="0" w:lastColumn="0" w:oddVBand="0" w:evenVBand="0" w:oddHBand="0" w:evenHBand="1" w:firstRowFirstColumn="0" w:firstRowLastColumn="0" w:lastRowFirstColumn="0" w:lastRowLastColumn="0"/>
            </w:pPr>
            <w:r w:rsidRPr="00517DFB">
              <w:t>58.2</w:t>
            </w:r>
          </w:p>
        </w:tc>
        <w:tc>
          <w:tcPr>
            <w:tcW w:w="898" w:type="dxa"/>
            <w:noWrap/>
            <w:vAlign w:val="bottom"/>
          </w:tcPr>
          <w:p w:rsidR="00517DFB" w:rsidRPr="00517DFB" w:rsidRDefault="00517DFB" w:rsidP="00517DFB">
            <w:pPr>
              <w:cnfStyle w:val="000000010000" w:firstRow="0" w:lastRow="0" w:firstColumn="0" w:lastColumn="0" w:oddVBand="0" w:evenVBand="0" w:oddHBand="0" w:evenHBand="1" w:firstRowFirstColumn="0" w:firstRowLastColumn="0" w:lastRowFirstColumn="0" w:lastRowLastColumn="0"/>
            </w:pPr>
            <w:r w:rsidRPr="00517DFB">
              <w:t>58.0</w:t>
            </w:r>
          </w:p>
        </w:tc>
        <w:tc>
          <w:tcPr>
            <w:tcW w:w="898" w:type="dxa"/>
            <w:vAlign w:val="bottom"/>
          </w:tcPr>
          <w:p w:rsidR="00517DFB" w:rsidRPr="00517DFB" w:rsidRDefault="00517DFB" w:rsidP="00517DFB">
            <w:pPr>
              <w:cnfStyle w:val="000000010000" w:firstRow="0" w:lastRow="0" w:firstColumn="0" w:lastColumn="0" w:oddVBand="0" w:evenVBand="0" w:oddHBand="0" w:evenHBand="1" w:firstRowFirstColumn="0" w:firstRowLastColumn="0" w:lastRowFirstColumn="0" w:lastRowLastColumn="0"/>
            </w:pPr>
            <w:r w:rsidRPr="00517DFB">
              <w:t>62.7</w:t>
            </w:r>
          </w:p>
        </w:tc>
        <w:tc>
          <w:tcPr>
            <w:tcW w:w="897" w:type="dxa"/>
            <w:vAlign w:val="bottom"/>
          </w:tcPr>
          <w:p w:rsidR="00517DFB" w:rsidRPr="00517DFB" w:rsidRDefault="00517DFB" w:rsidP="00517DFB">
            <w:pPr>
              <w:cnfStyle w:val="000000010000" w:firstRow="0" w:lastRow="0" w:firstColumn="0" w:lastColumn="0" w:oddVBand="0" w:evenVBand="0" w:oddHBand="0" w:evenHBand="1" w:firstRowFirstColumn="0" w:firstRowLastColumn="0" w:lastRowFirstColumn="0" w:lastRowLastColumn="0"/>
            </w:pPr>
            <w:r w:rsidRPr="00517DFB">
              <w:t>67.0</w:t>
            </w:r>
          </w:p>
        </w:tc>
        <w:tc>
          <w:tcPr>
            <w:tcW w:w="898" w:type="dxa"/>
            <w:vAlign w:val="bottom"/>
          </w:tcPr>
          <w:p w:rsidR="00517DFB" w:rsidRPr="00517DFB" w:rsidRDefault="00517DFB" w:rsidP="00517DFB">
            <w:pPr>
              <w:cnfStyle w:val="000000010000" w:firstRow="0" w:lastRow="0" w:firstColumn="0" w:lastColumn="0" w:oddVBand="0" w:evenVBand="0" w:oddHBand="0" w:evenHBand="1" w:firstRowFirstColumn="0" w:firstRowLastColumn="0" w:lastRowFirstColumn="0" w:lastRowLastColumn="0"/>
            </w:pPr>
            <w:r w:rsidRPr="00517DFB">
              <w:t>73.0</w:t>
            </w:r>
          </w:p>
        </w:tc>
        <w:tc>
          <w:tcPr>
            <w:tcW w:w="898" w:type="dxa"/>
            <w:vAlign w:val="bottom"/>
          </w:tcPr>
          <w:p w:rsidR="00517DFB" w:rsidRPr="00517DFB" w:rsidRDefault="00517DFB" w:rsidP="00517DFB">
            <w:pPr>
              <w:cnfStyle w:val="000000010000" w:firstRow="0" w:lastRow="0" w:firstColumn="0" w:lastColumn="0" w:oddVBand="0" w:evenVBand="0" w:oddHBand="0" w:evenHBand="1" w:firstRowFirstColumn="0" w:firstRowLastColumn="0" w:lastRowFirstColumn="0" w:lastRowLastColumn="0"/>
            </w:pPr>
            <w:r w:rsidRPr="00517DFB">
              <w:t>318.9</w:t>
            </w:r>
          </w:p>
        </w:tc>
      </w:tr>
      <w:tr w:rsidR="00517DFB" w:rsidRPr="00A75D48" w:rsidTr="00E34748">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517DFB" w:rsidRPr="00517DFB" w:rsidRDefault="00517DFB" w:rsidP="00517DFB">
            <w:r w:rsidRPr="00517DFB">
              <w:t>Operating expenditure</w:t>
            </w:r>
          </w:p>
        </w:tc>
        <w:tc>
          <w:tcPr>
            <w:tcW w:w="897" w:type="dxa"/>
            <w:noWrap/>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pPr>
            <w:r w:rsidRPr="00517DFB">
              <w:t>90.1</w:t>
            </w:r>
          </w:p>
        </w:tc>
        <w:tc>
          <w:tcPr>
            <w:tcW w:w="898" w:type="dxa"/>
            <w:noWrap/>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pPr>
            <w:r w:rsidRPr="00517DFB">
              <w:t>93.4</w:t>
            </w:r>
          </w:p>
        </w:tc>
        <w:tc>
          <w:tcPr>
            <w:tcW w:w="898" w:type="dxa"/>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pPr>
            <w:r w:rsidRPr="00517DFB">
              <w:t>103.0</w:t>
            </w:r>
          </w:p>
        </w:tc>
        <w:tc>
          <w:tcPr>
            <w:tcW w:w="897" w:type="dxa"/>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pPr>
            <w:r w:rsidRPr="00517DFB">
              <w:t>107.7</w:t>
            </w:r>
          </w:p>
        </w:tc>
        <w:tc>
          <w:tcPr>
            <w:tcW w:w="898" w:type="dxa"/>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pPr>
            <w:r w:rsidRPr="00517DFB">
              <w:t>110.2</w:t>
            </w:r>
          </w:p>
        </w:tc>
        <w:tc>
          <w:tcPr>
            <w:tcW w:w="898" w:type="dxa"/>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pPr>
            <w:r w:rsidRPr="00517DFB">
              <w:t>504.3</w:t>
            </w:r>
          </w:p>
        </w:tc>
      </w:tr>
      <w:tr w:rsidR="00517DFB" w:rsidRPr="00A75D48" w:rsidTr="00E34748">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517DFB" w:rsidRPr="00517DFB" w:rsidRDefault="00517DFB" w:rsidP="00517DFB">
            <w:r w:rsidRPr="00517DFB">
              <w:t>Revenue adjustments</w:t>
            </w:r>
            <w:r w:rsidRPr="00517DFB">
              <w:rPr>
                <w:rStyle w:val="AERsuperscript"/>
              </w:rPr>
              <w:t>b</w:t>
            </w:r>
          </w:p>
        </w:tc>
        <w:tc>
          <w:tcPr>
            <w:tcW w:w="897" w:type="dxa"/>
            <w:noWrap/>
            <w:vAlign w:val="bottom"/>
          </w:tcPr>
          <w:p w:rsidR="00517DFB" w:rsidRPr="00517DFB" w:rsidRDefault="00517DFB" w:rsidP="00517DFB">
            <w:pPr>
              <w:cnfStyle w:val="000000010000" w:firstRow="0" w:lastRow="0" w:firstColumn="0" w:lastColumn="0" w:oddVBand="0" w:evenVBand="0" w:oddHBand="0" w:evenHBand="1" w:firstRowFirstColumn="0" w:firstRowLastColumn="0" w:lastRowFirstColumn="0" w:lastRowLastColumn="0"/>
            </w:pPr>
            <w:r w:rsidRPr="00517DFB">
              <w:t>1.4</w:t>
            </w:r>
          </w:p>
        </w:tc>
        <w:tc>
          <w:tcPr>
            <w:tcW w:w="898" w:type="dxa"/>
            <w:noWrap/>
            <w:vAlign w:val="bottom"/>
          </w:tcPr>
          <w:p w:rsidR="00517DFB" w:rsidRPr="00517DFB" w:rsidRDefault="00EB607B" w:rsidP="00517DFB">
            <w:pPr>
              <w:cnfStyle w:val="000000010000" w:firstRow="0" w:lastRow="0" w:firstColumn="0" w:lastColumn="0" w:oddVBand="0" w:evenVBand="0" w:oddHBand="0" w:evenHBand="1" w:firstRowFirstColumn="0" w:firstRowLastColumn="0" w:lastRowFirstColumn="0" w:lastRowLastColumn="0"/>
            </w:pPr>
            <w:r>
              <w:t>–</w:t>
            </w:r>
            <w:r w:rsidR="00517DFB" w:rsidRPr="00517DFB">
              <w:t>2.6</w:t>
            </w:r>
          </w:p>
        </w:tc>
        <w:tc>
          <w:tcPr>
            <w:tcW w:w="898" w:type="dxa"/>
            <w:vAlign w:val="bottom"/>
          </w:tcPr>
          <w:p w:rsidR="00517DFB" w:rsidRPr="00517DFB" w:rsidRDefault="00517DFB" w:rsidP="00517DFB">
            <w:pPr>
              <w:cnfStyle w:val="000000010000" w:firstRow="0" w:lastRow="0" w:firstColumn="0" w:lastColumn="0" w:oddVBand="0" w:evenVBand="0" w:oddHBand="0" w:evenHBand="1" w:firstRowFirstColumn="0" w:firstRowLastColumn="0" w:lastRowFirstColumn="0" w:lastRowLastColumn="0"/>
            </w:pPr>
            <w:r w:rsidRPr="00517DFB">
              <w:t>1.3</w:t>
            </w:r>
          </w:p>
        </w:tc>
        <w:tc>
          <w:tcPr>
            <w:tcW w:w="897" w:type="dxa"/>
            <w:vAlign w:val="bottom"/>
          </w:tcPr>
          <w:p w:rsidR="00517DFB" w:rsidRPr="00517DFB" w:rsidRDefault="00EB607B" w:rsidP="00517DFB">
            <w:pPr>
              <w:cnfStyle w:val="000000010000" w:firstRow="0" w:lastRow="0" w:firstColumn="0" w:lastColumn="0" w:oddVBand="0" w:evenVBand="0" w:oddHBand="0" w:evenHBand="1" w:firstRowFirstColumn="0" w:firstRowLastColumn="0" w:lastRowFirstColumn="0" w:lastRowLastColumn="0"/>
            </w:pPr>
            <w:r>
              <w:t>–</w:t>
            </w:r>
            <w:r w:rsidR="00517DFB" w:rsidRPr="00517DFB">
              <w:t>1.2</w:t>
            </w:r>
          </w:p>
        </w:tc>
        <w:tc>
          <w:tcPr>
            <w:tcW w:w="898" w:type="dxa"/>
            <w:vAlign w:val="bottom"/>
          </w:tcPr>
          <w:p w:rsidR="00517DFB" w:rsidRPr="00517DFB" w:rsidRDefault="00517DFB" w:rsidP="00517DFB">
            <w:pPr>
              <w:cnfStyle w:val="000000010000" w:firstRow="0" w:lastRow="0" w:firstColumn="0" w:lastColumn="0" w:oddVBand="0" w:evenVBand="0" w:oddHBand="0" w:evenHBand="1" w:firstRowFirstColumn="0" w:firstRowLastColumn="0" w:lastRowFirstColumn="0" w:lastRowLastColumn="0"/>
            </w:pPr>
            <w:r w:rsidRPr="00517DFB">
              <w:t>0.2</w:t>
            </w:r>
          </w:p>
        </w:tc>
        <w:tc>
          <w:tcPr>
            <w:tcW w:w="898" w:type="dxa"/>
            <w:vAlign w:val="bottom"/>
          </w:tcPr>
          <w:p w:rsidR="00517DFB" w:rsidRPr="00517DFB" w:rsidRDefault="00EB607B" w:rsidP="00517DFB">
            <w:pPr>
              <w:cnfStyle w:val="000000010000" w:firstRow="0" w:lastRow="0" w:firstColumn="0" w:lastColumn="0" w:oddVBand="0" w:evenVBand="0" w:oddHBand="0" w:evenHBand="1" w:firstRowFirstColumn="0" w:firstRowLastColumn="0" w:lastRowFirstColumn="0" w:lastRowLastColumn="0"/>
            </w:pPr>
            <w:r>
              <w:t>–</w:t>
            </w:r>
            <w:r w:rsidR="00517DFB" w:rsidRPr="00517DFB">
              <w:t>1.0</w:t>
            </w:r>
          </w:p>
        </w:tc>
      </w:tr>
      <w:tr w:rsidR="00517DFB" w:rsidRPr="00A75D48" w:rsidTr="00E34748">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517DFB" w:rsidRPr="00517DFB" w:rsidRDefault="00517DFB" w:rsidP="00517DFB">
            <w:r w:rsidRPr="00517DFB">
              <w:t>Net tax allowance</w:t>
            </w:r>
          </w:p>
        </w:tc>
        <w:tc>
          <w:tcPr>
            <w:tcW w:w="897" w:type="dxa"/>
            <w:noWrap/>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pPr>
            <w:r w:rsidRPr="00517DFB">
              <w:t>32.2</w:t>
            </w:r>
          </w:p>
        </w:tc>
        <w:tc>
          <w:tcPr>
            <w:tcW w:w="898" w:type="dxa"/>
            <w:noWrap/>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pPr>
            <w:r w:rsidRPr="00517DFB">
              <w:t>32.8</w:t>
            </w:r>
          </w:p>
        </w:tc>
        <w:tc>
          <w:tcPr>
            <w:tcW w:w="898" w:type="dxa"/>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pPr>
            <w:r w:rsidRPr="00517DFB">
              <w:t>31.2</w:t>
            </w:r>
          </w:p>
        </w:tc>
        <w:tc>
          <w:tcPr>
            <w:tcW w:w="897" w:type="dxa"/>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pPr>
            <w:r w:rsidRPr="00517DFB">
              <w:t>31.6</w:t>
            </w:r>
          </w:p>
        </w:tc>
        <w:tc>
          <w:tcPr>
            <w:tcW w:w="898" w:type="dxa"/>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pPr>
            <w:r w:rsidRPr="00517DFB">
              <w:t>32.8</w:t>
            </w:r>
          </w:p>
        </w:tc>
        <w:tc>
          <w:tcPr>
            <w:tcW w:w="898" w:type="dxa"/>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pPr>
            <w:r w:rsidRPr="00517DFB">
              <w:t>160.5</w:t>
            </w:r>
          </w:p>
        </w:tc>
      </w:tr>
      <w:tr w:rsidR="00517DFB" w:rsidRPr="00A75D48" w:rsidTr="00E34748">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517DFB" w:rsidRPr="00517DFB" w:rsidRDefault="00517DFB" w:rsidP="00517DFB">
            <w:r w:rsidRPr="00517DFB">
              <w:t>Annual revenue requirement (unsmoothed)</w:t>
            </w:r>
          </w:p>
        </w:tc>
        <w:tc>
          <w:tcPr>
            <w:tcW w:w="897" w:type="dxa"/>
            <w:noWrap/>
            <w:vAlign w:val="bottom"/>
          </w:tcPr>
          <w:p w:rsidR="00517DFB" w:rsidRPr="00517DFB" w:rsidRDefault="00517DFB" w:rsidP="00517DFB">
            <w:pPr>
              <w:cnfStyle w:val="000000010000" w:firstRow="0" w:lastRow="0" w:firstColumn="0" w:lastColumn="0" w:oddVBand="0" w:evenVBand="0" w:oddHBand="0" w:evenHBand="1" w:firstRowFirstColumn="0" w:firstRowLastColumn="0" w:lastRowFirstColumn="0" w:lastRowLastColumn="0"/>
            </w:pPr>
            <w:r w:rsidRPr="00517DFB">
              <w:t>337.1</w:t>
            </w:r>
          </w:p>
        </w:tc>
        <w:tc>
          <w:tcPr>
            <w:tcW w:w="898" w:type="dxa"/>
            <w:noWrap/>
            <w:vAlign w:val="bottom"/>
          </w:tcPr>
          <w:p w:rsidR="00517DFB" w:rsidRPr="00517DFB" w:rsidRDefault="00517DFB" w:rsidP="00517DFB">
            <w:pPr>
              <w:cnfStyle w:val="000000010000" w:firstRow="0" w:lastRow="0" w:firstColumn="0" w:lastColumn="0" w:oddVBand="0" w:evenVBand="0" w:oddHBand="0" w:evenHBand="1" w:firstRowFirstColumn="0" w:firstRowLastColumn="0" w:lastRowFirstColumn="0" w:lastRowLastColumn="0"/>
            </w:pPr>
            <w:r w:rsidRPr="00517DFB">
              <w:t>345.6</w:t>
            </w:r>
          </w:p>
        </w:tc>
        <w:tc>
          <w:tcPr>
            <w:tcW w:w="898" w:type="dxa"/>
            <w:vAlign w:val="bottom"/>
          </w:tcPr>
          <w:p w:rsidR="00517DFB" w:rsidRPr="00517DFB" w:rsidRDefault="00517DFB" w:rsidP="00517DFB">
            <w:pPr>
              <w:cnfStyle w:val="000000010000" w:firstRow="0" w:lastRow="0" w:firstColumn="0" w:lastColumn="0" w:oddVBand="0" w:evenVBand="0" w:oddHBand="0" w:evenHBand="1" w:firstRowFirstColumn="0" w:firstRowLastColumn="0" w:lastRowFirstColumn="0" w:lastRowLastColumn="0"/>
            </w:pPr>
            <w:r w:rsidRPr="00517DFB">
              <w:t>372.4</w:t>
            </w:r>
          </w:p>
        </w:tc>
        <w:tc>
          <w:tcPr>
            <w:tcW w:w="897" w:type="dxa"/>
            <w:vAlign w:val="bottom"/>
          </w:tcPr>
          <w:p w:rsidR="00517DFB" w:rsidRPr="00517DFB" w:rsidRDefault="00517DFB" w:rsidP="00517DFB">
            <w:pPr>
              <w:cnfStyle w:val="000000010000" w:firstRow="0" w:lastRow="0" w:firstColumn="0" w:lastColumn="0" w:oddVBand="0" w:evenVBand="0" w:oddHBand="0" w:evenHBand="1" w:firstRowFirstColumn="0" w:firstRowLastColumn="0" w:lastRowFirstColumn="0" w:lastRowLastColumn="0"/>
            </w:pPr>
            <w:r w:rsidRPr="00517DFB">
              <w:t>384.8</w:t>
            </w:r>
          </w:p>
        </w:tc>
        <w:tc>
          <w:tcPr>
            <w:tcW w:w="898" w:type="dxa"/>
            <w:vAlign w:val="bottom"/>
          </w:tcPr>
          <w:p w:rsidR="00517DFB" w:rsidRPr="00517DFB" w:rsidRDefault="00517DFB" w:rsidP="00517DFB">
            <w:pPr>
              <w:cnfStyle w:val="000000010000" w:firstRow="0" w:lastRow="0" w:firstColumn="0" w:lastColumn="0" w:oddVBand="0" w:evenVBand="0" w:oddHBand="0" w:evenHBand="1" w:firstRowFirstColumn="0" w:firstRowLastColumn="0" w:lastRowFirstColumn="0" w:lastRowLastColumn="0"/>
            </w:pPr>
            <w:r w:rsidRPr="00517DFB">
              <w:t>398.4</w:t>
            </w:r>
          </w:p>
        </w:tc>
        <w:tc>
          <w:tcPr>
            <w:tcW w:w="898" w:type="dxa"/>
            <w:vAlign w:val="bottom"/>
          </w:tcPr>
          <w:p w:rsidR="00517DFB" w:rsidRPr="00517DFB" w:rsidRDefault="00517DFB" w:rsidP="00517DFB">
            <w:pPr>
              <w:cnfStyle w:val="000000010000" w:firstRow="0" w:lastRow="0" w:firstColumn="0" w:lastColumn="0" w:oddVBand="0" w:evenVBand="0" w:oddHBand="0" w:evenHBand="1" w:firstRowFirstColumn="0" w:firstRowLastColumn="0" w:lastRowFirstColumn="0" w:lastRowLastColumn="0"/>
            </w:pPr>
            <w:r w:rsidRPr="00517DFB">
              <w:t>1838.3</w:t>
            </w:r>
          </w:p>
        </w:tc>
      </w:tr>
      <w:tr w:rsidR="00517DFB" w:rsidRPr="00517DFB" w:rsidTr="00E34748">
        <w:trPr>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517DFB" w:rsidRPr="00517DFB" w:rsidRDefault="00517DFB" w:rsidP="00517DFB">
            <w:pPr>
              <w:rPr>
                <w:rStyle w:val="Strong"/>
              </w:rPr>
            </w:pPr>
            <w:r w:rsidRPr="00517DFB">
              <w:rPr>
                <w:rStyle w:val="Strong"/>
              </w:rPr>
              <w:t>Annual expected revenue (smoothed)</w:t>
            </w:r>
          </w:p>
        </w:tc>
        <w:tc>
          <w:tcPr>
            <w:tcW w:w="897" w:type="dxa"/>
            <w:noWrap/>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rPr>
                <w:rStyle w:val="Strong"/>
              </w:rPr>
            </w:pPr>
            <w:r w:rsidRPr="00517DFB">
              <w:rPr>
                <w:rStyle w:val="Strong"/>
              </w:rPr>
              <w:t>282.9</w:t>
            </w:r>
            <w:r w:rsidR="00172090" w:rsidRPr="00172090">
              <w:rPr>
                <w:rStyle w:val="AERsuperscript"/>
              </w:rPr>
              <w:t>c</w:t>
            </w:r>
          </w:p>
        </w:tc>
        <w:tc>
          <w:tcPr>
            <w:tcW w:w="898" w:type="dxa"/>
            <w:noWrap/>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rPr>
                <w:rStyle w:val="Strong"/>
              </w:rPr>
            </w:pPr>
            <w:r w:rsidRPr="00517DFB">
              <w:rPr>
                <w:rStyle w:val="Strong"/>
              </w:rPr>
              <w:t>374.3</w:t>
            </w:r>
          </w:p>
        </w:tc>
        <w:tc>
          <w:tcPr>
            <w:tcW w:w="898" w:type="dxa"/>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rPr>
                <w:rStyle w:val="Strong"/>
              </w:rPr>
            </w:pPr>
            <w:r w:rsidRPr="00517DFB">
              <w:rPr>
                <w:rStyle w:val="Strong"/>
              </w:rPr>
              <w:t>385.4</w:t>
            </w:r>
          </w:p>
        </w:tc>
        <w:tc>
          <w:tcPr>
            <w:tcW w:w="897" w:type="dxa"/>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rPr>
                <w:rStyle w:val="Strong"/>
              </w:rPr>
            </w:pPr>
            <w:r w:rsidRPr="00517DFB">
              <w:rPr>
                <w:rStyle w:val="Strong"/>
              </w:rPr>
              <w:t>396.8</w:t>
            </w:r>
          </w:p>
        </w:tc>
        <w:tc>
          <w:tcPr>
            <w:tcW w:w="898" w:type="dxa"/>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rPr>
                <w:rStyle w:val="Strong"/>
              </w:rPr>
            </w:pPr>
            <w:r w:rsidRPr="00517DFB">
              <w:rPr>
                <w:rStyle w:val="Strong"/>
              </w:rPr>
              <w:t>408.5</w:t>
            </w:r>
          </w:p>
        </w:tc>
        <w:tc>
          <w:tcPr>
            <w:tcW w:w="898" w:type="dxa"/>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rPr>
                <w:rStyle w:val="Strong"/>
              </w:rPr>
            </w:pPr>
            <w:r w:rsidRPr="00517DFB">
              <w:rPr>
                <w:rStyle w:val="Strong"/>
              </w:rPr>
              <w:t>1847.8</w:t>
            </w:r>
          </w:p>
        </w:tc>
      </w:tr>
      <w:tr w:rsidR="00517DFB" w:rsidRPr="00A75D48" w:rsidTr="00E34748">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369" w:type="dxa"/>
            <w:noWrap/>
            <w:hideMark/>
          </w:tcPr>
          <w:p w:rsidR="00517DFB" w:rsidRPr="00517DFB" w:rsidRDefault="00517DFB" w:rsidP="00517DFB">
            <w:r w:rsidRPr="00517DFB">
              <w:t>X factor</w:t>
            </w:r>
          </w:p>
        </w:tc>
        <w:tc>
          <w:tcPr>
            <w:tcW w:w="897" w:type="dxa"/>
            <w:noWrap/>
            <w:vAlign w:val="bottom"/>
          </w:tcPr>
          <w:p w:rsidR="00517DFB" w:rsidRPr="00517DFB" w:rsidRDefault="00517DFB" w:rsidP="00172090">
            <w:pPr>
              <w:cnfStyle w:val="000000010000" w:firstRow="0" w:lastRow="0" w:firstColumn="0" w:lastColumn="0" w:oddVBand="0" w:evenVBand="0" w:oddHBand="0" w:evenHBand="1" w:firstRowFirstColumn="0" w:firstRowLastColumn="0" w:lastRowFirstColumn="0" w:lastRowLastColumn="0"/>
              <w:rPr>
                <w:rStyle w:val="AERsuperscript"/>
              </w:rPr>
            </w:pPr>
            <w:r w:rsidRPr="00517DFB">
              <w:t>n/a</w:t>
            </w:r>
          </w:p>
        </w:tc>
        <w:tc>
          <w:tcPr>
            <w:tcW w:w="898" w:type="dxa"/>
            <w:noWrap/>
            <w:vAlign w:val="bottom"/>
          </w:tcPr>
          <w:p w:rsidR="00517DFB" w:rsidRPr="00517DFB" w:rsidRDefault="00517DFB" w:rsidP="00517DFB">
            <w:pPr>
              <w:cnfStyle w:val="000000010000" w:firstRow="0" w:lastRow="0" w:firstColumn="0" w:lastColumn="0" w:oddVBand="0" w:evenVBand="0" w:oddHBand="0" w:evenHBand="1" w:firstRowFirstColumn="0" w:firstRowLastColumn="0" w:lastRowFirstColumn="0" w:lastRowLastColumn="0"/>
            </w:pPr>
            <w:r>
              <w:t>–</w:t>
            </w:r>
            <w:r w:rsidRPr="00517DFB">
              <w:t>29.</w:t>
            </w:r>
            <w:r>
              <w:t>0</w:t>
            </w:r>
            <w:r w:rsidR="00172090">
              <w:t>4</w:t>
            </w:r>
            <w:r w:rsidRPr="00517DFB">
              <w:t>%</w:t>
            </w:r>
          </w:p>
        </w:tc>
        <w:tc>
          <w:tcPr>
            <w:tcW w:w="898" w:type="dxa"/>
            <w:vAlign w:val="bottom"/>
          </w:tcPr>
          <w:p w:rsidR="00517DFB" w:rsidRPr="00517DFB" w:rsidRDefault="00517DFB" w:rsidP="00517DFB">
            <w:pPr>
              <w:cnfStyle w:val="000000010000" w:firstRow="0" w:lastRow="0" w:firstColumn="0" w:lastColumn="0" w:oddVBand="0" w:evenVBand="0" w:oddHBand="0" w:evenHBand="1" w:firstRowFirstColumn="0" w:firstRowLastColumn="0" w:lastRowFirstColumn="0" w:lastRowLastColumn="0"/>
            </w:pPr>
            <w:r>
              <w:t>–</w:t>
            </w:r>
            <w:r w:rsidRPr="00517DFB">
              <w:t>0.</w:t>
            </w:r>
            <w:r w:rsidR="00172090">
              <w:t>4</w:t>
            </w:r>
            <w:r>
              <w:t>5</w:t>
            </w:r>
            <w:r w:rsidRPr="00517DFB">
              <w:t>%</w:t>
            </w:r>
          </w:p>
        </w:tc>
        <w:tc>
          <w:tcPr>
            <w:tcW w:w="897" w:type="dxa"/>
            <w:vAlign w:val="bottom"/>
          </w:tcPr>
          <w:p w:rsidR="00517DFB" w:rsidRPr="00517DFB" w:rsidRDefault="00517DFB" w:rsidP="00517DFB">
            <w:pPr>
              <w:cnfStyle w:val="000000010000" w:firstRow="0" w:lastRow="0" w:firstColumn="0" w:lastColumn="0" w:oddVBand="0" w:evenVBand="0" w:oddHBand="0" w:evenHBand="1" w:firstRowFirstColumn="0" w:firstRowLastColumn="0" w:lastRowFirstColumn="0" w:lastRowLastColumn="0"/>
            </w:pPr>
            <w:r>
              <w:t>–</w:t>
            </w:r>
            <w:r w:rsidRPr="00517DFB">
              <w:t>0.</w:t>
            </w:r>
            <w:r w:rsidR="00172090">
              <w:t>4</w:t>
            </w:r>
            <w:r>
              <w:t>5</w:t>
            </w:r>
            <w:r w:rsidRPr="00517DFB">
              <w:t>%</w:t>
            </w:r>
          </w:p>
        </w:tc>
        <w:tc>
          <w:tcPr>
            <w:tcW w:w="898" w:type="dxa"/>
            <w:vAlign w:val="bottom"/>
          </w:tcPr>
          <w:p w:rsidR="00517DFB" w:rsidRPr="00517DFB" w:rsidRDefault="00517DFB" w:rsidP="00517DFB">
            <w:pPr>
              <w:cnfStyle w:val="000000010000" w:firstRow="0" w:lastRow="0" w:firstColumn="0" w:lastColumn="0" w:oddVBand="0" w:evenVBand="0" w:oddHBand="0" w:evenHBand="1" w:firstRowFirstColumn="0" w:firstRowLastColumn="0" w:lastRowFirstColumn="0" w:lastRowLastColumn="0"/>
            </w:pPr>
            <w:r>
              <w:t>–</w:t>
            </w:r>
            <w:r w:rsidRPr="00517DFB">
              <w:t>0.</w:t>
            </w:r>
            <w:r w:rsidR="00172090">
              <w:t>4</w:t>
            </w:r>
            <w:r>
              <w:t>5</w:t>
            </w:r>
            <w:r w:rsidRPr="00517DFB">
              <w:t>%</w:t>
            </w:r>
          </w:p>
        </w:tc>
        <w:tc>
          <w:tcPr>
            <w:tcW w:w="898" w:type="dxa"/>
            <w:vAlign w:val="bottom"/>
          </w:tcPr>
          <w:p w:rsidR="00517DFB" w:rsidRPr="00517DFB" w:rsidRDefault="00517DFB" w:rsidP="00517DFB">
            <w:pPr>
              <w:cnfStyle w:val="000000010000" w:firstRow="0" w:lastRow="0" w:firstColumn="0" w:lastColumn="0" w:oddVBand="0" w:evenVBand="0" w:oddHBand="0" w:evenHBand="1" w:firstRowFirstColumn="0" w:firstRowLastColumn="0" w:lastRowFirstColumn="0" w:lastRowLastColumn="0"/>
            </w:pPr>
            <w:r>
              <w:t>n/a</w:t>
            </w:r>
          </w:p>
        </w:tc>
      </w:tr>
      <w:tr w:rsidR="00517DFB" w:rsidRPr="00A75D48" w:rsidTr="00E34748">
        <w:trPr>
          <w:trHeight w:val="190"/>
        </w:trPr>
        <w:tc>
          <w:tcPr>
            <w:cnfStyle w:val="001000000000" w:firstRow="0" w:lastRow="0" w:firstColumn="1" w:lastColumn="0" w:oddVBand="0" w:evenVBand="0" w:oddHBand="0" w:evenHBand="0" w:firstRowFirstColumn="0" w:firstRowLastColumn="0" w:lastRowFirstColumn="0" w:lastRowLastColumn="0"/>
            <w:tcW w:w="3369" w:type="dxa"/>
            <w:noWrap/>
          </w:tcPr>
          <w:p w:rsidR="00517DFB" w:rsidRPr="00517DFB" w:rsidRDefault="00517DFB" w:rsidP="00517DFB">
            <w:r w:rsidRPr="00517DFB">
              <w:t>Annual change in revenue (smoothed)</w:t>
            </w:r>
          </w:p>
        </w:tc>
        <w:tc>
          <w:tcPr>
            <w:tcW w:w="897" w:type="dxa"/>
            <w:noWrap/>
            <w:vAlign w:val="bottom"/>
          </w:tcPr>
          <w:p w:rsidR="00517DFB" w:rsidRPr="00517DFB" w:rsidRDefault="00BD55BC" w:rsidP="00517DFB">
            <w:pPr>
              <w:cnfStyle w:val="000000000000" w:firstRow="0" w:lastRow="0" w:firstColumn="0" w:lastColumn="0" w:oddVBand="0" w:evenVBand="0" w:oddHBand="0" w:evenHBand="0" w:firstRowFirstColumn="0" w:firstRowLastColumn="0" w:lastRowFirstColumn="0" w:lastRowLastColumn="0"/>
            </w:pPr>
            <w:r>
              <w:t>n/a</w:t>
            </w:r>
          </w:p>
        </w:tc>
        <w:tc>
          <w:tcPr>
            <w:tcW w:w="898" w:type="dxa"/>
            <w:noWrap/>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pPr>
            <w:r w:rsidRPr="00517DFB">
              <w:t>32.3%</w:t>
            </w:r>
          </w:p>
        </w:tc>
        <w:tc>
          <w:tcPr>
            <w:tcW w:w="898" w:type="dxa"/>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pPr>
            <w:r w:rsidRPr="00517DFB">
              <w:t>3.0%</w:t>
            </w:r>
          </w:p>
        </w:tc>
        <w:tc>
          <w:tcPr>
            <w:tcW w:w="897" w:type="dxa"/>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pPr>
            <w:r w:rsidRPr="00517DFB">
              <w:t>3.0%</w:t>
            </w:r>
          </w:p>
        </w:tc>
        <w:tc>
          <w:tcPr>
            <w:tcW w:w="898" w:type="dxa"/>
            <w:vAlign w:val="bottom"/>
          </w:tcPr>
          <w:p w:rsidR="00517DFB" w:rsidRPr="00517DFB" w:rsidRDefault="00517DFB" w:rsidP="00517DFB">
            <w:pPr>
              <w:cnfStyle w:val="000000000000" w:firstRow="0" w:lastRow="0" w:firstColumn="0" w:lastColumn="0" w:oddVBand="0" w:evenVBand="0" w:oddHBand="0" w:evenHBand="0" w:firstRowFirstColumn="0" w:firstRowLastColumn="0" w:lastRowFirstColumn="0" w:lastRowLastColumn="0"/>
            </w:pPr>
            <w:r w:rsidRPr="00517DFB">
              <w:t>3.0%</w:t>
            </w:r>
          </w:p>
        </w:tc>
        <w:tc>
          <w:tcPr>
            <w:tcW w:w="898" w:type="dxa"/>
            <w:vAlign w:val="bottom"/>
          </w:tcPr>
          <w:p w:rsidR="00517DFB" w:rsidRPr="00517DFB" w:rsidRDefault="00BD55BC" w:rsidP="00517DFB">
            <w:pPr>
              <w:cnfStyle w:val="000000000000" w:firstRow="0" w:lastRow="0" w:firstColumn="0" w:lastColumn="0" w:oddVBand="0" w:evenVBand="0" w:oddHBand="0" w:evenHBand="0" w:firstRowFirstColumn="0" w:firstRowLastColumn="0" w:lastRowFirstColumn="0" w:lastRowLastColumn="0"/>
            </w:pPr>
            <w:r>
              <w:t>n/a</w:t>
            </w:r>
          </w:p>
        </w:tc>
      </w:tr>
    </w:tbl>
    <w:p w:rsidR="00C76C05" w:rsidRDefault="00C76C05" w:rsidP="00C76C05">
      <w:pPr>
        <w:pStyle w:val="AERtablesource"/>
      </w:pPr>
      <w:r>
        <w:t>Source:</w:t>
      </w:r>
      <w:r>
        <w:tab/>
        <w:t xml:space="preserve">CitiPower, </w:t>
      </w:r>
      <w:r w:rsidRPr="00EE7AFE">
        <w:rPr>
          <w:rStyle w:val="AERtextitalic"/>
        </w:rPr>
        <w:t>Revised regulatory proposal</w:t>
      </w:r>
      <w:r w:rsidR="00E533AC">
        <w:t>,</w:t>
      </w:r>
      <w:r>
        <w:t xml:space="preserve"> January 2016</w:t>
      </w:r>
      <w:r w:rsidR="00AC061C">
        <w:t>,</w:t>
      </w:r>
      <w:r w:rsidR="00F216B4">
        <w:t xml:space="preserve"> Post-tax revenue model</w:t>
      </w:r>
      <w:r>
        <w:t>;</w:t>
      </w:r>
      <w:r w:rsidR="00B576C7" w:rsidRPr="00B576C7">
        <w:t xml:space="preserve"> </w:t>
      </w:r>
      <w:r w:rsidR="00B576C7">
        <w:t xml:space="preserve">CitiPower, </w:t>
      </w:r>
      <w:r w:rsidR="00B576C7" w:rsidRPr="00E973C0">
        <w:rPr>
          <w:rStyle w:val="AERtextitalic"/>
        </w:rPr>
        <w:t>Letter re: Impact of rate of return on allowed revenues</w:t>
      </w:r>
      <w:r w:rsidR="00B576C7">
        <w:t xml:space="preserve">, 20 January 2016; </w:t>
      </w:r>
      <w:r>
        <w:t>AER analysis.</w:t>
      </w:r>
    </w:p>
    <w:p w:rsidR="00C76C05" w:rsidRPr="001D099A" w:rsidRDefault="00C76C05" w:rsidP="00C76C05">
      <w:pPr>
        <w:pStyle w:val="AERtablesource"/>
      </w:pPr>
      <w:r>
        <w:t>(a)</w:t>
      </w:r>
      <w:r>
        <w:tab/>
        <w:t>Regulatory depreciation is straight-line depreciation net of the inflation indexation on the opening RAB.</w:t>
      </w:r>
    </w:p>
    <w:p w:rsidR="00C76C05" w:rsidRDefault="00C76C05" w:rsidP="00C76C05">
      <w:pPr>
        <w:pStyle w:val="AERtablesource"/>
      </w:pPr>
      <w:r>
        <w:t>(b)</w:t>
      </w:r>
      <w:r>
        <w:tab/>
        <w:t xml:space="preserve">Revenue adjustments include </w:t>
      </w:r>
      <w:r w:rsidRPr="00F87D06">
        <w:t>efficiency bene</w:t>
      </w:r>
      <w:r w:rsidR="004617F7">
        <w:t xml:space="preserve">fit sharing scheme carry-overs, </w:t>
      </w:r>
      <w:r w:rsidR="005D072B">
        <w:t>forecast DMI</w:t>
      </w:r>
      <w:r w:rsidR="004617F7">
        <w:t xml:space="preserve">A, </w:t>
      </w:r>
      <w:r w:rsidRPr="00F87D06">
        <w:t>2010 S-factor scheme close out</w:t>
      </w:r>
      <w:r w:rsidR="004617F7" w:rsidRPr="004617F7">
        <w:t xml:space="preserve"> </w:t>
      </w:r>
      <w:r w:rsidR="004617F7">
        <w:t xml:space="preserve">and </w:t>
      </w:r>
      <w:r w:rsidR="004617F7" w:rsidRPr="00F87D06">
        <w:t xml:space="preserve">shared asset </w:t>
      </w:r>
      <w:r w:rsidR="004617F7">
        <w:t>adjustments</w:t>
      </w:r>
      <w:r w:rsidRPr="00F87D06">
        <w:t>.</w:t>
      </w:r>
      <w:r>
        <w:t xml:space="preserve"> </w:t>
      </w:r>
    </w:p>
    <w:p w:rsidR="00517DFB" w:rsidRDefault="00C76C05" w:rsidP="00517DFB">
      <w:pPr>
        <w:pStyle w:val="AERtablesource"/>
      </w:pPr>
      <w:r>
        <w:t>(c)</w:t>
      </w:r>
      <w:r>
        <w:tab/>
      </w:r>
      <w:r w:rsidR="00517DFB">
        <w:t>CitiPower</w:t>
      </w:r>
      <w:r w:rsidR="00517DFB" w:rsidRPr="00517DFB">
        <w:t>'s revised proposal conducted an adjustment for the difference between the preliminary decision revenue and its revised proposal revenue for 2016 by holding the 2016 preliminary decision revenue constant. This results in the difference being adjusted for in the expected revenue (via the X factor) for the remaining four years of the 2016–20 regulatory control period.</w:t>
      </w:r>
    </w:p>
    <w:p w:rsidR="00132D43" w:rsidRDefault="00132D43" w:rsidP="00132D43">
      <w:pPr>
        <w:pStyle w:val="Heading2"/>
      </w:pPr>
      <w:bookmarkStart w:id="77" w:name="_Toc451356620"/>
      <w:r>
        <w:t>Assessment approach</w:t>
      </w:r>
      <w:bookmarkEnd w:id="77"/>
    </w:p>
    <w:p w:rsidR="00C76C05" w:rsidRDefault="00C76C05" w:rsidP="00C76C05">
      <w:r w:rsidRPr="00F87D06">
        <w:t>We have not changed our assessment approach for the ARR from our preliminary decision. Section 1.3 of our preliminary decision details that approach.</w:t>
      </w:r>
      <w:r w:rsidRPr="00F87D06">
        <w:rPr>
          <w:rStyle w:val="FootnoteReference"/>
        </w:rPr>
        <w:footnoteReference w:id="3"/>
      </w:r>
      <w:r w:rsidRPr="00F87D06">
        <w:t xml:space="preserve"> We have reviewed our revenue path for the final decision in light of the requirement to do an adjustment</w:t>
      </w:r>
      <w:r>
        <w:t xml:space="preserve"> for 20</w:t>
      </w:r>
      <w:r w:rsidRPr="00F87D06">
        <w:t xml:space="preserve">16 and this is discussed further in </w:t>
      </w:r>
      <w:r w:rsidRPr="00F87D06">
        <w:rPr>
          <w:rStyle w:val="AERbody"/>
        </w:rPr>
        <w:t xml:space="preserve">section </w:t>
      </w:r>
      <w:r w:rsidR="00172090">
        <w:rPr>
          <w:rStyle w:val="AERbody"/>
        </w:rPr>
        <w:fldChar w:fldCharType="begin"/>
      </w:r>
      <w:r w:rsidR="00172090">
        <w:rPr>
          <w:rStyle w:val="AERbody"/>
        </w:rPr>
        <w:instrText xml:space="preserve"> REF _Ref451157481 \r \h </w:instrText>
      </w:r>
      <w:r w:rsidR="00172090">
        <w:rPr>
          <w:rStyle w:val="AERbody"/>
        </w:rPr>
      </w:r>
      <w:r w:rsidR="00172090">
        <w:rPr>
          <w:rStyle w:val="AERbody"/>
        </w:rPr>
        <w:fldChar w:fldCharType="separate"/>
      </w:r>
      <w:r w:rsidR="00473EE0">
        <w:rPr>
          <w:rStyle w:val="AERbody"/>
        </w:rPr>
        <w:t>1.4.1</w:t>
      </w:r>
      <w:r w:rsidR="00172090">
        <w:rPr>
          <w:rStyle w:val="AERbody"/>
        </w:rPr>
        <w:fldChar w:fldCharType="end"/>
      </w:r>
      <w:r w:rsidRPr="00F87D06">
        <w:rPr>
          <w:rStyle w:val="AERbody"/>
        </w:rPr>
        <w:t>.</w:t>
      </w:r>
    </w:p>
    <w:p w:rsidR="00132D43" w:rsidRDefault="00132D43" w:rsidP="00132D43">
      <w:pPr>
        <w:pStyle w:val="Heading2"/>
      </w:pPr>
      <w:bookmarkStart w:id="78" w:name="_Toc451356621"/>
      <w:r>
        <w:t xml:space="preserve">Reasons for </w:t>
      </w:r>
      <w:r w:rsidR="00DB4E34">
        <w:t>final</w:t>
      </w:r>
      <w:r>
        <w:t xml:space="preserve"> decision</w:t>
      </w:r>
      <w:bookmarkEnd w:id="78"/>
    </w:p>
    <w:p w:rsidR="00E34748" w:rsidRPr="00270B90" w:rsidRDefault="00E34748" w:rsidP="00172090">
      <w:pPr>
        <w:rPr>
          <w:shd w:val="clear" w:color="auto" w:fill="FFFF00"/>
        </w:rPr>
      </w:pPr>
      <w:r w:rsidRPr="00D86EEB">
        <w:t xml:space="preserve">For this final decision, we determine a total revenue </w:t>
      </w:r>
      <w:r w:rsidRPr="00172090">
        <w:t>requirement of $</w:t>
      </w:r>
      <w:r w:rsidR="00420B33" w:rsidRPr="00172090">
        <w:t>1503.1</w:t>
      </w:r>
      <w:r w:rsidRPr="00172090">
        <w:t xml:space="preserve"> million ($ nominal) over the 2016–20 regulatory control period for </w:t>
      </w:r>
      <w:r w:rsidR="00B948E8" w:rsidRPr="00172090">
        <w:t>CitiPower</w:t>
      </w:r>
      <w:r w:rsidRPr="00172090">
        <w:t>. This is $</w:t>
      </w:r>
      <w:r w:rsidR="00420B33" w:rsidRPr="00172090">
        <w:t>335.3</w:t>
      </w:r>
      <w:r w:rsidRPr="00172090">
        <w:t xml:space="preserve"> million ($ nominal) or </w:t>
      </w:r>
      <w:r w:rsidR="00420B33" w:rsidRPr="00172090">
        <w:t>18.2</w:t>
      </w:r>
      <w:r w:rsidRPr="00D86EEB">
        <w:t xml:space="preserve"> per cent below </w:t>
      </w:r>
      <w:r w:rsidR="00B948E8" w:rsidRPr="00B948E8">
        <w:t>CitiPower</w:t>
      </w:r>
      <w:r w:rsidR="00B948E8">
        <w:t xml:space="preserve">'s </w:t>
      </w:r>
      <w:r w:rsidRPr="00D86EEB">
        <w:t>revised proposal. This reflects the impact of our final decision on the various building block costs.</w:t>
      </w:r>
    </w:p>
    <w:p w:rsidR="00E34748" w:rsidRDefault="00E34748" w:rsidP="00E34748">
      <w:r>
        <w:fldChar w:fldCharType="begin"/>
      </w:r>
      <w:r>
        <w:instrText xml:space="preserve"> REF _Ref445108037 \h </w:instrText>
      </w:r>
      <w:r>
        <w:fldChar w:fldCharType="separate"/>
      </w:r>
      <w:r w:rsidR="00473EE0">
        <w:t xml:space="preserve">Figure </w:t>
      </w:r>
      <w:r w:rsidR="00473EE0">
        <w:rPr>
          <w:noProof/>
        </w:rPr>
        <w:t>1</w:t>
      </w:r>
      <w:r w:rsidR="00473EE0">
        <w:t>.</w:t>
      </w:r>
      <w:r w:rsidR="00473EE0">
        <w:rPr>
          <w:noProof/>
        </w:rPr>
        <w:t>2</w:t>
      </w:r>
      <w:r>
        <w:fldChar w:fldCharType="end"/>
      </w:r>
      <w:r>
        <w:t xml:space="preserve"> </w:t>
      </w:r>
      <w:r w:rsidRPr="00D86EEB">
        <w:t xml:space="preserve">shows our preliminary decision and the difference between </w:t>
      </w:r>
      <w:r w:rsidR="00B948E8" w:rsidRPr="00B948E8">
        <w:t>CitiPower</w:t>
      </w:r>
      <w:r w:rsidR="00B948E8">
        <w:t>'s</w:t>
      </w:r>
      <w:r w:rsidRPr="00D86EEB">
        <w:t xml:space="preserve"> revised proposed ARRs and our final decision.</w:t>
      </w:r>
    </w:p>
    <w:p w:rsidR="00665058" w:rsidRPr="004D4003" w:rsidRDefault="00E34748">
      <w:pPr>
        <w:pStyle w:val="Caption"/>
      </w:pPr>
      <w:bookmarkStart w:id="79" w:name="_Ref445108037"/>
      <w:r>
        <w:lastRenderedPageBreak/>
        <w:t xml:space="preserve">Figure </w:t>
      </w:r>
      <w:fldSimple w:instr=" STYLEREF 1 \s ">
        <w:r w:rsidR="00473EE0">
          <w:rPr>
            <w:noProof/>
          </w:rPr>
          <w:t>1</w:t>
        </w:r>
      </w:fldSimple>
      <w:r>
        <w:t>.</w:t>
      </w:r>
      <w:fldSimple w:instr=" SEQ Figure \* ARABIC \s 1 ">
        <w:r w:rsidR="00473EE0">
          <w:rPr>
            <w:noProof/>
          </w:rPr>
          <w:t>2</w:t>
        </w:r>
      </w:fldSimple>
      <w:bookmarkEnd w:id="79"/>
      <w:r>
        <w:tab/>
      </w:r>
      <w:r w:rsidRPr="00D86EEB">
        <w:t xml:space="preserve">AER's preliminary and final decisions and </w:t>
      </w:r>
      <w:r w:rsidR="00B948E8">
        <w:t>CitiPower's</w:t>
      </w:r>
      <w:r w:rsidRPr="00D86EEB">
        <w:t xml:space="preserve"> revised proposed annual revenue requirements ($million, nominal)</w:t>
      </w:r>
    </w:p>
    <w:p w:rsidR="00E34748" w:rsidRPr="00065685" w:rsidRDefault="00AC061C" w:rsidP="00E34748">
      <w:r w:rsidRPr="00AC061C">
        <w:rPr>
          <w:noProof/>
          <w:lang w:eastAsia="en-AU"/>
        </w:rPr>
        <w:drawing>
          <wp:inline distT="0" distB="0" distL="0" distR="0" wp14:anchorId="7164D2F7" wp14:editId="43FE3F79">
            <wp:extent cx="5382895" cy="3939907"/>
            <wp:effectExtent l="0" t="0" r="825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82895" cy="3939907"/>
                    </a:xfrm>
                    <a:prstGeom prst="rect">
                      <a:avLst/>
                    </a:prstGeom>
                    <a:noFill/>
                    <a:ln>
                      <a:noFill/>
                    </a:ln>
                  </pic:spPr>
                </pic:pic>
              </a:graphicData>
            </a:graphic>
          </wp:inline>
        </w:drawing>
      </w:r>
    </w:p>
    <w:p w:rsidR="00E34748" w:rsidRDefault="00E34748" w:rsidP="00E34748">
      <w:pPr>
        <w:pStyle w:val="AERtablesource"/>
      </w:pPr>
      <w:r>
        <w:t>Source:</w:t>
      </w:r>
      <w:r>
        <w:tab/>
        <w:t>AER analysis</w:t>
      </w:r>
      <w:r w:rsidR="00A247CF">
        <w:t>.</w:t>
      </w:r>
    </w:p>
    <w:p w:rsidR="00172090" w:rsidRPr="00172090" w:rsidRDefault="00E34748" w:rsidP="00172090">
      <w:r w:rsidRPr="00172090">
        <w:t xml:space="preserve">The most significant changes to </w:t>
      </w:r>
      <w:r w:rsidR="00B948E8" w:rsidRPr="00172090">
        <w:t>CitiPower</w:t>
      </w:r>
      <w:r w:rsidRPr="00172090">
        <w:t>'</w:t>
      </w:r>
      <w:r w:rsidR="00B948E8" w:rsidRPr="00172090">
        <w:t>s</w:t>
      </w:r>
      <w:r w:rsidRPr="00172090">
        <w:t xml:space="preserve"> revised proposal include: </w:t>
      </w:r>
    </w:p>
    <w:p w:rsidR="00172090" w:rsidRPr="00172090" w:rsidRDefault="00E34748" w:rsidP="00172090">
      <w:pPr>
        <w:pStyle w:val="AERbulletlistfirststyle"/>
      </w:pPr>
      <w:r w:rsidRPr="00172090">
        <w:t>a reduction in the return on capital allowance of</w:t>
      </w:r>
      <w:r w:rsidR="00420B33" w:rsidRPr="00172090">
        <w:t xml:space="preserve"> 28.6</w:t>
      </w:r>
      <w:r w:rsidR="00BD55BC" w:rsidRPr="00172090">
        <w:t xml:space="preserve"> </w:t>
      </w:r>
      <w:r w:rsidRPr="00172090">
        <w:t>per cent (attachments</w:t>
      </w:r>
      <w:r w:rsidR="00473EE0">
        <w:t xml:space="preserve"> 2 and </w:t>
      </w:r>
      <w:r w:rsidRPr="00172090">
        <w:t>3)</w:t>
      </w:r>
    </w:p>
    <w:p w:rsidR="00172090" w:rsidRPr="00172090" w:rsidRDefault="00E34748" w:rsidP="00172090">
      <w:pPr>
        <w:pStyle w:val="AERbulletlistfirststyle"/>
      </w:pPr>
      <w:r w:rsidRPr="00172090">
        <w:t xml:space="preserve">a reduction in the capex allowance of </w:t>
      </w:r>
      <w:r w:rsidR="00BD55BC" w:rsidRPr="00172090">
        <w:t>6.</w:t>
      </w:r>
      <w:r w:rsidR="00420B33" w:rsidRPr="00172090">
        <w:t>8</w:t>
      </w:r>
      <w:r w:rsidRPr="00172090">
        <w:t xml:space="preserve"> per cent (attachment 6)</w:t>
      </w:r>
    </w:p>
    <w:p w:rsidR="00172090" w:rsidRPr="00172090" w:rsidRDefault="00172090" w:rsidP="00172090">
      <w:pPr>
        <w:pStyle w:val="AERbulletlistfirststyle"/>
      </w:pPr>
      <w:r w:rsidRPr="00172090">
        <w:t>a reduction in the opex allowance of 8.2 per cent (attachment 7)</w:t>
      </w:r>
    </w:p>
    <w:p w:rsidR="00E34748" w:rsidRPr="00172090" w:rsidRDefault="00BD55BC" w:rsidP="00172090">
      <w:pPr>
        <w:pStyle w:val="AERbulletlistfirststyle"/>
      </w:pPr>
      <w:r w:rsidRPr="00172090">
        <w:t xml:space="preserve">a reduction to </w:t>
      </w:r>
      <w:r w:rsidR="00172090" w:rsidRPr="00172090">
        <w:t xml:space="preserve">the cost of </w:t>
      </w:r>
      <w:r w:rsidRPr="00172090">
        <w:t>corporate income tax allowance of</w:t>
      </w:r>
      <w:r w:rsidR="00665058" w:rsidRPr="00172090">
        <w:t xml:space="preserve"> </w:t>
      </w:r>
      <w:r w:rsidR="00420B33" w:rsidRPr="00172090">
        <w:t>39.6</w:t>
      </w:r>
      <w:r w:rsidRPr="00172090">
        <w:t xml:space="preserve"> per cent (attachment 8)</w:t>
      </w:r>
      <w:r w:rsidR="00E34748" w:rsidRPr="00172090">
        <w:t>.</w:t>
      </w:r>
    </w:p>
    <w:p w:rsidR="00E34748" w:rsidRDefault="00E34748" w:rsidP="005E33EA">
      <w:pPr>
        <w:pStyle w:val="Heading3"/>
        <w:ind w:left="578" w:hanging="578"/>
      </w:pPr>
      <w:bookmarkStart w:id="80" w:name="_Toc445114761"/>
      <w:bookmarkStart w:id="81" w:name="_Toc446485038"/>
      <w:bookmarkStart w:id="82" w:name="_Ref451157481"/>
      <w:bookmarkStart w:id="83" w:name="_Toc451356622"/>
      <w:r>
        <w:t>Revenue true-up for 2016</w:t>
      </w:r>
      <w:bookmarkEnd w:id="80"/>
      <w:bookmarkEnd w:id="81"/>
      <w:bookmarkEnd w:id="82"/>
      <w:bookmarkEnd w:id="83"/>
    </w:p>
    <w:p w:rsidR="00E34748" w:rsidRDefault="00E34748" w:rsidP="00E34748">
      <w:pPr>
        <w:numPr>
          <w:ilvl w:val="0"/>
          <w:numId w:val="24"/>
        </w:numPr>
      </w:pPr>
      <w:r>
        <w:t xml:space="preserve">In October 2015, as required under the transitional rules, we made our preliminary decision on </w:t>
      </w:r>
      <w:r w:rsidR="00EB607B">
        <w:t>CitiPower's</w:t>
      </w:r>
      <w:r>
        <w:t xml:space="preserve"> proposed revenue requirement for the 2016–20 regulatory </w:t>
      </w:r>
      <w:r>
        <w:lastRenderedPageBreak/>
        <w:t>control period.</w:t>
      </w:r>
      <w:r>
        <w:rPr>
          <w:rStyle w:val="FootnoteReference"/>
        </w:rPr>
        <w:footnoteReference w:id="4"/>
      </w:r>
      <w:r>
        <w:t xml:space="preserve"> We determined the expected revenue for 2016 of $</w:t>
      </w:r>
      <w:r w:rsidR="00EB607B">
        <w:t>282.9</w:t>
      </w:r>
      <w:r>
        <w:t xml:space="preserve"> million for </w:t>
      </w:r>
      <w:r w:rsidR="00EB607B">
        <w:t xml:space="preserve">CitiPower </w:t>
      </w:r>
      <w:r>
        <w:t>in the preliminary decision.</w:t>
      </w:r>
      <w:r>
        <w:rPr>
          <w:rStyle w:val="FootnoteReference"/>
        </w:rPr>
        <w:footnoteReference w:id="5"/>
      </w:r>
      <w:r>
        <w:t xml:space="preserve"> </w:t>
      </w:r>
    </w:p>
    <w:p w:rsidR="00E34748" w:rsidRDefault="00E34748" w:rsidP="00E34748">
      <w:pPr>
        <w:numPr>
          <w:ilvl w:val="0"/>
          <w:numId w:val="24"/>
        </w:numPr>
      </w:pPr>
      <w:r>
        <w:t>For this final decision, we are required to revoke and substitute the preliminary decision for the ARRs over the 2016–20 regulatory control period. As part of this, we are to determine ARRs for each year of the 2016–20 regulatory control period and use a net present value (NPV) neutral adjustment mechanism to account for any difference between:</w:t>
      </w:r>
      <w:r>
        <w:rPr>
          <w:rStyle w:val="FootnoteReference"/>
        </w:rPr>
        <w:footnoteReference w:id="6"/>
      </w:r>
    </w:p>
    <w:p w:rsidR="00E34748" w:rsidRPr="00EE1AF4" w:rsidRDefault="00E34748" w:rsidP="00E34748">
      <w:pPr>
        <w:pStyle w:val="AERbulletlistfirststyle"/>
      </w:pPr>
      <w:r w:rsidRPr="00EE1AF4">
        <w:t xml:space="preserve">the </w:t>
      </w:r>
      <w:r>
        <w:t>expected revenue for</w:t>
      </w:r>
      <w:r w:rsidRPr="00EE1AF4">
        <w:t xml:space="preserve"> </w:t>
      </w:r>
      <w:r>
        <w:t>2016 approved in the preliminary decision</w:t>
      </w:r>
      <w:r w:rsidRPr="00EE1AF4">
        <w:t>, and</w:t>
      </w:r>
    </w:p>
    <w:p w:rsidR="00E34748" w:rsidRDefault="00E34748" w:rsidP="00E34748">
      <w:pPr>
        <w:pStyle w:val="AERbulletlistfirststyle"/>
      </w:pPr>
      <w:r w:rsidRPr="00EE1AF4">
        <w:t>the ARR for 201</w:t>
      </w:r>
      <w:r>
        <w:t>6</w:t>
      </w:r>
      <w:r w:rsidRPr="00EE1AF4">
        <w:t xml:space="preserve"> that is established through th</w:t>
      </w:r>
      <w:r>
        <w:t xml:space="preserve">is final </w:t>
      </w:r>
      <w:r w:rsidRPr="00EE1AF4">
        <w:t>determination process.</w:t>
      </w:r>
    </w:p>
    <w:p w:rsidR="00E34748" w:rsidRDefault="00E34748" w:rsidP="004B054F">
      <w:r>
        <w:t xml:space="preserve">Our final decision approves the 2016 </w:t>
      </w:r>
      <w:r w:rsidRPr="004B054F">
        <w:t>ARR of $</w:t>
      </w:r>
      <w:r w:rsidR="00BD55BC" w:rsidRPr="004B054F">
        <w:t>27</w:t>
      </w:r>
      <w:r w:rsidR="004B054F" w:rsidRPr="004B054F">
        <w:t>5</w:t>
      </w:r>
      <w:r w:rsidR="00BD55BC" w:rsidRPr="004B054F">
        <w:t>.</w:t>
      </w:r>
      <w:r w:rsidR="00420B33" w:rsidRPr="004B054F">
        <w:t>5</w:t>
      </w:r>
      <w:r w:rsidRPr="004B054F">
        <w:t xml:space="preserve"> million for </w:t>
      </w:r>
      <w:r w:rsidR="00EB607B" w:rsidRPr="004B054F">
        <w:t>CitiPower</w:t>
      </w:r>
      <w:r>
        <w:t xml:space="preserve">. To give effect to the true-up, we have set </w:t>
      </w:r>
      <w:r w:rsidR="00EB607B">
        <w:t>CitiPower</w:t>
      </w:r>
      <w:r>
        <w:t>'</w:t>
      </w:r>
      <w:r w:rsidR="00EB607B">
        <w:t>s</w:t>
      </w:r>
      <w:r>
        <w:t xml:space="preserve"> first year expected revenue in the post-tax revenue model (PTRM) equal to our preliminary decision revenue for 2016 of $</w:t>
      </w:r>
      <w:r w:rsidR="00EB607B">
        <w:t>282.9</w:t>
      </w:r>
      <w:r>
        <w:t> million. This is the only practical option as prices were set for 2016 based on this approved preliminary decision amount. This approach means that the difference in the revenues for 2016 between the preliminary and final decisions is accounted for in the remaining four years of the 2016–20 regulatory control period. That is, the expected revenue for 2016 established from the preliminary decision provides a base from which the expected revenues for the remaining four years of the 2016–20 regulatory control period are calculated. This is done through the determination of the X factors for each of the remaining years in that period.</w:t>
      </w:r>
      <w:r>
        <w:rPr>
          <w:rStyle w:val="FootnoteReference"/>
        </w:rPr>
        <w:footnoteReference w:id="7"/>
      </w:r>
      <w:r>
        <w:t xml:space="preserve"> This gives effect to the true-up </w:t>
      </w:r>
      <w:r w:rsidRPr="00E3757D">
        <w:t xml:space="preserve">requirements under the NER and ensures that the </w:t>
      </w:r>
      <w:r w:rsidRPr="004B054F">
        <w:t>difference of $</w:t>
      </w:r>
      <w:r w:rsidR="00420B33" w:rsidRPr="004B054F">
        <w:t>7.3</w:t>
      </w:r>
      <w:r w:rsidRPr="004B054F">
        <w:t> million is returned</w:t>
      </w:r>
      <w:r w:rsidRPr="00E3757D">
        <w:t xml:space="preserve"> to</w:t>
      </w:r>
      <w:r>
        <w:t xml:space="preserve"> customers over the remaining four years of the 2016–20 regulatory control period (adjusted for the time value of money).</w:t>
      </w:r>
    </w:p>
    <w:p w:rsidR="00EB607B" w:rsidRPr="00EB607B" w:rsidRDefault="00EB607B" w:rsidP="00EB607B">
      <w:pPr>
        <w:numPr>
          <w:ilvl w:val="0"/>
          <w:numId w:val="24"/>
        </w:numPr>
      </w:pPr>
      <w:r>
        <w:t>CitiPower</w:t>
      </w:r>
      <w:r w:rsidRPr="00EB607B">
        <w:t>'s revised proposal adopted this approach for the adjustment.</w:t>
      </w:r>
      <w:r w:rsidR="005C652D">
        <w:rPr>
          <w:rStyle w:val="FootnoteReference"/>
        </w:rPr>
        <w:footnoteReference w:id="8"/>
      </w:r>
    </w:p>
    <w:p w:rsidR="00E34748" w:rsidRDefault="00E34748" w:rsidP="005E33EA">
      <w:pPr>
        <w:pStyle w:val="Heading3"/>
        <w:ind w:left="578" w:hanging="578"/>
      </w:pPr>
      <w:bookmarkStart w:id="84" w:name="_Toc445114762"/>
      <w:bookmarkStart w:id="85" w:name="_Toc446485039"/>
      <w:bookmarkStart w:id="86" w:name="_Toc451356623"/>
      <w:r>
        <w:t>Revenue smoothing</w:t>
      </w:r>
      <w:bookmarkEnd w:id="84"/>
      <w:bookmarkEnd w:id="85"/>
      <w:bookmarkEnd w:id="86"/>
    </w:p>
    <w:p w:rsidR="00E34748" w:rsidRDefault="00E34748" w:rsidP="004B054F">
      <w:r>
        <w:t xml:space="preserve">We have taken the building block costs determined in this decision and smoothed them to determine </w:t>
      </w:r>
      <w:r w:rsidRPr="00BD4F8B">
        <w:t>the expected revenues</w:t>
      </w:r>
      <w:r>
        <w:t xml:space="preserve"> for </w:t>
      </w:r>
      <w:r w:rsidR="005C652D">
        <w:t>CitiPower</w:t>
      </w:r>
      <w:r>
        <w:t xml:space="preserve"> over the 2016–20 regulatory control period. In doing so and for the reasons discussed in section 1.4.1, w</w:t>
      </w:r>
      <w:r w:rsidRPr="001C28C6">
        <w:t xml:space="preserve">e first set </w:t>
      </w:r>
      <w:r>
        <w:t>the expected revenue</w:t>
      </w:r>
      <w:r w:rsidRPr="001C28C6">
        <w:t xml:space="preserve"> fo</w:t>
      </w:r>
      <w:r>
        <w:t>r the first regulatory year (2016</w:t>
      </w:r>
      <w:r w:rsidRPr="00761E8F">
        <w:t xml:space="preserve">) at </w:t>
      </w:r>
      <w:r w:rsidRPr="00C83946">
        <w:t>$</w:t>
      </w:r>
      <w:r w:rsidR="005C652D">
        <w:t>282.9</w:t>
      </w:r>
      <w:r>
        <w:t> </w:t>
      </w:r>
      <w:r w:rsidRPr="00C83946">
        <w:t>million ($</w:t>
      </w:r>
      <w:r>
        <w:t> </w:t>
      </w:r>
      <w:r w:rsidRPr="00C83946">
        <w:t>nominal).</w:t>
      </w:r>
      <w:r w:rsidRPr="00761E8F">
        <w:t xml:space="preserve"> This</w:t>
      </w:r>
      <w:r w:rsidRPr="001C28C6">
        <w:t xml:space="preserve"> </w:t>
      </w:r>
      <w:r w:rsidRPr="004B054F">
        <w:t>is higher than</w:t>
      </w:r>
      <w:r w:rsidRPr="001C28C6">
        <w:t xml:space="preserve"> the 201</w:t>
      </w:r>
      <w:r>
        <w:t>6</w:t>
      </w:r>
      <w:r w:rsidRPr="001C28C6">
        <w:t xml:space="preserve"> </w:t>
      </w:r>
      <w:r>
        <w:t>ARR (unsmoothed) we have no</w:t>
      </w:r>
      <w:r w:rsidRPr="00761E8F">
        <w:t xml:space="preserve">w </w:t>
      </w:r>
      <w:r w:rsidRPr="004B054F">
        <w:t>determined, which is $</w:t>
      </w:r>
      <w:r w:rsidR="00DD3C0B" w:rsidRPr="004B054F">
        <w:t>27</w:t>
      </w:r>
      <w:r w:rsidR="00420B33" w:rsidRPr="004B054F">
        <w:t>5.5</w:t>
      </w:r>
      <w:r w:rsidRPr="004B054F">
        <w:t> million ($ nominal). We then applied a profile of X factors</w:t>
      </w:r>
      <w:r w:rsidRPr="001C28C6">
        <w:t xml:space="preserve"> to determine the expected </w:t>
      </w:r>
      <w:r>
        <w:t>revenue</w:t>
      </w:r>
      <w:r w:rsidRPr="001C28C6">
        <w:t xml:space="preserve"> in subsequent years.</w:t>
      </w:r>
    </w:p>
    <w:p w:rsidR="00E34748" w:rsidRDefault="00E34748" w:rsidP="004B054F">
      <w:r w:rsidRPr="00F424C3">
        <w:lastRenderedPageBreak/>
        <w:t xml:space="preserve">We consider that our profile of X factors </w:t>
      </w:r>
      <w:r>
        <w:t xml:space="preserve">is reasonable in the circumstances. Revenues determined for this final decision are higher than expected in the preliminary decision due to various changes to the building blocks. Accordingly, expected revenues (smoothed) will increase in the remaining years of the 2016–20 regulatory control period, rather than decrease as anticipated in the preliminary decision. We have mitigated the revenue increase for 2017 somewhat by spreading the increases over the remaining four years of the regulatory control period. We have limited the difference between smoothed and unsmoothed revenues in the last year of the 2016–20 regulatory control period </w:t>
      </w:r>
      <w:r w:rsidRPr="004B054F">
        <w:t xml:space="preserve">to </w:t>
      </w:r>
      <w:r w:rsidR="004B054F" w:rsidRPr="004B054F">
        <w:t xml:space="preserve">less than </w:t>
      </w:r>
      <w:r w:rsidRPr="004B054F">
        <w:t>three per cent. This mitigates</w:t>
      </w:r>
      <w:r>
        <w:t xml:space="preserve"> the potential for any step changes in revenues at the end of the regulatory control period.</w:t>
      </w:r>
      <w:r>
        <w:rPr>
          <w:rStyle w:val="FootnoteReference"/>
        </w:rPr>
        <w:footnoteReference w:id="9"/>
      </w:r>
    </w:p>
    <w:p w:rsidR="00E34748" w:rsidRDefault="00E34748" w:rsidP="005E33EA">
      <w:pPr>
        <w:pStyle w:val="Heading3"/>
        <w:ind w:left="578" w:hanging="578"/>
      </w:pPr>
      <w:bookmarkStart w:id="87" w:name="_Toc445114763"/>
      <w:bookmarkStart w:id="88" w:name="_Toc446485040"/>
      <w:bookmarkStart w:id="89" w:name="_Toc451356624"/>
      <w:r>
        <w:t>Shared assets</w:t>
      </w:r>
      <w:bookmarkEnd w:id="87"/>
      <w:bookmarkEnd w:id="88"/>
      <w:bookmarkEnd w:id="89"/>
    </w:p>
    <w:p w:rsidR="005C652D" w:rsidRPr="005C652D" w:rsidRDefault="005C652D" w:rsidP="005C652D">
      <w:r w:rsidRPr="005C652D">
        <w:t xml:space="preserve">Our final decision is to accept the shared asset unregulated revenues forecast in </w:t>
      </w:r>
      <w:r>
        <w:t>CitiPower's</w:t>
      </w:r>
      <w:r w:rsidRPr="005C652D">
        <w:t xml:space="preserve"> revised proposal. However, we amended the shared asset revenue adjustments proposed by </w:t>
      </w:r>
      <w:r>
        <w:t>CitiPower</w:t>
      </w:r>
      <w:r w:rsidRPr="005C652D">
        <w:t xml:space="preserve"> using an updated assessment of materiality threshold based on the final decision revenues.</w:t>
      </w:r>
    </w:p>
    <w:p w:rsidR="005C652D" w:rsidRPr="005C652D" w:rsidRDefault="005C652D" w:rsidP="005C652D">
      <w:pPr>
        <w:numPr>
          <w:ilvl w:val="0"/>
          <w:numId w:val="24"/>
        </w:numPr>
      </w:pPr>
      <w:r w:rsidRPr="005C652D">
        <w:t xml:space="preserve">Service providers, such as </w:t>
      </w:r>
      <w:r>
        <w:t>CitiPower,</w:t>
      </w:r>
      <w:r w:rsidRPr="005C652D">
        <w:t xml:space="preserve"> may use assets to provide both standard control services we regulate and unregulated services. These assets are called 'shared assets'.</w:t>
      </w:r>
      <w:r w:rsidR="00145A8F">
        <w:rPr>
          <w:rStyle w:val="FootnoteReference"/>
        </w:rPr>
        <w:footnoteReference w:id="10"/>
      </w:r>
      <w:r w:rsidR="00145A8F">
        <w:t xml:space="preserve"> </w:t>
      </w:r>
      <w:r w:rsidRPr="005C652D">
        <w:t>Of the unregulated revenues a service provider earns from shared assets, 10 per cent will be used to reduce the service provider's prices for standard control services.</w:t>
      </w:r>
      <w:r w:rsidRPr="005C652D">
        <w:rPr>
          <w:rStyle w:val="AERsuperscript"/>
        </w:rPr>
        <w:footnoteReference w:id="11"/>
      </w:r>
      <w:r w:rsidRPr="005C652D">
        <w:t xml:space="preserve"> </w:t>
      </w:r>
    </w:p>
    <w:p w:rsidR="005C652D" w:rsidRPr="005C652D" w:rsidRDefault="005C652D" w:rsidP="005C652D">
      <w:pPr>
        <w:numPr>
          <w:ilvl w:val="0"/>
          <w:numId w:val="24"/>
        </w:numPr>
      </w:pPr>
      <w:r w:rsidRPr="005C652D">
        <w:t xml:space="preserve">Shared asset price reductions are subject to a materiality threshold. Unregulated use of shared assets is material when a service provider's unregulated revenues from shared assets in a specific regulatory year are expected to be greater than </w:t>
      </w:r>
      <w:r w:rsidR="00366A53">
        <w:t>one</w:t>
      </w:r>
      <w:r w:rsidR="00366A53" w:rsidRPr="005C652D">
        <w:t xml:space="preserve"> </w:t>
      </w:r>
      <w:r w:rsidRPr="005C652D">
        <w:t>per cent of its total expected revenue for that regulatory year.</w:t>
      </w:r>
      <w:r w:rsidRPr="005C652D">
        <w:rPr>
          <w:rStyle w:val="AERsuperscript"/>
        </w:rPr>
        <w:footnoteReference w:id="12"/>
      </w:r>
      <w:r w:rsidRPr="005C652D">
        <w:t xml:space="preserve">  </w:t>
      </w:r>
    </w:p>
    <w:p w:rsidR="005C652D" w:rsidRPr="005C652D" w:rsidRDefault="005C652D" w:rsidP="004B054F">
      <w:r w:rsidRPr="005C652D">
        <w:t xml:space="preserve">In the preliminary decision, </w:t>
      </w:r>
      <w:r>
        <w:t>we consider</w:t>
      </w:r>
      <w:r w:rsidR="00DA4657">
        <w:t>ed</w:t>
      </w:r>
      <w:r>
        <w:t xml:space="preserve"> CitiPower's proposed </w:t>
      </w:r>
      <w:r w:rsidR="00DA4657">
        <w:t xml:space="preserve">forecast </w:t>
      </w:r>
      <w:r w:rsidRPr="005C652D">
        <w:rPr>
          <w:rStyle w:val="AERbody"/>
        </w:rPr>
        <w:t>shared asset unregulated revenues</w:t>
      </w:r>
      <w:r w:rsidR="00DA4657">
        <w:rPr>
          <w:rStyle w:val="AERbody"/>
        </w:rPr>
        <w:t xml:space="preserve"> measured in</w:t>
      </w:r>
      <w:r>
        <w:rPr>
          <w:rStyle w:val="AERbody"/>
        </w:rPr>
        <w:t xml:space="preserve"> real </w:t>
      </w:r>
      <w:r w:rsidR="00DA4657">
        <w:rPr>
          <w:rStyle w:val="AERbody"/>
        </w:rPr>
        <w:t xml:space="preserve">dollar </w:t>
      </w:r>
      <w:r>
        <w:rPr>
          <w:rStyle w:val="AERbody"/>
        </w:rPr>
        <w:t>terms</w:t>
      </w:r>
      <w:r w:rsidR="00DA4657">
        <w:rPr>
          <w:rStyle w:val="AERbody"/>
        </w:rPr>
        <w:t xml:space="preserve"> </w:t>
      </w:r>
      <w:r w:rsidR="00016ADF">
        <w:rPr>
          <w:rStyle w:val="AERbody"/>
        </w:rPr>
        <w:t>to be</w:t>
      </w:r>
      <w:r w:rsidR="00DA4657">
        <w:rPr>
          <w:rStyle w:val="AERbody"/>
        </w:rPr>
        <w:t xml:space="preserve"> reasonable</w:t>
      </w:r>
      <w:r>
        <w:rPr>
          <w:rStyle w:val="AERbody"/>
        </w:rPr>
        <w:t xml:space="preserve">. </w:t>
      </w:r>
      <w:r w:rsidR="00DA4657">
        <w:rPr>
          <w:rStyle w:val="AERbody"/>
        </w:rPr>
        <w:t xml:space="preserve">After correcting for an error in </w:t>
      </w:r>
      <w:r w:rsidR="00C23FA4">
        <w:rPr>
          <w:rStyle w:val="AERbody"/>
        </w:rPr>
        <w:t xml:space="preserve">the </w:t>
      </w:r>
      <w:r w:rsidR="00DA4657">
        <w:rPr>
          <w:rStyle w:val="AERbody"/>
        </w:rPr>
        <w:t xml:space="preserve">inflation indexation </w:t>
      </w:r>
      <w:r w:rsidR="00C23FA4">
        <w:rPr>
          <w:rStyle w:val="AERbody"/>
        </w:rPr>
        <w:t xml:space="preserve">of the proposed amounts into nominal dollar terms, </w:t>
      </w:r>
      <w:r w:rsidRPr="005C652D">
        <w:t xml:space="preserve">we accepted </w:t>
      </w:r>
      <w:r w:rsidR="00DA4657">
        <w:t>Cit</w:t>
      </w:r>
      <w:r w:rsidR="00016ADF">
        <w:t>i</w:t>
      </w:r>
      <w:r w:rsidR="00DA4657">
        <w:t>Power</w:t>
      </w:r>
      <w:r w:rsidRPr="005C652D">
        <w:t>'s proposed shared asset revenue adjustments using updated assessment of materiality threshold based on the preliminary decision revenues.</w:t>
      </w:r>
      <w:r w:rsidRPr="005C652D">
        <w:rPr>
          <w:rStyle w:val="FootnoteReference"/>
        </w:rPr>
        <w:footnoteReference w:id="13"/>
      </w:r>
      <w:r w:rsidRPr="005C652D">
        <w:t xml:space="preserve"> </w:t>
      </w:r>
      <w:r w:rsidR="00DA4657">
        <w:t>CitiPower</w:t>
      </w:r>
      <w:r w:rsidR="00016ADF">
        <w:t>'s</w:t>
      </w:r>
      <w:r w:rsidRPr="005C652D">
        <w:t xml:space="preserve"> revised proposal </w:t>
      </w:r>
      <w:r w:rsidR="00C23FA4">
        <w:t>a</w:t>
      </w:r>
      <w:r w:rsidR="00016ADF">
        <w:t>dopted</w:t>
      </w:r>
      <w:r w:rsidR="00C23FA4">
        <w:t xml:space="preserve"> the preliminary decision amendment related to the inflation indexation, but have </w:t>
      </w:r>
      <w:r w:rsidRPr="005C652D">
        <w:t xml:space="preserve">updated the shared asset revenue adjustments based on its revised proposal revenues. </w:t>
      </w:r>
      <w:r w:rsidR="00DA4657">
        <w:t>CitiPower</w:t>
      </w:r>
      <w:r w:rsidRPr="005C652D">
        <w:t xml:space="preserve"> submitted that its shared asset unregulated revenues will </w:t>
      </w:r>
      <w:r w:rsidR="00DA4657">
        <w:t xml:space="preserve">only </w:t>
      </w:r>
      <w:r w:rsidRPr="005C652D">
        <w:t>meet the shared asset threshold in</w:t>
      </w:r>
      <w:r w:rsidR="00DA4657">
        <w:t xml:space="preserve"> the </w:t>
      </w:r>
      <w:r w:rsidR="00DA4657">
        <w:lastRenderedPageBreak/>
        <w:t xml:space="preserve">first </w:t>
      </w:r>
      <w:r w:rsidRPr="005C652D">
        <w:t xml:space="preserve">year of the 2016–20 regulatory control period. However, as noted in the preliminary decision, </w:t>
      </w:r>
      <w:r w:rsidR="00DA4657">
        <w:t>CitiPower</w:t>
      </w:r>
      <w:r w:rsidRPr="005C652D">
        <w:t xml:space="preserve">'s revised forecast unregulated revenues must be compared to the total regulated revenues we determine, rather than the total revenue proposed by </w:t>
      </w:r>
      <w:r w:rsidR="00DA4657">
        <w:t>CitiPower</w:t>
      </w:r>
      <w:r w:rsidRPr="005C652D">
        <w:t xml:space="preserve">. </w:t>
      </w:r>
      <w:r w:rsidRPr="005C652D">
        <w:rPr>
          <w:rStyle w:val="AERbody"/>
        </w:rPr>
        <w:t>Our final decision sets lower expected revenue than</w:t>
      </w:r>
      <w:r w:rsidR="00DA4657">
        <w:rPr>
          <w:rStyle w:val="AERbody"/>
        </w:rPr>
        <w:t xml:space="preserve"> CitiPower's</w:t>
      </w:r>
      <w:r w:rsidRPr="005C652D">
        <w:rPr>
          <w:rStyle w:val="AERbody"/>
        </w:rPr>
        <w:t xml:space="preserve"> revised proposal, so</w:t>
      </w:r>
      <w:r w:rsidRPr="005C652D">
        <w:t xml:space="preserve"> we estimate that </w:t>
      </w:r>
      <w:r w:rsidR="00DA4657">
        <w:t>CitiPower</w:t>
      </w:r>
      <w:r w:rsidRPr="005C652D">
        <w:t xml:space="preserve">'s unregulated revenues are </w:t>
      </w:r>
      <w:r w:rsidRPr="004B054F">
        <w:t xml:space="preserve">between </w:t>
      </w:r>
      <w:r w:rsidR="00DD3C0B" w:rsidRPr="004B054F">
        <w:t>1.0</w:t>
      </w:r>
      <w:r w:rsidRPr="004B054F">
        <w:t xml:space="preserve"> and </w:t>
      </w:r>
      <w:r w:rsidR="00DD3C0B" w:rsidRPr="004B054F">
        <w:t>1.</w:t>
      </w:r>
      <w:r w:rsidR="004B054F" w:rsidRPr="004B054F">
        <w:t>1</w:t>
      </w:r>
      <w:r w:rsidRPr="004B054F">
        <w:t> per cent of its total</w:t>
      </w:r>
      <w:r w:rsidRPr="005C652D">
        <w:t xml:space="preserve"> expected revenue in each regulatory year of the 2016–20 regulatory control period. We are satisfied </w:t>
      </w:r>
      <w:r w:rsidR="00DA4657">
        <w:t>CitiPower</w:t>
      </w:r>
      <w:r w:rsidRPr="005C652D">
        <w:t xml:space="preserve">'s shared asset unregulated revenues meet the threshold for revenue adjustments in each year of the 2016–20 regulatory control period. </w:t>
      </w:r>
    </w:p>
    <w:p w:rsidR="005C652D" w:rsidRPr="005C652D" w:rsidRDefault="005C652D" w:rsidP="005C652D">
      <w:pPr>
        <w:numPr>
          <w:ilvl w:val="0"/>
          <w:numId w:val="24"/>
        </w:numPr>
      </w:pPr>
      <w:r w:rsidRPr="005C652D">
        <w:t>Our final decision is therefore to apply a shared asset revenue adjustment as shown in</w:t>
      </w:r>
      <w:r w:rsidR="00DA4657">
        <w:t xml:space="preserve"> </w:t>
      </w:r>
      <w:r w:rsidR="00DA4657">
        <w:fldChar w:fldCharType="begin"/>
      </w:r>
      <w:r w:rsidR="00DA4657">
        <w:instrText xml:space="preserve"> REF  _Ref444780838 \* Lower \h </w:instrText>
      </w:r>
      <w:r w:rsidR="00DA4657">
        <w:fldChar w:fldCharType="separate"/>
      </w:r>
      <w:r w:rsidR="00473EE0" w:rsidRPr="005C652D">
        <w:t xml:space="preserve">table </w:t>
      </w:r>
      <w:r w:rsidR="00473EE0">
        <w:rPr>
          <w:noProof/>
        </w:rPr>
        <w:t>1</w:t>
      </w:r>
      <w:r w:rsidR="00473EE0" w:rsidRPr="005C652D">
        <w:t>.</w:t>
      </w:r>
      <w:r w:rsidR="00473EE0">
        <w:rPr>
          <w:noProof/>
        </w:rPr>
        <w:t>3</w:t>
      </w:r>
      <w:r w:rsidR="00DA4657">
        <w:fldChar w:fldCharType="end"/>
      </w:r>
      <w:r w:rsidRPr="005C652D">
        <w:t>. The shared asset revenue adjustment is a total reduction of $</w:t>
      </w:r>
      <w:r w:rsidR="00DA4657">
        <w:t>1.</w:t>
      </w:r>
      <w:r w:rsidR="004B054F">
        <w:t>5</w:t>
      </w:r>
      <w:r w:rsidR="00DA4657">
        <w:t xml:space="preserve"> </w:t>
      </w:r>
      <w:r w:rsidRPr="005C652D">
        <w:t>million ($ nominal) across the 2016–20 regulatory control period.</w:t>
      </w:r>
    </w:p>
    <w:p w:rsidR="005C652D" w:rsidRPr="005C652D" w:rsidRDefault="005C652D" w:rsidP="005C652D">
      <w:pPr>
        <w:pStyle w:val="Caption"/>
      </w:pPr>
      <w:bookmarkStart w:id="90" w:name="_Ref444780838"/>
      <w:r w:rsidRPr="005C652D">
        <w:t xml:space="preserve">Table </w:t>
      </w:r>
      <w:fldSimple w:instr=" STYLEREF 1 \s ">
        <w:r w:rsidR="00473EE0">
          <w:rPr>
            <w:noProof/>
          </w:rPr>
          <w:t>1</w:t>
        </w:r>
      </w:fldSimple>
      <w:r w:rsidRPr="005C652D">
        <w:t>.</w:t>
      </w:r>
      <w:fldSimple w:instr=" SEQ Table \* ARABIC \s 1 ">
        <w:r w:rsidR="00473EE0">
          <w:rPr>
            <w:noProof/>
          </w:rPr>
          <w:t>3</w:t>
        </w:r>
      </w:fldSimple>
      <w:bookmarkEnd w:id="90"/>
      <w:r w:rsidRPr="005C652D">
        <w:tab/>
        <w:t xml:space="preserve">AER's final decision on </w:t>
      </w:r>
      <w:r w:rsidR="00DA4657">
        <w:t>CitiPower</w:t>
      </w:r>
      <w:r w:rsidRPr="005C652D">
        <w:t>'s shared asset revenue adjustment ($million, nominal)</w:t>
      </w:r>
    </w:p>
    <w:tbl>
      <w:tblPr>
        <w:tblStyle w:val="AERtable-numbers"/>
        <w:tblW w:w="8666" w:type="dxa"/>
        <w:tblLook w:val="04A0" w:firstRow="1" w:lastRow="0" w:firstColumn="1" w:lastColumn="0" w:noHBand="0" w:noVBand="1"/>
      </w:tblPr>
      <w:tblGrid>
        <w:gridCol w:w="2943"/>
        <w:gridCol w:w="903"/>
        <w:gridCol w:w="993"/>
        <w:gridCol w:w="992"/>
        <w:gridCol w:w="992"/>
        <w:gridCol w:w="851"/>
        <w:gridCol w:w="992"/>
      </w:tblGrid>
      <w:tr w:rsidR="005C652D" w:rsidTr="004617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rsidR="005C652D" w:rsidRPr="005C652D" w:rsidRDefault="005C652D" w:rsidP="005C652D"/>
        </w:tc>
        <w:tc>
          <w:tcPr>
            <w:tcW w:w="903" w:type="dxa"/>
          </w:tcPr>
          <w:p w:rsidR="005C652D" w:rsidRPr="005C652D" w:rsidRDefault="005C652D" w:rsidP="005C652D">
            <w:pPr>
              <w:cnfStyle w:val="100000000000" w:firstRow="1" w:lastRow="0" w:firstColumn="0" w:lastColumn="0" w:oddVBand="0" w:evenVBand="0" w:oddHBand="0" w:evenHBand="0" w:firstRowFirstColumn="0" w:firstRowLastColumn="0" w:lastRowFirstColumn="0" w:lastRowLastColumn="0"/>
            </w:pPr>
            <w:r w:rsidRPr="005C652D">
              <w:t>2016</w:t>
            </w:r>
          </w:p>
        </w:tc>
        <w:tc>
          <w:tcPr>
            <w:tcW w:w="993" w:type="dxa"/>
          </w:tcPr>
          <w:p w:rsidR="005C652D" w:rsidRPr="005C652D" w:rsidRDefault="005C652D" w:rsidP="005C652D">
            <w:pPr>
              <w:cnfStyle w:val="100000000000" w:firstRow="1" w:lastRow="0" w:firstColumn="0" w:lastColumn="0" w:oddVBand="0" w:evenVBand="0" w:oddHBand="0" w:evenHBand="0" w:firstRowFirstColumn="0" w:firstRowLastColumn="0" w:lastRowFirstColumn="0" w:lastRowLastColumn="0"/>
            </w:pPr>
            <w:r w:rsidRPr="005C652D">
              <w:t>2017</w:t>
            </w:r>
          </w:p>
        </w:tc>
        <w:tc>
          <w:tcPr>
            <w:tcW w:w="992" w:type="dxa"/>
          </w:tcPr>
          <w:p w:rsidR="005C652D" w:rsidRPr="005C652D" w:rsidRDefault="005C652D" w:rsidP="005C652D">
            <w:pPr>
              <w:cnfStyle w:val="100000000000" w:firstRow="1" w:lastRow="0" w:firstColumn="0" w:lastColumn="0" w:oddVBand="0" w:evenVBand="0" w:oddHBand="0" w:evenHBand="0" w:firstRowFirstColumn="0" w:firstRowLastColumn="0" w:lastRowFirstColumn="0" w:lastRowLastColumn="0"/>
            </w:pPr>
            <w:r w:rsidRPr="005C652D">
              <w:t>2018</w:t>
            </w:r>
          </w:p>
        </w:tc>
        <w:tc>
          <w:tcPr>
            <w:tcW w:w="992" w:type="dxa"/>
          </w:tcPr>
          <w:p w:rsidR="005C652D" w:rsidRPr="005C652D" w:rsidRDefault="005C652D" w:rsidP="005C652D">
            <w:pPr>
              <w:cnfStyle w:val="100000000000" w:firstRow="1" w:lastRow="0" w:firstColumn="0" w:lastColumn="0" w:oddVBand="0" w:evenVBand="0" w:oddHBand="0" w:evenHBand="0" w:firstRowFirstColumn="0" w:firstRowLastColumn="0" w:lastRowFirstColumn="0" w:lastRowLastColumn="0"/>
            </w:pPr>
            <w:r w:rsidRPr="005C652D">
              <w:t>2019</w:t>
            </w:r>
          </w:p>
        </w:tc>
        <w:tc>
          <w:tcPr>
            <w:tcW w:w="851" w:type="dxa"/>
          </w:tcPr>
          <w:p w:rsidR="005C652D" w:rsidRPr="005C652D" w:rsidRDefault="005C652D" w:rsidP="005C652D">
            <w:pPr>
              <w:cnfStyle w:val="100000000000" w:firstRow="1" w:lastRow="0" w:firstColumn="0" w:lastColumn="0" w:oddVBand="0" w:evenVBand="0" w:oddHBand="0" w:evenHBand="0" w:firstRowFirstColumn="0" w:firstRowLastColumn="0" w:lastRowFirstColumn="0" w:lastRowLastColumn="0"/>
            </w:pPr>
            <w:r w:rsidRPr="005C652D">
              <w:t>2020</w:t>
            </w:r>
          </w:p>
        </w:tc>
        <w:tc>
          <w:tcPr>
            <w:tcW w:w="992" w:type="dxa"/>
          </w:tcPr>
          <w:p w:rsidR="005C652D" w:rsidRPr="005C652D" w:rsidRDefault="005C652D" w:rsidP="005C652D">
            <w:pPr>
              <w:cnfStyle w:val="100000000000" w:firstRow="1" w:lastRow="0" w:firstColumn="0" w:lastColumn="0" w:oddVBand="0" w:evenVBand="0" w:oddHBand="0" w:evenHBand="0" w:firstRowFirstColumn="0" w:firstRowLastColumn="0" w:lastRowFirstColumn="0" w:lastRowLastColumn="0"/>
            </w:pPr>
            <w:r w:rsidRPr="005C652D">
              <w:t>Total</w:t>
            </w:r>
          </w:p>
        </w:tc>
      </w:tr>
      <w:tr w:rsidR="005C652D" w:rsidTr="004617F7">
        <w:trPr>
          <w:trHeight w:val="391"/>
        </w:trPr>
        <w:tc>
          <w:tcPr>
            <w:cnfStyle w:val="001000000000" w:firstRow="0" w:lastRow="0" w:firstColumn="1" w:lastColumn="0" w:oddVBand="0" w:evenVBand="0" w:oddHBand="0" w:evenHBand="0" w:firstRowFirstColumn="0" w:firstRowLastColumn="0" w:lastRowFirstColumn="0" w:lastRowLastColumn="0"/>
            <w:tcW w:w="2943" w:type="dxa"/>
          </w:tcPr>
          <w:p w:rsidR="005C652D" w:rsidRPr="005C652D" w:rsidRDefault="00DA4657" w:rsidP="005C652D">
            <w:r>
              <w:t>CitiPower</w:t>
            </w:r>
            <w:r w:rsidR="005C652D" w:rsidRPr="005C652D">
              <w:t xml:space="preserve"> revised proposed shared asset revenue adjustment</w:t>
            </w:r>
          </w:p>
        </w:tc>
        <w:tc>
          <w:tcPr>
            <w:tcW w:w="903" w:type="dxa"/>
            <w:vAlign w:val="bottom"/>
          </w:tcPr>
          <w:p w:rsidR="005C652D" w:rsidRPr="005C652D" w:rsidRDefault="005E7C12" w:rsidP="005C652D">
            <w:pPr>
              <w:cnfStyle w:val="000000000000" w:firstRow="0" w:lastRow="0" w:firstColumn="0" w:lastColumn="0" w:oddVBand="0" w:evenVBand="0" w:oddHBand="0" w:evenHBand="0" w:firstRowFirstColumn="0" w:firstRowLastColumn="0" w:lastRowFirstColumn="0" w:lastRowLastColumn="0"/>
            </w:pPr>
            <w:r>
              <w:t>–0.</w:t>
            </w:r>
            <w:r w:rsidR="004B054F">
              <w:t>3</w:t>
            </w:r>
          </w:p>
        </w:tc>
        <w:tc>
          <w:tcPr>
            <w:tcW w:w="993" w:type="dxa"/>
            <w:vAlign w:val="bottom"/>
          </w:tcPr>
          <w:p w:rsidR="005C652D" w:rsidRPr="005C652D" w:rsidRDefault="004B054F" w:rsidP="005C652D">
            <w:pPr>
              <w:cnfStyle w:val="000000000000" w:firstRow="0" w:lastRow="0" w:firstColumn="0" w:lastColumn="0" w:oddVBand="0" w:evenVBand="0" w:oddHBand="0" w:evenHBand="0" w:firstRowFirstColumn="0" w:firstRowLastColumn="0" w:lastRowFirstColumn="0" w:lastRowLastColumn="0"/>
            </w:pPr>
            <w:r>
              <w:t>0.</w:t>
            </w:r>
            <w:r w:rsidR="005E7C12">
              <w:t>0</w:t>
            </w:r>
          </w:p>
        </w:tc>
        <w:tc>
          <w:tcPr>
            <w:tcW w:w="992" w:type="dxa"/>
            <w:vAlign w:val="bottom"/>
          </w:tcPr>
          <w:p w:rsidR="005C652D" w:rsidRPr="005C652D" w:rsidRDefault="005E7C12" w:rsidP="004B054F">
            <w:pPr>
              <w:cnfStyle w:val="000000000000" w:firstRow="0" w:lastRow="0" w:firstColumn="0" w:lastColumn="0" w:oddVBand="0" w:evenVBand="0" w:oddHBand="0" w:evenHBand="0" w:firstRowFirstColumn="0" w:firstRowLastColumn="0" w:lastRowFirstColumn="0" w:lastRowLastColumn="0"/>
            </w:pPr>
            <w:r>
              <w:t>0.0</w:t>
            </w:r>
          </w:p>
        </w:tc>
        <w:tc>
          <w:tcPr>
            <w:tcW w:w="992" w:type="dxa"/>
            <w:vAlign w:val="bottom"/>
          </w:tcPr>
          <w:p w:rsidR="005C652D" w:rsidRPr="005E7C12" w:rsidRDefault="005E7C12" w:rsidP="004B054F">
            <w:pPr>
              <w:cnfStyle w:val="000000000000" w:firstRow="0" w:lastRow="0" w:firstColumn="0" w:lastColumn="0" w:oddVBand="0" w:evenVBand="0" w:oddHBand="0" w:evenHBand="0" w:firstRowFirstColumn="0" w:firstRowLastColumn="0" w:lastRowFirstColumn="0" w:lastRowLastColumn="0"/>
            </w:pPr>
            <w:r w:rsidRPr="005E7C12">
              <w:t>0</w:t>
            </w:r>
            <w:r>
              <w:t>.0</w:t>
            </w:r>
          </w:p>
        </w:tc>
        <w:tc>
          <w:tcPr>
            <w:tcW w:w="851" w:type="dxa"/>
            <w:vAlign w:val="bottom"/>
          </w:tcPr>
          <w:p w:rsidR="005C652D" w:rsidRPr="005E7C12" w:rsidRDefault="005E7C12" w:rsidP="004B054F">
            <w:pPr>
              <w:cnfStyle w:val="000000000000" w:firstRow="0" w:lastRow="0" w:firstColumn="0" w:lastColumn="0" w:oddVBand="0" w:evenVBand="0" w:oddHBand="0" w:evenHBand="0" w:firstRowFirstColumn="0" w:firstRowLastColumn="0" w:lastRowFirstColumn="0" w:lastRowLastColumn="0"/>
            </w:pPr>
            <w:r w:rsidRPr="005E7C12">
              <w:t>0</w:t>
            </w:r>
            <w:r>
              <w:t>.0</w:t>
            </w:r>
          </w:p>
        </w:tc>
        <w:tc>
          <w:tcPr>
            <w:tcW w:w="992" w:type="dxa"/>
            <w:vAlign w:val="bottom"/>
          </w:tcPr>
          <w:p w:rsidR="005C652D" w:rsidRPr="005C652D" w:rsidRDefault="005E7C12" w:rsidP="004B054F">
            <w:pPr>
              <w:cnfStyle w:val="000000000000" w:firstRow="0" w:lastRow="0" w:firstColumn="0" w:lastColumn="0" w:oddVBand="0" w:evenVBand="0" w:oddHBand="0" w:evenHBand="0" w:firstRowFirstColumn="0" w:firstRowLastColumn="0" w:lastRowFirstColumn="0" w:lastRowLastColumn="0"/>
            </w:pPr>
            <w:r>
              <w:softHyphen/>
              <w:t>–0.</w:t>
            </w:r>
            <w:r w:rsidR="004B054F">
              <w:t>3</w:t>
            </w:r>
          </w:p>
        </w:tc>
      </w:tr>
      <w:tr w:rsidR="005E7C12" w:rsidRPr="00BF6EBB" w:rsidTr="004617F7">
        <w:trPr>
          <w:cnfStyle w:val="000000010000" w:firstRow="0" w:lastRow="0" w:firstColumn="0" w:lastColumn="0" w:oddVBand="0" w:evenVBand="0" w:oddHBand="0" w:evenHBand="1"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943" w:type="dxa"/>
          </w:tcPr>
          <w:p w:rsidR="005E7C12" w:rsidRPr="005E7C12" w:rsidRDefault="005E7C12" w:rsidP="005E7C12">
            <w:r w:rsidRPr="005E7C12">
              <w:t>AER final decision shared asset revenue adjustment</w:t>
            </w:r>
          </w:p>
        </w:tc>
        <w:tc>
          <w:tcPr>
            <w:tcW w:w="903" w:type="dxa"/>
            <w:vAlign w:val="bottom"/>
          </w:tcPr>
          <w:p w:rsidR="005E7C12" w:rsidRPr="005E7C12" w:rsidRDefault="005E7C12" w:rsidP="004B054F">
            <w:pPr>
              <w:cnfStyle w:val="000000010000" w:firstRow="0" w:lastRow="0" w:firstColumn="0" w:lastColumn="0" w:oddVBand="0" w:evenVBand="0" w:oddHBand="0" w:evenHBand="1" w:firstRowFirstColumn="0" w:firstRowLastColumn="0" w:lastRowFirstColumn="0" w:lastRowLastColumn="0"/>
            </w:pPr>
            <w:r>
              <w:t>–</w:t>
            </w:r>
            <w:r w:rsidRPr="005E7C12">
              <w:t>0.</w:t>
            </w:r>
            <w:r w:rsidR="004B054F">
              <w:t>3</w:t>
            </w:r>
          </w:p>
        </w:tc>
        <w:tc>
          <w:tcPr>
            <w:tcW w:w="993" w:type="dxa"/>
            <w:vAlign w:val="bottom"/>
          </w:tcPr>
          <w:p w:rsidR="005E7C12" w:rsidRPr="005E7C12" w:rsidRDefault="005E7C12" w:rsidP="004B054F">
            <w:pPr>
              <w:cnfStyle w:val="000000010000" w:firstRow="0" w:lastRow="0" w:firstColumn="0" w:lastColumn="0" w:oddVBand="0" w:evenVBand="0" w:oddHBand="0" w:evenHBand="1" w:firstRowFirstColumn="0" w:firstRowLastColumn="0" w:lastRowFirstColumn="0" w:lastRowLastColumn="0"/>
            </w:pPr>
            <w:r>
              <w:t>–</w:t>
            </w:r>
            <w:r w:rsidRPr="005E7C12">
              <w:t>0.3</w:t>
            </w:r>
          </w:p>
        </w:tc>
        <w:tc>
          <w:tcPr>
            <w:tcW w:w="992" w:type="dxa"/>
            <w:vAlign w:val="bottom"/>
          </w:tcPr>
          <w:p w:rsidR="005E7C12" w:rsidRPr="005E7C12" w:rsidRDefault="005E7C12" w:rsidP="005E7C12">
            <w:pPr>
              <w:cnfStyle w:val="000000010000" w:firstRow="0" w:lastRow="0" w:firstColumn="0" w:lastColumn="0" w:oddVBand="0" w:evenVBand="0" w:oddHBand="0" w:evenHBand="1" w:firstRowFirstColumn="0" w:firstRowLastColumn="0" w:lastRowFirstColumn="0" w:lastRowLastColumn="0"/>
            </w:pPr>
            <w:r>
              <w:t>–</w:t>
            </w:r>
            <w:r w:rsidRPr="005E7C12">
              <w:t>0.3</w:t>
            </w:r>
          </w:p>
        </w:tc>
        <w:tc>
          <w:tcPr>
            <w:tcW w:w="992" w:type="dxa"/>
            <w:vAlign w:val="bottom"/>
          </w:tcPr>
          <w:p w:rsidR="005E7C12" w:rsidRPr="005E7C12" w:rsidRDefault="005E7C12" w:rsidP="005E7C12">
            <w:pPr>
              <w:cnfStyle w:val="000000010000" w:firstRow="0" w:lastRow="0" w:firstColumn="0" w:lastColumn="0" w:oddVBand="0" w:evenVBand="0" w:oddHBand="0" w:evenHBand="1" w:firstRowFirstColumn="0" w:firstRowLastColumn="0" w:lastRowFirstColumn="0" w:lastRowLastColumn="0"/>
            </w:pPr>
            <w:r>
              <w:t>–</w:t>
            </w:r>
            <w:r w:rsidRPr="005E7C12">
              <w:t>0.3</w:t>
            </w:r>
          </w:p>
        </w:tc>
        <w:tc>
          <w:tcPr>
            <w:tcW w:w="851" w:type="dxa"/>
            <w:vAlign w:val="bottom"/>
          </w:tcPr>
          <w:p w:rsidR="005E7C12" w:rsidRPr="005E7C12" w:rsidRDefault="005E7C12" w:rsidP="004B054F">
            <w:pPr>
              <w:cnfStyle w:val="000000010000" w:firstRow="0" w:lastRow="0" w:firstColumn="0" w:lastColumn="0" w:oddVBand="0" w:evenVBand="0" w:oddHBand="0" w:evenHBand="1" w:firstRowFirstColumn="0" w:firstRowLastColumn="0" w:lastRowFirstColumn="0" w:lastRowLastColumn="0"/>
            </w:pPr>
            <w:r>
              <w:t>–</w:t>
            </w:r>
            <w:r w:rsidRPr="005E7C12">
              <w:t>0.3</w:t>
            </w:r>
          </w:p>
        </w:tc>
        <w:tc>
          <w:tcPr>
            <w:tcW w:w="992" w:type="dxa"/>
            <w:vAlign w:val="bottom"/>
          </w:tcPr>
          <w:p w:rsidR="005E7C12" w:rsidRPr="005E7C12" w:rsidRDefault="005E7C12" w:rsidP="004B054F">
            <w:pPr>
              <w:cnfStyle w:val="000000010000" w:firstRow="0" w:lastRow="0" w:firstColumn="0" w:lastColumn="0" w:oddVBand="0" w:evenVBand="0" w:oddHBand="0" w:evenHBand="1" w:firstRowFirstColumn="0" w:firstRowLastColumn="0" w:lastRowFirstColumn="0" w:lastRowLastColumn="0"/>
            </w:pPr>
            <w:r>
              <w:t>–1</w:t>
            </w:r>
            <w:r w:rsidRPr="005E7C12">
              <w:t>.</w:t>
            </w:r>
            <w:r>
              <w:t>5</w:t>
            </w:r>
          </w:p>
        </w:tc>
      </w:tr>
    </w:tbl>
    <w:p w:rsidR="005C652D" w:rsidRDefault="005C652D" w:rsidP="005C652D">
      <w:pPr>
        <w:pStyle w:val="AERtablesource"/>
      </w:pPr>
      <w:r w:rsidRPr="005C652D">
        <w:t>Source:</w:t>
      </w:r>
      <w:r w:rsidRPr="005C652D">
        <w:tab/>
        <w:t>AER analysis.</w:t>
      </w:r>
    </w:p>
    <w:p w:rsidR="00E34748" w:rsidRDefault="00E34748" w:rsidP="005E33EA">
      <w:pPr>
        <w:pStyle w:val="Heading3"/>
        <w:ind w:left="578" w:hanging="578"/>
      </w:pPr>
      <w:bookmarkStart w:id="91" w:name="_Toc445114764"/>
      <w:bookmarkStart w:id="92" w:name="_Toc446485041"/>
      <w:bookmarkStart w:id="93" w:name="_Toc451356625"/>
      <w:r>
        <w:t>Indicative average distribution price impact</w:t>
      </w:r>
      <w:bookmarkEnd w:id="91"/>
      <w:bookmarkEnd w:id="92"/>
      <w:bookmarkEnd w:id="93"/>
    </w:p>
    <w:p w:rsidR="00E34748" w:rsidRPr="00DE5FA0" w:rsidRDefault="00E34748" w:rsidP="00E34748">
      <w:pPr>
        <w:numPr>
          <w:ilvl w:val="0"/>
          <w:numId w:val="24"/>
        </w:numPr>
      </w:pPr>
      <w:r w:rsidRPr="00DE5FA0">
        <w:t xml:space="preserve">Our final decision on </w:t>
      </w:r>
      <w:r w:rsidR="00DA4657">
        <w:t>CitiPower</w:t>
      </w:r>
      <w:r>
        <w:t>'</w:t>
      </w:r>
      <w:r w:rsidR="00DA4657">
        <w:t>s</w:t>
      </w:r>
      <w:r w:rsidRPr="00DE5FA0">
        <w:t xml:space="preserve"> expected revenues ultimately affects the prices consumers pay for electricity. There are several steps required in translating our revenue decision to a price impact.</w:t>
      </w:r>
    </w:p>
    <w:p w:rsidR="00E34748" w:rsidRPr="00DE5FA0" w:rsidRDefault="00E34748" w:rsidP="00E34748">
      <w:pPr>
        <w:numPr>
          <w:ilvl w:val="0"/>
          <w:numId w:val="24"/>
        </w:numPr>
      </w:pPr>
      <w:r w:rsidRPr="00DE5FA0">
        <w:t xml:space="preserve">We regulate </w:t>
      </w:r>
      <w:r w:rsidR="00DA4657">
        <w:t>CitiPower</w:t>
      </w:r>
      <w:r>
        <w:t>'</w:t>
      </w:r>
      <w:r w:rsidR="00DA4657">
        <w:t>s</w:t>
      </w:r>
      <w:r w:rsidRPr="00DE5FA0">
        <w:t xml:space="preserve"> standard control services under a revenue cap form of control. This means our final decision on </w:t>
      </w:r>
      <w:r w:rsidR="0025483F" w:rsidRPr="0025483F">
        <w:t xml:space="preserve">CitiPower's </w:t>
      </w:r>
      <w:r w:rsidRPr="00DE5FA0">
        <w:t xml:space="preserve">expected revenues do not directly translate to price impacts. This is because </w:t>
      </w:r>
      <w:r w:rsidR="0025483F" w:rsidRPr="0025483F">
        <w:t xml:space="preserve">CitiPower's </w:t>
      </w:r>
      <w:r w:rsidRPr="00DE5FA0">
        <w:t xml:space="preserve">revenue is fixed under the revenue cap form of control, so changes in the consumption of electricity will affect the prices ultimately charged to consumers. We are not required to establish the distribution prices for </w:t>
      </w:r>
      <w:r w:rsidR="0025483F" w:rsidRPr="0025483F">
        <w:t>CitiPower</w:t>
      </w:r>
      <w:r w:rsidR="0025483F">
        <w:t xml:space="preserve"> </w:t>
      </w:r>
      <w:r w:rsidRPr="00DE5FA0">
        <w:t>as part of this determina</w:t>
      </w:r>
      <w:r>
        <w:t xml:space="preserve">tion. However, we will assess </w:t>
      </w:r>
      <w:r w:rsidR="0025483F" w:rsidRPr="0025483F">
        <w:t xml:space="preserve">CitiPower's </w:t>
      </w:r>
      <w:r w:rsidRPr="00DE5FA0">
        <w:t>annual pricing proposals before the commencement of each regulatory year for the 201</w:t>
      </w:r>
      <w:r>
        <w:t>6</w:t>
      </w:r>
      <w:r w:rsidRPr="00DE5FA0">
        <w:t>–20 regulatory control period</w:t>
      </w:r>
      <w:r>
        <w:t>.</w:t>
      </w:r>
      <w:r w:rsidRPr="00956DA7">
        <w:rPr>
          <w:rStyle w:val="AERbody"/>
        </w:rPr>
        <w:t xml:space="preserve"> </w:t>
      </w:r>
      <w:r>
        <w:rPr>
          <w:rStyle w:val="AERbody"/>
        </w:rPr>
        <w:t xml:space="preserve">In each assessment we will </w:t>
      </w:r>
      <w:r w:rsidRPr="00DE5FA0">
        <w:t xml:space="preserve">administer the pricing requirements </w:t>
      </w:r>
      <w:r>
        <w:t xml:space="preserve">set </w:t>
      </w:r>
      <w:r w:rsidRPr="00DE5FA0">
        <w:t>in this distribution determination.</w:t>
      </w:r>
    </w:p>
    <w:p w:rsidR="00E34748" w:rsidRPr="00DE5FA0" w:rsidRDefault="00E34748" w:rsidP="00E34748">
      <w:pPr>
        <w:numPr>
          <w:ilvl w:val="0"/>
          <w:numId w:val="24"/>
        </w:numPr>
      </w:pPr>
      <w:r w:rsidRPr="00DE5FA0">
        <w:t xml:space="preserve">For this final decision, we have estimated some indicative average distribution price impacts flowing from our determination on the expected revenues for </w:t>
      </w:r>
      <w:r w:rsidR="0025483F" w:rsidRPr="0025483F">
        <w:t>CitiPower</w:t>
      </w:r>
      <w:r w:rsidR="0025483F">
        <w:t xml:space="preserve"> </w:t>
      </w:r>
      <w:r w:rsidRPr="00DE5FA0">
        <w:t>over the 201</w:t>
      </w:r>
      <w:r>
        <w:t>6</w:t>
      </w:r>
      <w:r w:rsidRPr="00DE5FA0">
        <w:t xml:space="preserve">–20 regulatory control period. </w:t>
      </w:r>
      <w:r>
        <w:rPr>
          <w:rStyle w:val="AERbody"/>
        </w:rPr>
        <w:t xml:space="preserve">In this section, our estimates only relate to standard control services (that is, the core electricity distribution charges), not alternative control services (such as metering, including advanced metering infrastructure (AMI) charges). These indicative price impacts assume that actual </w:t>
      </w:r>
      <w:r>
        <w:rPr>
          <w:rStyle w:val="AERbody"/>
        </w:rPr>
        <w:lastRenderedPageBreak/>
        <w:t xml:space="preserve">energy consumption across the 2016–20 regulatory control period matches </w:t>
      </w:r>
      <w:r w:rsidR="0025483F" w:rsidRPr="0025483F">
        <w:t>CitiPower's</w:t>
      </w:r>
      <w:r w:rsidR="0025483F" w:rsidRPr="0025483F">
        <w:rPr>
          <w:rStyle w:val="AERbody"/>
        </w:rPr>
        <w:t xml:space="preserve"> </w:t>
      </w:r>
      <w:r>
        <w:rPr>
          <w:rStyle w:val="AERbody"/>
        </w:rPr>
        <w:t>forecast energy consumption, which we have adopted for this final decision.</w:t>
      </w:r>
    </w:p>
    <w:p w:rsidR="00E34748" w:rsidRDefault="00E34748" w:rsidP="00E34748">
      <w:r>
        <w:fldChar w:fldCharType="begin"/>
      </w:r>
      <w:r>
        <w:instrText xml:space="preserve"> REF _Ref444783361 \h </w:instrText>
      </w:r>
      <w:r>
        <w:fldChar w:fldCharType="separate"/>
      </w:r>
      <w:r w:rsidR="00473EE0">
        <w:t xml:space="preserve">Figure </w:t>
      </w:r>
      <w:r w:rsidR="00473EE0">
        <w:rPr>
          <w:noProof/>
        </w:rPr>
        <w:t>1</w:t>
      </w:r>
      <w:r w:rsidR="00473EE0">
        <w:t>.</w:t>
      </w:r>
      <w:r w:rsidR="00473EE0">
        <w:rPr>
          <w:noProof/>
        </w:rPr>
        <w:t>3</w:t>
      </w:r>
      <w:r>
        <w:fldChar w:fldCharType="end"/>
      </w:r>
      <w:r w:rsidRPr="00DE5FA0">
        <w:t xml:space="preserve"> shows </w:t>
      </w:r>
      <w:r w:rsidR="0025483F" w:rsidRPr="0025483F">
        <w:t>CitiPower</w:t>
      </w:r>
      <w:r w:rsidR="008759B6">
        <w:t>'s</w:t>
      </w:r>
      <w:r w:rsidR="0025483F">
        <w:t xml:space="preserve"> </w:t>
      </w:r>
      <w:r w:rsidRPr="00DE5FA0">
        <w:t xml:space="preserve">indicative price path based on the expected revenues established in our final decision compared to its revised proposal. </w:t>
      </w:r>
      <w:r>
        <w:rPr>
          <w:rStyle w:val="AERbody"/>
        </w:rPr>
        <w:t xml:space="preserve">The indicative price path is </w:t>
      </w:r>
      <w:r w:rsidRPr="00DE5FA0">
        <w:t xml:space="preserve">estimated </w:t>
      </w:r>
      <w:r>
        <w:t>using the approved</w:t>
      </w:r>
      <w:r w:rsidRPr="00DE5FA0">
        <w:t xml:space="preserve"> expected revenue</w:t>
      </w:r>
      <w:r>
        <w:t xml:space="preserve"> and dividing</w:t>
      </w:r>
      <w:r w:rsidRPr="00DE5FA0">
        <w:t xml:space="preserve"> by total forecast energy consumed (MWh) in </w:t>
      </w:r>
      <w:r w:rsidR="0025483F" w:rsidRPr="0025483F">
        <w:t xml:space="preserve">CitiPower's </w:t>
      </w:r>
      <w:r w:rsidRPr="00DE5FA0">
        <w:t xml:space="preserve">distribution network </w:t>
      </w:r>
      <w:r>
        <w:t>for each year of the 2016–20 regulatory control period</w:t>
      </w:r>
      <w:r w:rsidRPr="00DE5FA0">
        <w:t xml:space="preserve">.  For presentational purposes, the prices are scaled so that the price index begins at </w:t>
      </w:r>
      <w:r>
        <w:t>1.0 in 20</w:t>
      </w:r>
      <w:r w:rsidRPr="00DE5FA0">
        <w:t>15. The index provides a simple overall measure of the relative movement in expected d</w:t>
      </w:r>
      <w:r>
        <w:t>istribution prices over the 2016</w:t>
      </w:r>
      <w:r w:rsidRPr="00DE5FA0">
        <w:t>–20 regulatory control period.</w:t>
      </w:r>
    </w:p>
    <w:p w:rsidR="00E34748" w:rsidRDefault="00E34748" w:rsidP="00E34748">
      <w:pPr>
        <w:pStyle w:val="Caption"/>
      </w:pPr>
      <w:bookmarkStart w:id="94" w:name="_Ref444783361"/>
      <w:r>
        <w:t xml:space="preserve">Figure </w:t>
      </w:r>
      <w:r w:rsidRPr="003E0143">
        <w:fldChar w:fldCharType="begin"/>
      </w:r>
      <w:r>
        <w:instrText xml:space="preserve"> STYLEREF 1 \s </w:instrText>
      </w:r>
      <w:r w:rsidRPr="003E0143">
        <w:fldChar w:fldCharType="separate"/>
      </w:r>
      <w:r w:rsidR="00473EE0">
        <w:rPr>
          <w:noProof/>
        </w:rPr>
        <w:t>1</w:t>
      </w:r>
      <w:r w:rsidRPr="003E0143">
        <w:fldChar w:fldCharType="end"/>
      </w:r>
      <w:r>
        <w:t>.</w:t>
      </w:r>
      <w:fldSimple w:instr=" SEQ Figure \* ARABIC \s 1 ">
        <w:r w:rsidR="00473EE0">
          <w:rPr>
            <w:noProof/>
          </w:rPr>
          <w:t>3</w:t>
        </w:r>
      </w:fldSimple>
      <w:bookmarkEnd w:id="94"/>
      <w:r>
        <w:tab/>
      </w:r>
      <w:r w:rsidRPr="00DE5FA0">
        <w:t xml:space="preserve">AER's final decision and </w:t>
      </w:r>
      <w:r w:rsidR="0025483F">
        <w:t>CitiPower'</w:t>
      </w:r>
      <w:r>
        <w:t>s</w:t>
      </w:r>
      <w:r w:rsidRPr="00DE5FA0">
        <w:t xml:space="preserve"> revised proposed indicative price paths (nominal price index)</w:t>
      </w:r>
    </w:p>
    <w:p w:rsidR="00E34748" w:rsidRDefault="004B054F" w:rsidP="00E34748">
      <w:r w:rsidRPr="004B054F">
        <w:rPr>
          <w:noProof/>
          <w:lang w:eastAsia="en-AU"/>
        </w:rPr>
        <w:drawing>
          <wp:inline distT="0" distB="0" distL="0" distR="0" wp14:anchorId="41C21891" wp14:editId="4E353895">
            <wp:extent cx="5343525" cy="3238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43525" cy="3238500"/>
                    </a:xfrm>
                    <a:prstGeom prst="rect">
                      <a:avLst/>
                    </a:prstGeom>
                    <a:noFill/>
                    <a:ln>
                      <a:noFill/>
                    </a:ln>
                  </pic:spPr>
                </pic:pic>
              </a:graphicData>
            </a:graphic>
          </wp:inline>
        </w:drawing>
      </w:r>
    </w:p>
    <w:p w:rsidR="00E34748" w:rsidRDefault="00E34748" w:rsidP="00E34748">
      <w:pPr>
        <w:pStyle w:val="AERtablesource"/>
      </w:pPr>
      <w:r>
        <w:t>Source:</w:t>
      </w:r>
      <w:r>
        <w:tab/>
        <w:t>AER analysis.</w:t>
      </w:r>
    </w:p>
    <w:p w:rsidR="00E34748" w:rsidRDefault="00E34748" w:rsidP="00E34748">
      <w:pPr>
        <w:pStyle w:val="AERtablesource"/>
      </w:pPr>
      <w:r>
        <w:t>Notes:</w:t>
      </w:r>
      <w:r>
        <w:tab/>
        <w:t>The nominal price index is constructed by dividing expected revenue for standard control services by forecast energy consumption for each year of the regulatory control period submi</w:t>
      </w:r>
      <w:r w:rsidR="0025483F">
        <w:t xml:space="preserve">tted in </w:t>
      </w:r>
      <w:r w:rsidR="00B948E8" w:rsidRPr="00B948E8">
        <w:t>CitiPower</w:t>
      </w:r>
      <w:r w:rsidR="0025483F">
        <w:t>'</w:t>
      </w:r>
      <w:r w:rsidR="00B948E8">
        <w:t>s</w:t>
      </w:r>
      <w:r w:rsidR="0025483F">
        <w:t xml:space="preserve"> initial</w:t>
      </w:r>
      <w:r>
        <w:t xml:space="preserve"> proposal, then scaling relative to the base year (2015)</w:t>
      </w:r>
      <w:r w:rsidRPr="00FC0C64">
        <w:t xml:space="preserve">.  </w:t>
      </w:r>
    </w:p>
    <w:p w:rsidR="00E34748" w:rsidRDefault="00E34748" w:rsidP="004B054F">
      <w:r w:rsidRPr="00481870">
        <w:t xml:space="preserve">We estimate that our </w:t>
      </w:r>
      <w:r>
        <w:t>final</w:t>
      </w:r>
      <w:r w:rsidRPr="00481870">
        <w:t xml:space="preserve"> </w:t>
      </w:r>
      <w:r w:rsidRPr="004B054F">
        <w:t xml:space="preserve">decision on </w:t>
      </w:r>
      <w:r w:rsidR="0025483F" w:rsidRPr="004B054F">
        <w:t>CitiPower</w:t>
      </w:r>
      <w:r w:rsidRPr="004B054F">
        <w:t>'</w:t>
      </w:r>
      <w:r w:rsidR="0025483F" w:rsidRPr="004B054F">
        <w:t>s</w:t>
      </w:r>
      <w:r w:rsidRPr="004B054F">
        <w:t xml:space="preserve"> annual expected revenue will result in a</w:t>
      </w:r>
      <w:r w:rsidR="00983123" w:rsidRPr="004B054F">
        <w:t xml:space="preserve"> </w:t>
      </w:r>
      <w:r w:rsidRPr="004B054F">
        <w:t xml:space="preserve">decrease to average distribution charges by about </w:t>
      </w:r>
      <w:r w:rsidR="00665058" w:rsidRPr="004B054F">
        <w:t>0.</w:t>
      </w:r>
      <w:r w:rsidR="00983123" w:rsidRPr="004B054F">
        <w:t>3</w:t>
      </w:r>
      <w:r w:rsidRPr="004B054F">
        <w:t xml:space="preserve"> per cent per annum over</w:t>
      </w:r>
      <w:r w:rsidRPr="00481870">
        <w:t xml:space="preserve"> the 201</w:t>
      </w:r>
      <w:r>
        <w:t>6</w:t>
      </w:r>
      <w:r w:rsidRPr="00481870">
        <w:t>–</w:t>
      </w:r>
      <w:r>
        <w:t>20</w:t>
      </w:r>
      <w:r w:rsidRPr="00481870">
        <w:t xml:space="preserve"> </w:t>
      </w:r>
      <w:r>
        <w:t xml:space="preserve">regulatory control </w:t>
      </w:r>
      <w:r w:rsidRPr="00481870">
        <w:t>period in nominal terms.</w:t>
      </w:r>
      <w:r>
        <w:rPr>
          <w:rStyle w:val="FootnoteReference"/>
        </w:rPr>
        <w:footnoteReference w:id="14"/>
      </w:r>
      <w:r w:rsidRPr="00481870">
        <w:t xml:space="preserve"> </w:t>
      </w:r>
      <w:r w:rsidRPr="00550A97">
        <w:t xml:space="preserve">This compares to the nominal average increase of approximately </w:t>
      </w:r>
      <w:r w:rsidR="0025483F">
        <w:t>4</w:t>
      </w:r>
      <w:r>
        <w:t>.</w:t>
      </w:r>
      <w:r w:rsidR="0025483F">
        <w:t xml:space="preserve">5 </w:t>
      </w:r>
      <w:r w:rsidRPr="00E26B7C">
        <w:rPr>
          <w:rStyle w:val="AERbody"/>
        </w:rPr>
        <w:t>per cent</w:t>
      </w:r>
      <w:r>
        <w:t xml:space="preserve"> per annum proposed by </w:t>
      </w:r>
      <w:r w:rsidR="0025483F">
        <w:lastRenderedPageBreak/>
        <w:t>CitiPower</w:t>
      </w:r>
      <w:r>
        <w:t xml:space="preserve"> over the 2016</w:t>
      </w:r>
      <w:r w:rsidRPr="00550A97">
        <w:t>–20 regulatory control period.</w:t>
      </w:r>
      <w:r>
        <w:t xml:space="preserve"> These high-level estimates reflect the aggregate change across the entire network and do not reflect the particular tariff components for specific end users.</w:t>
      </w:r>
    </w:p>
    <w:p w:rsidR="00E34748" w:rsidRDefault="00E34748" w:rsidP="00E34748">
      <w:r>
        <w:fldChar w:fldCharType="begin"/>
      </w:r>
      <w:r>
        <w:instrText xml:space="preserve"> REF _Ref444783339 \h </w:instrText>
      </w:r>
      <w:r>
        <w:fldChar w:fldCharType="separate"/>
      </w:r>
      <w:r w:rsidR="00473EE0">
        <w:t xml:space="preserve">Table </w:t>
      </w:r>
      <w:r w:rsidR="00473EE0">
        <w:rPr>
          <w:noProof/>
        </w:rPr>
        <w:t>1</w:t>
      </w:r>
      <w:r w:rsidR="00473EE0">
        <w:t>.</w:t>
      </w:r>
      <w:r w:rsidR="00473EE0">
        <w:rPr>
          <w:noProof/>
        </w:rPr>
        <w:t>4</w:t>
      </w:r>
      <w:r>
        <w:fldChar w:fldCharType="end"/>
      </w:r>
      <w:r>
        <w:t xml:space="preserve"> displays the comparison of the revenue and price impacts of </w:t>
      </w:r>
      <w:r w:rsidR="0025483F">
        <w:t>CitiPower</w:t>
      </w:r>
      <w:r>
        <w:t>'</w:t>
      </w:r>
      <w:r w:rsidR="0025483F">
        <w:t>s</w:t>
      </w:r>
      <w:r>
        <w:t xml:space="preserve"> revised proposal and our final decision.</w:t>
      </w:r>
    </w:p>
    <w:p w:rsidR="00E34748" w:rsidRDefault="00E34748" w:rsidP="00E34748">
      <w:pPr>
        <w:pStyle w:val="Caption"/>
      </w:pPr>
      <w:bookmarkStart w:id="95" w:name="_Ref444783339"/>
      <w:r>
        <w:t xml:space="preserve">Table </w:t>
      </w:r>
      <w:r w:rsidRPr="003E0143">
        <w:fldChar w:fldCharType="begin"/>
      </w:r>
      <w:r>
        <w:instrText xml:space="preserve"> STYLEREF 1 \s </w:instrText>
      </w:r>
      <w:r w:rsidRPr="003E0143">
        <w:fldChar w:fldCharType="separate"/>
      </w:r>
      <w:r w:rsidR="00473EE0">
        <w:rPr>
          <w:noProof/>
        </w:rPr>
        <w:t>1</w:t>
      </w:r>
      <w:r w:rsidRPr="003E0143">
        <w:fldChar w:fldCharType="end"/>
      </w:r>
      <w:r>
        <w:t>.</w:t>
      </w:r>
      <w:fldSimple w:instr=" SEQ Table \* ARABIC \s 1 ">
        <w:r w:rsidR="00473EE0">
          <w:rPr>
            <w:noProof/>
          </w:rPr>
          <w:t>4</w:t>
        </w:r>
      </w:fldSimple>
      <w:bookmarkEnd w:id="95"/>
      <w:r>
        <w:tab/>
      </w:r>
      <w:r w:rsidRPr="00A94F06">
        <w:t xml:space="preserve">Comparison of revenue and price impacts of </w:t>
      </w:r>
      <w:r w:rsidR="0025483F">
        <w:t>CitiPower</w:t>
      </w:r>
      <w:r>
        <w:t>'</w:t>
      </w:r>
      <w:r w:rsidR="0025483F">
        <w:t>s</w:t>
      </w:r>
      <w:r w:rsidRPr="00A94F06">
        <w:t xml:space="preserve"> revised proposal and the AER's final decision</w:t>
      </w:r>
    </w:p>
    <w:tbl>
      <w:tblPr>
        <w:tblStyle w:val="AERtable-numbers"/>
        <w:tblW w:w="8755" w:type="dxa"/>
        <w:tblLayout w:type="fixed"/>
        <w:tblLook w:val="04A0" w:firstRow="1" w:lastRow="0" w:firstColumn="1" w:lastColumn="0" w:noHBand="0" w:noVBand="1"/>
      </w:tblPr>
      <w:tblGrid>
        <w:gridCol w:w="3085"/>
        <w:gridCol w:w="845"/>
        <w:gridCol w:w="965"/>
        <w:gridCol w:w="965"/>
        <w:gridCol w:w="965"/>
        <w:gridCol w:w="965"/>
        <w:gridCol w:w="965"/>
      </w:tblGrid>
      <w:tr w:rsidR="00E34748" w:rsidRPr="004D7263" w:rsidTr="00E34748">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hideMark/>
          </w:tcPr>
          <w:p w:rsidR="00E34748" w:rsidRPr="00E34748" w:rsidRDefault="00E34748" w:rsidP="00E34748">
            <w:r w:rsidRPr="004D7263">
              <w:t> </w:t>
            </w:r>
          </w:p>
        </w:tc>
        <w:tc>
          <w:tcPr>
            <w:tcW w:w="845" w:type="dxa"/>
            <w:noWrap/>
            <w:hideMark/>
          </w:tcPr>
          <w:p w:rsidR="00E34748" w:rsidRPr="00E34748" w:rsidRDefault="00E34748" w:rsidP="00E34748">
            <w:pPr>
              <w:cnfStyle w:val="100000000000" w:firstRow="1" w:lastRow="0" w:firstColumn="0" w:lastColumn="0" w:oddVBand="0" w:evenVBand="0" w:oddHBand="0" w:evenHBand="0" w:firstRowFirstColumn="0" w:firstRowLastColumn="0" w:lastRowFirstColumn="0" w:lastRowLastColumn="0"/>
            </w:pPr>
            <w:r>
              <w:t>20</w:t>
            </w:r>
            <w:r w:rsidRPr="00E34748">
              <w:t>15</w:t>
            </w:r>
          </w:p>
        </w:tc>
        <w:tc>
          <w:tcPr>
            <w:tcW w:w="965" w:type="dxa"/>
          </w:tcPr>
          <w:p w:rsidR="00E34748" w:rsidRPr="00E34748" w:rsidRDefault="00E34748" w:rsidP="00E34748">
            <w:pPr>
              <w:cnfStyle w:val="100000000000" w:firstRow="1" w:lastRow="0" w:firstColumn="0" w:lastColumn="0" w:oddVBand="0" w:evenVBand="0" w:oddHBand="0" w:evenHBand="0" w:firstRowFirstColumn="0" w:firstRowLastColumn="0" w:lastRowFirstColumn="0" w:lastRowLastColumn="0"/>
            </w:pPr>
            <w:r>
              <w:t>2016</w:t>
            </w:r>
          </w:p>
        </w:tc>
        <w:tc>
          <w:tcPr>
            <w:tcW w:w="965" w:type="dxa"/>
          </w:tcPr>
          <w:p w:rsidR="00E34748" w:rsidRPr="00E34748" w:rsidRDefault="00E34748" w:rsidP="00E34748">
            <w:pPr>
              <w:cnfStyle w:val="100000000000" w:firstRow="1" w:lastRow="0" w:firstColumn="0" w:lastColumn="0" w:oddVBand="0" w:evenVBand="0" w:oddHBand="0" w:evenHBand="0" w:firstRowFirstColumn="0" w:firstRowLastColumn="0" w:lastRowFirstColumn="0" w:lastRowLastColumn="0"/>
            </w:pPr>
            <w:r>
              <w:t>2017</w:t>
            </w:r>
          </w:p>
        </w:tc>
        <w:tc>
          <w:tcPr>
            <w:tcW w:w="965" w:type="dxa"/>
          </w:tcPr>
          <w:p w:rsidR="00E34748" w:rsidRPr="00E34748" w:rsidRDefault="00E34748" w:rsidP="00E34748">
            <w:pPr>
              <w:cnfStyle w:val="100000000000" w:firstRow="1" w:lastRow="0" w:firstColumn="0" w:lastColumn="0" w:oddVBand="0" w:evenVBand="0" w:oddHBand="0" w:evenHBand="0" w:firstRowFirstColumn="0" w:firstRowLastColumn="0" w:lastRowFirstColumn="0" w:lastRowLastColumn="0"/>
            </w:pPr>
            <w:r>
              <w:t>2018</w:t>
            </w:r>
          </w:p>
        </w:tc>
        <w:tc>
          <w:tcPr>
            <w:tcW w:w="965" w:type="dxa"/>
          </w:tcPr>
          <w:p w:rsidR="00E34748" w:rsidRPr="00E34748" w:rsidRDefault="00E34748" w:rsidP="00E34748">
            <w:pPr>
              <w:cnfStyle w:val="100000000000" w:firstRow="1" w:lastRow="0" w:firstColumn="0" w:lastColumn="0" w:oddVBand="0" w:evenVBand="0" w:oddHBand="0" w:evenHBand="0" w:firstRowFirstColumn="0" w:firstRowLastColumn="0" w:lastRowFirstColumn="0" w:lastRowLastColumn="0"/>
            </w:pPr>
            <w:r>
              <w:t>2019</w:t>
            </w:r>
          </w:p>
        </w:tc>
        <w:tc>
          <w:tcPr>
            <w:tcW w:w="965" w:type="dxa"/>
            <w:noWrap/>
            <w:hideMark/>
          </w:tcPr>
          <w:p w:rsidR="00E34748" w:rsidRPr="00E34748" w:rsidRDefault="00E34748" w:rsidP="00E34748">
            <w:pPr>
              <w:cnfStyle w:val="100000000000" w:firstRow="1" w:lastRow="0" w:firstColumn="0" w:lastColumn="0" w:oddVBand="0" w:evenVBand="0" w:oddHBand="0" w:evenHBand="0" w:firstRowFirstColumn="0" w:firstRowLastColumn="0" w:lastRowFirstColumn="0" w:lastRowLastColumn="0"/>
            </w:pPr>
            <w:r>
              <w:t>2020</w:t>
            </w:r>
          </w:p>
        </w:tc>
      </w:tr>
      <w:tr w:rsidR="00E34748" w:rsidRPr="004D7263" w:rsidTr="00E34748">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E34748" w:rsidRPr="00E34748" w:rsidRDefault="00E34748" w:rsidP="00E34748">
            <w:pPr>
              <w:rPr>
                <w:rStyle w:val="Strong"/>
              </w:rPr>
            </w:pPr>
            <w:r w:rsidRPr="0013201B">
              <w:rPr>
                <w:rStyle w:val="Strong"/>
              </w:rPr>
              <w:t>AER final decision</w:t>
            </w:r>
          </w:p>
        </w:tc>
        <w:tc>
          <w:tcPr>
            <w:tcW w:w="845" w:type="dxa"/>
            <w:noWrap/>
            <w:vAlign w:val="top"/>
          </w:tcPr>
          <w:p w:rsidR="00E34748" w:rsidRPr="001C7D8F" w:rsidRDefault="00E34748" w:rsidP="00E34748">
            <w:pPr>
              <w:cnfStyle w:val="000000000000" w:firstRow="0" w:lastRow="0" w:firstColumn="0" w:lastColumn="0" w:oddVBand="0" w:evenVBand="0" w:oddHBand="0" w:evenHBand="0" w:firstRowFirstColumn="0" w:firstRowLastColumn="0" w:lastRowFirstColumn="0" w:lastRowLastColumn="0"/>
            </w:pPr>
          </w:p>
        </w:tc>
        <w:tc>
          <w:tcPr>
            <w:tcW w:w="965" w:type="dxa"/>
            <w:vAlign w:val="top"/>
          </w:tcPr>
          <w:p w:rsidR="00E34748" w:rsidRPr="001C7D8F" w:rsidRDefault="00E34748" w:rsidP="00E34748">
            <w:pPr>
              <w:cnfStyle w:val="000000000000" w:firstRow="0" w:lastRow="0" w:firstColumn="0" w:lastColumn="0" w:oddVBand="0" w:evenVBand="0" w:oddHBand="0" w:evenHBand="0" w:firstRowFirstColumn="0" w:firstRowLastColumn="0" w:lastRowFirstColumn="0" w:lastRowLastColumn="0"/>
            </w:pPr>
          </w:p>
        </w:tc>
        <w:tc>
          <w:tcPr>
            <w:tcW w:w="965" w:type="dxa"/>
            <w:vAlign w:val="top"/>
          </w:tcPr>
          <w:p w:rsidR="00E34748" w:rsidRPr="001C7D8F" w:rsidRDefault="00E34748" w:rsidP="00E34748">
            <w:pPr>
              <w:cnfStyle w:val="000000000000" w:firstRow="0" w:lastRow="0" w:firstColumn="0" w:lastColumn="0" w:oddVBand="0" w:evenVBand="0" w:oddHBand="0" w:evenHBand="0" w:firstRowFirstColumn="0" w:firstRowLastColumn="0" w:lastRowFirstColumn="0" w:lastRowLastColumn="0"/>
            </w:pPr>
          </w:p>
        </w:tc>
        <w:tc>
          <w:tcPr>
            <w:tcW w:w="965" w:type="dxa"/>
            <w:vAlign w:val="top"/>
          </w:tcPr>
          <w:p w:rsidR="00E34748" w:rsidRPr="001C7D8F" w:rsidRDefault="00E34748" w:rsidP="00E34748">
            <w:pPr>
              <w:cnfStyle w:val="000000000000" w:firstRow="0" w:lastRow="0" w:firstColumn="0" w:lastColumn="0" w:oddVBand="0" w:evenVBand="0" w:oddHBand="0" w:evenHBand="0" w:firstRowFirstColumn="0" w:firstRowLastColumn="0" w:lastRowFirstColumn="0" w:lastRowLastColumn="0"/>
            </w:pPr>
          </w:p>
        </w:tc>
        <w:tc>
          <w:tcPr>
            <w:tcW w:w="965" w:type="dxa"/>
            <w:vAlign w:val="top"/>
          </w:tcPr>
          <w:p w:rsidR="00E34748" w:rsidRPr="001C7D8F" w:rsidRDefault="00E34748" w:rsidP="00E34748">
            <w:pPr>
              <w:cnfStyle w:val="000000000000" w:firstRow="0" w:lastRow="0" w:firstColumn="0" w:lastColumn="0" w:oddVBand="0" w:evenVBand="0" w:oddHBand="0" w:evenHBand="0" w:firstRowFirstColumn="0" w:firstRowLastColumn="0" w:lastRowFirstColumn="0" w:lastRowLastColumn="0"/>
            </w:pPr>
          </w:p>
        </w:tc>
        <w:tc>
          <w:tcPr>
            <w:tcW w:w="965" w:type="dxa"/>
            <w:noWrap/>
            <w:vAlign w:val="top"/>
          </w:tcPr>
          <w:p w:rsidR="00E34748" w:rsidRPr="001C7D8F" w:rsidRDefault="00E34748" w:rsidP="00E34748">
            <w:pPr>
              <w:cnfStyle w:val="000000000000" w:firstRow="0" w:lastRow="0" w:firstColumn="0" w:lastColumn="0" w:oddVBand="0" w:evenVBand="0" w:oddHBand="0" w:evenHBand="0" w:firstRowFirstColumn="0" w:firstRowLastColumn="0" w:lastRowFirstColumn="0" w:lastRowLastColumn="0"/>
            </w:pPr>
          </w:p>
        </w:tc>
      </w:tr>
      <w:tr w:rsidR="00983123" w:rsidRPr="004D7263" w:rsidTr="00270B90">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983123" w:rsidRPr="00983123" w:rsidRDefault="00983123" w:rsidP="00983123">
            <w:pPr>
              <w:rPr>
                <w:rStyle w:val="Strong"/>
              </w:rPr>
            </w:pPr>
            <w:r w:rsidRPr="00983123">
              <w:t>Revenue ($m, nominal)</w:t>
            </w:r>
          </w:p>
        </w:tc>
        <w:tc>
          <w:tcPr>
            <w:tcW w:w="845" w:type="dxa"/>
            <w:noWrap/>
            <w:vAlign w:val="bottom"/>
          </w:tcPr>
          <w:p w:rsidR="00983123" w:rsidRPr="00983123" w:rsidRDefault="00983123" w:rsidP="00983123">
            <w:pPr>
              <w:cnfStyle w:val="000000010000" w:firstRow="0" w:lastRow="0" w:firstColumn="0" w:lastColumn="0" w:oddVBand="0" w:evenVBand="0" w:oddHBand="0" w:evenHBand="1" w:firstRowFirstColumn="0" w:firstRowLastColumn="0" w:lastRowFirstColumn="0" w:lastRowLastColumn="0"/>
            </w:pPr>
            <w:r w:rsidRPr="00983123">
              <w:t>296.0</w:t>
            </w:r>
          </w:p>
        </w:tc>
        <w:tc>
          <w:tcPr>
            <w:tcW w:w="965" w:type="dxa"/>
            <w:vAlign w:val="bottom"/>
          </w:tcPr>
          <w:p w:rsidR="00983123" w:rsidRPr="00983123" w:rsidRDefault="00983123" w:rsidP="00983123">
            <w:pPr>
              <w:cnfStyle w:val="000000010000" w:firstRow="0" w:lastRow="0" w:firstColumn="0" w:lastColumn="0" w:oddVBand="0" w:evenVBand="0" w:oddHBand="0" w:evenHBand="1" w:firstRowFirstColumn="0" w:firstRowLastColumn="0" w:lastRowFirstColumn="0" w:lastRowLastColumn="0"/>
            </w:pPr>
            <w:r w:rsidRPr="00983123">
              <w:t>282.9</w:t>
            </w:r>
          </w:p>
        </w:tc>
        <w:tc>
          <w:tcPr>
            <w:tcW w:w="965" w:type="dxa"/>
            <w:vAlign w:val="bottom"/>
          </w:tcPr>
          <w:p w:rsidR="00983123" w:rsidRPr="00983123" w:rsidRDefault="00983123" w:rsidP="00983123">
            <w:pPr>
              <w:cnfStyle w:val="000000010000" w:firstRow="0" w:lastRow="0" w:firstColumn="0" w:lastColumn="0" w:oddVBand="0" w:evenVBand="0" w:oddHBand="0" w:evenHBand="1" w:firstRowFirstColumn="0" w:firstRowLastColumn="0" w:lastRowFirstColumn="0" w:lastRowLastColumn="0"/>
            </w:pPr>
            <w:r w:rsidRPr="00983123">
              <w:t>289.5</w:t>
            </w:r>
          </w:p>
        </w:tc>
        <w:tc>
          <w:tcPr>
            <w:tcW w:w="965" w:type="dxa"/>
            <w:vAlign w:val="bottom"/>
          </w:tcPr>
          <w:p w:rsidR="00983123" w:rsidRPr="00983123" w:rsidRDefault="00983123" w:rsidP="00983123">
            <w:pPr>
              <w:cnfStyle w:val="000000010000" w:firstRow="0" w:lastRow="0" w:firstColumn="0" w:lastColumn="0" w:oddVBand="0" w:evenVBand="0" w:oddHBand="0" w:evenHBand="1" w:firstRowFirstColumn="0" w:firstRowLastColumn="0" w:lastRowFirstColumn="0" w:lastRowLastColumn="0"/>
            </w:pPr>
            <w:r w:rsidRPr="00983123">
              <w:t>297.4</w:t>
            </w:r>
          </w:p>
        </w:tc>
        <w:tc>
          <w:tcPr>
            <w:tcW w:w="965" w:type="dxa"/>
            <w:vAlign w:val="bottom"/>
          </w:tcPr>
          <w:p w:rsidR="00983123" w:rsidRPr="00983123" w:rsidRDefault="00983123" w:rsidP="00983123">
            <w:pPr>
              <w:cnfStyle w:val="000000010000" w:firstRow="0" w:lastRow="0" w:firstColumn="0" w:lastColumn="0" w:oddVBand="0" w:evenVBand="0" w:oddHBand="0" w:evenHBand="1" w:firstRowFirstColumn="0" w:firstRowLastColumn="0" w:lastRowFirstColumn="0" w:lastRowLastColumn="0"/>
            </w:pPr>
            <w:r w:rsidRPr="00983123">
              <w:t>307.9</w:t>
            </w:r>
          </w:p>
        </w:tc>
        <w:tc>
          <w:tcPr>
            <w:tcW w:w="965" w:type="dxa"/>
            <w:noWrap/>
            <w:vAlign w:val="bottom"/>
          </w:tcPr>
          <w:p w:rsidR="00983123" w:rsidRPr="00983123" w:rsidRDefault="00983123" w:rsidP="00983123">
            <w:pPr>
              <w:cnfStyle w:val="000000010000" w:firstRow="0" w:lastRow="0" w:firstColumn="0" w:lastColumn="0" w:oddVBand="0" w:evenVBand="0" w:oddHBand="0" w:evenHBand="1" w:firstRowFirstColumn="0" w:firstRowLastColumn="0" w:lastRowFirstColumn="0" w:lastRowLastColumn="0"/>
            </w:pPr>
            <w:r w:rsidRPr="00983123">
              <w:t>322.6</w:t>
            </w:r>
          </w:p>
        </w:tc>
      </w:tr>
      <w:tr w:rsidR="00983123" w:rsidRPr="004D7263" w:rsidTr="00270B90">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983123" w:rsidRPr="00983123" w:rsidRDefault="00983123" w:rsidP="00983123">
            <w:pPr>
              <w:rPr>
                <w:rStyle w:val="AERsuperscript"/>
              </w:rPr>
            </w:pPr>
            <w:r w:rsidRPr="00983123">
              <w:t>Price path (nominal index)</w:t>
            </w:r>
            <w:r w:rsidRPr="00983123">
              <w:rPr>
                <w:rStyle w:val="AERsuperscript"/>
              </w:rPr>
              <w:t>a</w:t>
            </w:r>
          </w:p>
        </w:tc>
        <w:tc>
          <w:tcPr>
            <w:tcW w:w="845" w:type="dxa"/>
            <w:noWrap/>
            <w:vAlign w:val="bottom"/>
          </w:tcPr>
          <w:p w:rsidR="00983123" w:rsidRPr="00983123" w:rsidRDefault="00983123" w:rsidP="00983123">
            <w:pPr>
              <w:cnfStyle w:val="000000000000" w:firstRow="0" w:lastRow="0" w:firstColumn="0" w:lastColumn="0" w:oddVBand="0" w:evenVBand="0" w:oddHBand="0" w:evenHBand="0" w:firstRowFirstColumn="0" w:firstRowLastColumn="0" w:lastRowFirstColumn="0" w:lastRowLastColumn="0"/>
            </w:pPr>
            <w:r w:rsidRPr="00983123">
              <w:t>1.00</w:t>
            </w:r>
          </w:p>
        </w:tc>
        <w:tc>
          <w:tcPr>
            <w:tcW w:w="965" w:type="dxa"/>
            <w:vAlign w:val="bottom"/>
          </w:tcPr>
          <w:p w:rsidR="00983123" w:rsidRPr="00983123" w:rsidRDefault="00983123" w:rsidP="00983123">
            <w:pPr>
              <w:cnfStyle w:val="000000000000" w:firstRow="0" w:lastRow="0" w:firstColumn="0" w:lastColumn="0" w:oddVBand="0" w:evenVBand="0" w:oddHBand="0" w:evenHBand="0" w:firstRowFirstColumn="0" w:firstRowLastColumn="0" w:lastRowFirstColumn="0" w:lastRowLastColumn="0"/>
            </w:pPr>
            <w:r w:rsidRPr="00983123">
              <w:t>0.93</w:t>
            </w:r>
          </w:p>
        </w:tc>
        <w:tc>
          <w:tcPr>
            <w:tcW w:w="965" w:type="dxa"/>
            <w:vAlign w:val="bottom"/>
          </w:tcPr>
          <w:p w:rsidR="00983123" w:rsidRPr="00983123" w:rsidRDefault="00983123" w:rsidP="00983123">
            <w:pPr>
              <w:cnfStyle w:val="000000000000" w:firstRow="0" w:lastRow="0" w:firstColumn="0" w:lastColumn="0" w:oddVBand="0" w:evenVBand="0" w:oddHBand="0" w:evenHBand="0" w:firstRowFirstColumn="0" w:firstRowLastColumn="0" w:lastRowFirstColumn="0" w:lastRowLastColumn="0"/>
            </w:pPr>
            <w:r w:rsidRPr="00983123">
              <w:t>0.93</w:t>
            </w:r>
          </w:p>
        </w:tc>
        <w:tc>
          <w:tcPr>
            <w:tcW w:w="965" w:type="dxa"/>
            <w:vAlign w:val="bottom"/>
          </w:tcPr>
          <w:p w:rsidR="00983123" w:rsidRPr="00983123" w:rsidRDefault="00983123" w:rsidP="00983123">
            <w:pPr>
              <w:cnfStyle w:val="000000000000" w:firstRow="0" w:lastRow="0" w:firstColumn="0" w:lastColumn="0" w:oddVBand="0" w:evenVBand="0" w:oddHBand="0" w:evenHBand="0" w:firstRowFirstColumn="0" w:firstRowLastColumn="0" w:lastRowFirstColumn="0" w:lastRowLastColumn="0"/>
            </w:pPr>
            <w:r w:rsidRPr="00983123">
              <w:t>0.93</w:t>
            </w:r>
          </w:p>
        </w:tc>
        <w:tc>
          <w:tcPr>
            <w:tcW w:w="965" w:type="dxa"/>
            <w:vAlign w:val="bottom"/>
          </w:tcPr>
          <w:p w:rsidR="00983123" w:rsidRPr="00983123" w:rsidRDefault="00983123" w:rsidP="00983123">
            <w:pPr>
              <w:cnfStyle w:val="000000000000" w:firstRow="0" w:lastRow="0" w:firstColumn="0" w:lastColumn="0" w:oddVBand="0" w:evenVBand="0" w:oddHBand="0" w:evenHBand="0" w:firstRowFirstColumn="0" w:firstRowLastColumn="0" w:lastRowFirstColumn="0" w:lastRowLastColumn="0"/>
            </w:pPr>
            <w:r w:rsidRPr="00983123">
              <w:t>0.95</w:t>
            </w:r>
          </w:p>
        </w:tc>
        <w:tc>
          <w:tcPr>
            <w:tcW w:w="965" w:type="dxa"/>
            <w:noWrap/>
            <w:vAlign w:val="bottom"/>
          </w:tcPr>
          <w:p w:rsidR="00983123" w:rsidRPr="00983123" w:rsidRDefault="00983123" w:rsidP="00983123">
            <w:pPr>
              <w:cnfStyle w:val="000000000000" w:firstRow="0" w:lastRow="0" w:firstColumn="0" w:lastColumn="0" w:oddVBand="0" w:evenVBand="0" w:oddHBand="0" w:evenHBand="0" w:firstRowFirstColumn="0" w:firstRowLastColumn="0" w:lastRowFirstColumn="0" w:lastRowLastColumn="0"/>
            </w:pPr>
            <w:r w:rsidRPr="00983123">
              <w:t>0.99</w:t>
            </w:r>
          </w:p>
        </w:tc>
      </w:tr>
      <w:tr w:rsidR="00983123" w:rsidRPr="004D7263" w:rsidTr="00270B90">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983123" w:rsidRPr="00983123" w:rsidRDefault="00983123" w:rsidP="00983123">
            <w:pPr>
              <w:rPr>
                <w:rStyle w:val="Strong"/>
              </w:rPr>
            </w:pPr>
            <w:r w:rsidRPr="00983123">
              <w:t>Revenue (change %)</w:t>
            </w:r>
          </w:p>
        </w:tc>
        <w:tc>
          <w:tcPr>
            <w:tcW w:w="845" w:type="dxa"/>
            <w:noWrap/>
            <w:vAlign w:val="bottom"/>
          </w:tcPr>
          <w:p w:rsidR="00983123" w:rsidRPr="00983123" w:rsidRDefault="00983123" w:rsidP="00983123">
            <w:pPr>
              <w:cnfStyle w:val="000000010000" w:firstRow="0" w:lastRow="0" w:firstColumn="0" w:lastColumn="0" w:oddVBand="0" w:evenVBand="0" w:oddHBand="0" w:evenHBand="1" w:firstRowFirstColumn="0" w:firstRowLastColumn="0" w:lastRowFirstColumn="0" w:lastRowLastColumn="0"/>
            </w:pPr>
            <w:r w:rsidRPr="00983123">
              <w:t> </w:t>
            </w:r>
          </w:p>
        </w:tc>
        <w:tc>
          <w:tcPr>
            <w:tcW w:w="965" w:type="dxa"/>
            <w:vAlign w:val="bottom"/>
          </w:tcPr>
          <w:p w:rsidR="00983123" w:rsidRPr="00983123" w:rsidRDefault="00983123" w:rsidP="00983123">
            <w:pPr>
              <w:cnfStyle w:val="000000010000" w:firstRow="0" w:lastRow="0" w:firstColumn="0" w:lastColumn="0" w:oddVBand="0" w:evenVBand="0" w:oddHBand="0" w:evenHBand="1" w:firstRowFirstColumn="0" w:firstRowLastColumn="0" w:lastRowFirstColumn="0" w:lastRowLastColumn="0"/>
            </w:pPr>
            <w:r>
              <w:t>–</w:t>
            </w:r>
            <w:r w:rsidRPr="00983123">
              <w:t>4.4%</w:t>
            </w:r>
          </w:p>
        </w:tc>
        <w:tc>
          <w:tcPr>
            <w:tcW w:w="965" w:type="dxa"/>
            <w:vAlign w:val="bottom"/>
          </w:tcPr>
          <w:p w:rsidR="00983123" w:rsidRPr="00983123" w:rsidRDefault="00983123" w:rsidP="00983123">
            <w:pPr>
              <w:cnfStyle w:val="000000010000" w:firstRow="0" w:lastRow="0" w:firstColumn="0" w:lastColumn="0" w:oddVBand="0" w:evenVBand="0" w:oddHBand="0" w:evenHBand="1" w:firstRowFirstColumn="0" w:firstRowLastColumn="0" w:lastRowFirstColumn="0" w:lastRowLastColumn="0"/>
            </w:pPr>
            <w:r w:rsidRPr="00983123">
              <w:t>2.3%</w:t>
            </w:r>
          </w:p>
        </w:tc>
        <w:tc>
          <w:tcPr>
            <w:tcW w:w="965" w:type="dxa"/>
            <w:vAlign w:val="bottom"/>
          </w:tcPr>
          <w:p w:rsidR="00983123" w:rsidRPr="00983123" w:rsidRDefault="00983123" w:rsidP="00983123">
            <w:pPr>
              <w:cnfStyle w:val="000000010000" w:firstRow="0" w:lastRow="0" w:firstColumn="0" w:lastColumn="0" w:oddVBand="0" w:evenVBand="0" w:oddHBand="0" w:evenHBand="1" w:firstRowFirstColumn="0" w:firstRowLastColumn="0" w:lastRowFirstColumn="0" w:lastRowLastColumn="0"/>
            </w:pPr>
            <w:r w:rsidRPr="00983123">
              <w:t>2.7%</w:t>
            </w:r>
          </w:p>
        </w:tc>
        <w:tc>
          <w:tcPr>
            <w:tcW w:w="965" w:type="dxa"/>
            <w:vAlign w:val="bottom"/>
          </w:tcPr>
          <w:p w:rsidR="00983123" w:rsidRPr="00983123" w:rsidRDefault="00983123" w:rsidP="00983123">
            <w:pPr>
              <w:cnfStyle w:val="000000010000" w:firstRow="0" w:lastRow="0" w:firstColumn="0" w:lastColumn="0" w:oddVBand="0" w:evenVBand="0" w:oddHBand="0" w:evenHBand="1" w:firstRowFirstColumn="0" w:firstRowLastColumn="0" w:lastRowFirstColumn="0" w:lastRowLastColumn="0"/>
            </w:pPr>
            <w:r w:rsidRPr="00983123">
              <w:t>3.6%</w:t>
            </w:r>
          </w:p>
        </w:tc>
        <w:tc>
          <w:tcPr>
            <w:tcW w:w="965" w:type="dxa"/>
            <w:noWrap/>
            <w:vAlign w:val="bottom"/>
          </w:tcPr>
          <w:p w:rsidR="00983123" w:rsidRPr="00983123" w:rsidRDefault="00983123" w:rsidP="00983123">
            <w:pPr>
              <w:cnfStyle w:val="000000010000" w:firstRow="0" w:lastRow="0" w:firstColumn="0" w:lastColumn="0" w:oddVBand="0" w:evenVBand="0" w:oddHBand="0" w:evenHBand="1" w:firstRowFirstColumn="0" w:firstRowLastColumn="0" w:lastRowFirstColumn="0" w:lastRowLastColumn="0"/>
            </w:pPr>
            <w:r w:rsidRPr="00983123">
              <w:t>4.8%</w:t>
            </w:r>
          </w:p>
        </w:tc>
      </w:tr>
      <w:tr w:rsidR="00983123" w:rsidRPr="004D7263" w:rsidTr="00270B90">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983123" w:rsidRPr="00983123" w:rsidRDefault="00983123" w:rsidP="00983123">
            <w:pPr>
              <w:rPr>
                <w:rStyle w:val="Strong"/>
              </w:rPr>
            </w:pPr>
            <w:r w:rsidRPr="00983123">
              <w:t>Price path (change %)</w:t>
            </w:r>
          </w:p>
        </w:tc>
        <w:tc>
          <w:tcPr>
            <w:tcW w:w="845" w:type="dxa"/>
            <w:noWrap/>
            <w:vAlign w:val="bottom"/>
          </w:tcPr>
          <w:p w:rsidR="00983123" w:rsidRPr="00983123" w:rsidRDefault="00983123" w:rsidP="00983123">
            <w:pPr>
              <w:cnfStyle w:val="000000000000" w:firstRow="0" w:lastRow="0" w:firstColumn="0" w:lastColumn="0" w:oddVBand="0" w:evenVBand="0" w:oddHBand="0" w:evenHBand="0" w:firstRowFirstColumn="0" w:firstRowLastColumn="0" w:lastRowFirstColumn="0" w:lastRowLastColumn="0"/>
            </w:pPr>
            <w:r w:rsidRPr="00983123">
              <w:t> </w:t>
            </w:r>
          </w:p>
        </w:tc>
        <w:tc>
          <w:tcPr>
            <w:tcW w:w="965" w:type="dxa"/>
            <w:vAlign w:val="bottom"/>
          </w:tcPr>
          <w:p w:rsidR="00983123" w:rsidRPr="00983123" w:rsidRDefault="00983123" w:rsidP="00983123">
            <w:pPr>
              <w:cnfStyle w:val="000000000000" w:firstRow="0" w:lastRow="0" w:firstColumn="0" w:lastColumn="0" w:oddVBand="0" w:evenVBand="0" w:oddHBand="0" w:evenHBand="0" w:firstRowFirstColumn="0" w:firstRowLastColumn="0" w:lastRowFirstColumn="0" w:lastRowLastColumn="0"/>
            </w:pPr>
            <w:r>
              <w:t>–</w:t>
            </w:r>
            <w:r w:rsidRPr="00983123">
              <w:t>7.3%</w:t>
            </w:r>
          </w:p>
        </w:tc>
        <w:tc>
          <w:tcPr>
            <w:tcW w:w="965" w:type="dxa"/>
            <w:vAlign w:val="bottom"/>
          </w:tcPr>
          <w:p w:rsidR="00983123" w:rsidRPr="00983123" w:rsidRDefault="00983123" w:rsidP="00983123">
            <w:pPr>
              <w:cnfStyle w:val="000000000000" w:firstRow="0" w:lastRow="0" w:firstColumn="0" w:lastColumn="0" w:oddVBand="0" w:evenVBand="0" w:oddHBand="0" w:evenHBand="0" w:firstRowFirstColumn="0" w:firstRowLastColumn="0" w:lastRowFirstColumn="0" w:lastRowLastColumn="0"/>
            </w:pPr>
            <w:r>
              <w:t>–</w:t>
            </w:r>
            <w:r w:rsidRPr="00983123">
              <w:t>0.2%</w:t>
            </w:r>
          </w:p>
        </w:tc>
        <w:tc>
          <w:tcPr>
            <w:tcW w:w="965" w:type="dxa"/>
            <w:vAlign w:val="bottom"/>
          </w:tcPr>
          <w:p w:rsidR="00983123" w:rsidRPr="00983123" w:rsidRDefault="00983123" w:rsidP="00983123">
            <w:pPr>
              <w:cnfStyle w:val="000000000000" w:firstRow="0" w:lastRow="0" w:firstColumn="0" w:lastColumn="0" w:oddVBand="0" w:evenVBand="0" w:oddHBand="0" w:evenHBand="0" w:firstRowFirstColumn="0" w:firstRowLastColumn="0" w:lastRowFirstColumn="0" w:lastRowLastColumn="0"/>
            </w:pPr>
            <w:r w:rsidRPr="00983123">
              <w:t>0.9%</w:t>
            </w:r>
          </w:p>
        </w:tc>
        <w:tc>
          <w:tcPr>
            <w:tcW w:w="965" w:type="dxa"/>
            <w:vAlign w:val="bottom"/>
          </w:tcPr>
          <w:p w:rsidR="00983123" w:rsidRPr="00983123" w:rsidRDefault="00983123" w:rsidP="00983123">
            <w:pPr>
              <w:cnfStyle w:val="000000000000" w:firstRow="0" w:lastRow="0" w:firstColumn="0" w:lastColumn="0" w:oddVBand="0" w:evenVBand="0" w:oddHBand="0" w:evenHBand="0" w:firstRowFirstColumn="0" w:firstRowLastColumn="0" w:lastRowFirstColumn="0" w:lastRowLastColumn="0"/>
            </w:pPr>
            <w:r w:rsidRPr="00983123">
              <w:t>2.1%</w:t>
            </w:r>
          </w:p>
        </w:tc>
        <w:tc>
          <w:tcPr>
            <w:tcW w:w="965" w:type="dxa"/>
            <w:noWrap/>
            <w:vAlign w:val="bottom"/>
          </w:tcPr>
          <w:p w:rsidR="00983123" w:rsidRPr="00983123" w:rsidRDefault="00983123" w:rsidP="00983123">
            <w:pPr>
              <w:cnfStyle w:val="000000000000" w:firstRow="0" w:lastRow="0" w:firstColumn="0" w:lastColumn="0" w:oddVBand="0" w:evenVBand="0" w:oddHBand="0" w:evenHBand="0" w:firstRowFirstColumn="0" w:firstRowLastColumn="0" w:lastRowFirstColumn="0" w:lastRowLastColumn="0"/>
            </w:pPr>
            <w:r w:rsidRPr="00983123">
              <w:t>3.5%</w:t>
            </w:r>
          </w:p>
        </w:tc>
      </w:tr>
      <w:tr w:rsidR="00E34748" w:rsidRPr="004D7263" w:rsidTr="00E34748">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E34748" w:rsidRPr="00E34748" w:rsidRDefault="00B948E8" w:rsidP="00016ADF">
            <w:pPr>
              <w:rPr>
                <w:rStyle w:val="Strong"/>
              </w:rPr>
            </w:pPr>
            <w:r>
              <w:rPr>
                <w:rStyle w:val="Strong"/>
              </w:rPr>
              <w:t xml:space="preserve">CitiPower </w:t>
            </w:r>
            <w:r w:rsidR="00E34748" w:rsidRPr="00E34748">
              <w:rPr>
                <w:rStyle w:val="Strong"/>
              </w:rPr>
              <w:t>revised proposal</w:t>
            </w:r>
          </w:p>
        </w:tc>
        <w:tc>
          <w:tcPr>
            <w:tcW w:w="845" w:type="dxa"/>
            <w:noWrap/>
          </w:tcPr>
          <w:p w:rsidR="00E34748" w:rsidRPr="004D7263" w:rsidRDefault="00E34748" w:rsidP="00E34748">
            <w:pPr>
              <w:cnfStyle w:val="000000010000" w:firstRow="0" w:lastRow="0" w:firstColumn="0" w:lastColumn="0" w:oddVBand="0" w:evenVBand="0" w:oddHBand="0" w:evenHBand="1" w:firstRowFirstColumn="0" w:firstRowLastColumn="0" w:lastRowFirstColumn="0" w:lastRowLastColumn="0"/>
            </w:pPr>
          </w:p>
        </w:tc>
        <w:tc>
          <w:tcPr>
            <w:tcW w:w="965" w:type="dxa"/>
          </w:tcPr>
          <w:p w:rsidR="00E34748" w:rsidRPr="004D7263" w:rsidRDefault="00E34748" w:rsidP="00E34748">
            <w:pPr>
              <w:cnfStyle w:val="000000010000" w:firstRow="0" w:lastRow="0" w:firstColumn="0" w:lastColumn="0" w:oddVBand="0" w:evenVBand="0" w:oddHBand="0" w:evenHBand="1" w:firstRowFirstColumn="0" w:firstRowLastColumn="0" w:lastRowFirstColumn="0" w:lastRowLastColumn="0"/>
            </w:pPr>
          </w:p>
        </w:tc>
        <w:tc>
          <w:tcPr>
            <w:tcW w:w="965" w:type="dxa"/>
          </w:tcPr>
          <w:p w:rsidR="00E34748" w:rsidRPr="004D7263" w:rsidRDefault="00E34748" w:rsidP="00E34748">
            <w:pPr>
              <w:cnfStyle w:val="000000010000" w:firstRow="0" w:lastRow="0" w:firstColumn="0" w:lastColumn="0" w:oddVBand="0" w:evenVBand="0" w:oddHBand="0" w:evenHBand="1" w:firstRowFirstColumn="0" w:firstRowLastColumn="0" w:lastRowFirstColumn="0" w:lastRowLastColumn="0"/>
            </w:pPr>
          </w:p>
        </w:tc>
        <w:tc>
          <w:tcPr>
            <w:tcW w:w="965" w:type="dxa"/>
          </w:tcPr>
          <w:p w:rsidR="00E34748" w:rsidRPr="004D7263" w:rsidRDefault="00E34748" w:rsidP="00E34748">
            <w:pPr>
              <w:cnfStyle w:val="000000010000" w:firstRow="0" w:lastRow="0" w:firstColumn="0" w:lastColumn="0" w:oddVBand="0" w:evenVBand="0" w:oddHBand="0" w:evenHBand="1" w:firstRowFirstColumn="0" w:firstRowLastColumn="0" w:lastRowFirstColumn="0" w:lastRowLastColumn="0"/>
            </w:pPr>
          </w:p>
        </w:tc>
        <w:tc>
          <w:tcPr>
            <w:tcW w:w="965" w:type="dxa"/>
          </w:tcPr>
          <w:p w:rsidR="00E34748" w:rsidRPr="004D7263" w:rsidRDefault="00E34748" w:rsidP="00E34748">
            <w:pPr>
              <w:cnfStyle w:val="000000010000" w:firstRow="0" w:lastRow="0" w:firstColumn="0" w:lastColumn="0" w:oddVBand="0" w:evenVBand="0" w:oddHBand="0" w:evenHBand="1" w:firstRowFirstColumn="0" w:firstRowLastColumn="0" w:lastRowFirstColumn="0" w:lastRowLastColumn="0"/>
            </w:pPr>
          </w:p>
        </w:tc>
        <w:tc>
          <w:tcPr>
            <w:tcW w:w="965" w:type="dxa"/>
            <w:noWrap/>
          </w:tcPr>
          <w:p w:rsidR="00E34748" w:rsidRPr="004D7263" w:rsidRDefault="00E34748" w:rsidP="00E34748">
            <w:pPr>
              <w:cnfStyle w:val="000000010000" w:firstRow="0" w:lastRow="0" w:firstColumn="0" w:lastColumn="0" w:oddVBand="0" w:evenVBand="0" w:oddHBand="0" w:evenHBand="1" w:firstRowFirstColumn="0" w:firstRowLastColumn="0" w:lastRowFirstColumn="0" w:lastRowLastColumn="0"/>
            </w:pPr>
          </w:p>
        </w:tc>
      </w:tr>
      <w:tr w:rsidR="004B054F" w:rsidRPr="004D7263" w:rsidTr="00E34748">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4B054F" w:rsidRPr="004B054F" w:rsidRDefault="004B054F" w:rsidP="004B054F">
            <w:r w:rsidRPr="004B054F">
              <w:t>Revenue ($m, nominal)</w:t>
            </w:r>
          </w:p>
        </w:tc>
        <w:tc>
          <w:tcPr>
            <w:tcW w:w="845" w:type="dxa"/>
            <w:noWrap/>
            <w:vAlign w:val="bottom"/>
          </w:tcPr>
          <w:p w:rsidR="004B054F" w:rsidRPr="004B054F" w:rsidRDefault="004B054F" w:rsidP="004B054F">
            <w:pPr>
              <w:cnfStyle w:val="000000000000" w:firstRow="0" w:lastRow="0" w:firstColumn="0" w:lastColumn="0" w:oddVBand="0" w:evenVBand="0" w:oddHBand="0" w:evenHBand="0" w:firstRowFirstColumn="0" w:firstRowLastColumn="0" w:lastRowFirstColumn="0" w:lastRowLastColumn="0"/>
            </w:pPr>
            <w:r w:rsidRPr="004B054F">
              <w:t>296.0</w:t>
            </w:r>
          </w:p>
        </w:tc>
        <w:tc>
          <w:tcPr>
            <w:tcW w:w="965" w:type="dxa"/>
            <w:vAlign w:val="bottom"/>
          </w:tcPr>
          <w:p w:rsidR="004B054F" w:rsidRPr="004B054F" w:rsidRDefault="004B054F" w:rsidP="004B054F">
            <w:pPr>
              <w:cnfStyle w:val="000000000000" w:firstRow="0" w:lastRow="0" w:firstColumn="0" w:lastColumn="0" w:oddVBand="0" w:evenVBand="0" w:oddHBand="0" w:evenHBand="0" w:firstRowFirstColumn="0" w:firstRowLastColumn="0" w:lastRowFirstColumn="0" w:lastRowLastColumn="0"/>
            </w:pPr>
            <w:r w:rsidRPr="004B054F">
              <w:t>282.9</w:t>
            </w:r>
          </w:p>
        </w:tc>
        <w:tc>
          <w:tcPr>
            <w:tcW w:w="965" w:type="dxa"/>
            <w:vAlign w:val="bottom"/>
          </w:tcPr>
          <w:p w:rsidR="004B054F" w:rsidRPr="004B054F" w:rsidRDefault="004B054F" w:rsidP="004B054F">
            <w:pPr>
              <w:cnfStyle w:val="000000000000" w:firstRow="0" w:lastRow="0" w:firstColumn="0" w:lastColumn="0" w:oddVBand="0" w:evenVBand="0" w:oddHBand="0" w:evenHBand="0" w:firstRowFirstColumn="0" w:firstRowLastColumn="0" w:lastRowFirstColumn="0" w:lastRowLastColumn="0"/>
            </w:pPr>
            <w:r w:rsidRPr="004B054F">
              <w:t>374.3</w:t>
            </w:r>
          </w:p>
        </w:tc>
        <w:tc>
          <w:tcPr>
            <w:tcW w:w="965" w:type="dxa"/>
            <w:vAlign w:val="bottom"/>
          </w:tcPr>
          <w:p w:rsidR="004B054F" w:rsidRPr="004B054F" w:rsidRDefault="004B054F" w:rsidP="004B054F">
            <w:pPr>
              <w:cnfStyle w:val="000000000000" w:firstRow="0" w:lastRow="0" w:firstColumn="0" w:lastColumn="0" w:oddVBand="0" w:evenVBand="0" w:oddHBand="0" w:evenHBand="0" w:firstRowFirstColumn="0" w:firstRowLastColumn="0" w:lastRowFirstColumn="0" w:lastRowLastColumn="0"/>
            </w:pPr>
            <w:r w:rsidRPr="004B054F">
              <w:t>385.4</w:t>
            </w:r>
          </w:p>
        </w:tc>
        <w:tc>
          <w:tcPr>
            <w:tcW w:w="965" w:type="dxa"/>
            <w:vAlign w:val="bottom"/>
          </w:tcPr>
          <w:p w:rsidR="004B054F" w:rsidRPr="004B054F" w:rsidRDefault="004B054F" w:rsidP="004B054F">
            <w:pPr>
              <w:cnfStyle w:val="000000000000" w:firstRow="0" w:lastRow="0" w:firstColumn="0" w:lastColumn="0" w:oddVBand="0" w:evenVBand="0" w:oddHBand="0" w:evenHBand="0" w:firstRowFirstColumn="0" w:firstRowLastColumn="0" w:lastRowFirstColumn="0" w:lastRowLastColumn="0"/>
            </w:pPr>
            <w:r w:rsidRPr="004B054F">
              <w:t>396.8</w:t>
            </w:r>
          </w:p>
        </w:tc>
        <w:tc>
          <w:tcPr>
            <w:tcW w:w="965" w:type="dxa"/>
            <w:noWrap/>
            <w:vAlign w:val="bottom"/>
          </w:tcPr>
          <w:p w:rsidR="004B054F" w:rsidRPr="004B054F" w:rsidRDefault="004B054F" w:rsidP="004B054F">
            <w:pPr>
              <w:cnfStyle w:val="000000000000" w:firstRow="0" w:lastRow="0" w:firstColumn="0" w:lastColumn="0" w:oddVBand="0" w:evenVBand="0" w:oddHBand="0" w:evenHBand="0" w:firstRowFirstColumn="0" w:firstRowLastColumn="0" w:lastRowFirstColumn="0" w:lastRowLastColumn="0"/>
            </w:pPr>
            <w:r w:rsidRPr="004B054F">
              <w:t>408.5</w:t>
            </w:r>
          </w:p>
        </w:tc>
      </w:tr>
      <w:tr w:rsidR="004B054F" w:rsidRPr="004D7263" w:rsidTr="00E34748">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4B054F" w:rsidRPr="004B054F" w:rsidRDefault="004B054F" w:rsidP="004B054F">
            <w:pPr>
              <w:rPr>
                <w:rStyle w:val="AERsuperscript"/>
              </w:rPr>
            </w:pPr>
            <w:r w:rsidRPr="004B054F">
              <w:t>Price path (nominal index)</w:t>
            </w:r>
            <w:r w:rsidRPr="004B054F">
              <w:rPr>
                <w:rStyle w:val="AERsuperscript"/>
              </w:rPr>
              <w:t>a</w:t>
            </w:r>
          </w:p>
        </w:tc>
        <w:tc>
          <w:tcPr>
            <w:tcW w:w="845" w:type="dxa"/>
            <w:noWrap/>
            <w:vAlign w:val="bottom"/>
          </w:tcPr>
          <w:p w:rsidR="004B054F" w:rsidRPr="004B054F" w:rsidRDefault="004B054F" w:rsidP="004B054F">
            <w:pPr>
              <w:cnfStyle w:val="000000010000" w:firstRow="0" w:lastRow="0" w:firstColumn="0" w:lastColumn="0" w:oddVBand="0" w:evenVBand="0" w:oddHBand="0" w:evenHBand="1" w:firstRowFirstColumn="0" w:firstRowLastColumn="0" w:lastRowFirstColumn="0" w:lastRowLastColumn="0"/>
            </w:pPr>
            <w:r w:rsidRPr="004B054F">
              <w:t>1.00</w:t>
            </w:r>
          </w:p>
        </w:tc>
        <w:tc>
          <w:tcPr>
            <w:tcW w:w="965" w:type="dxa"/>
            <w:vAlign w:val="bottom"/>
          </w:tcPr>
          <w:p w:rsidR="004B054F" w:rsidRPr="004B054F" w:rsidRDefault="004B054F" w:rsidP="004B054F">
            <w:pPr>
              <w:cnfStyle w:val="000000010000" w:firstRow="0" w:lastRow="0" w:firstColumn="0" w:lastColumn="0" w:oddVBand="0" w:evenVBand="0" w:oddHBand="0" w:evenHBand="1" w:firstRowFirstColumn="0" w:firstRowLastColumn="0" w:lastRowFirstColumn="0" w:lastRowLastColumn="0"/>
            </w:pPr>
            <w:r w:rsidRPr="004B054F">
              <w:t>0.93</w:t>
            </w:r>
          </w:p>
        </w:tc>
        <w:tc>
          <w:tcPr>
            <w:tcW w:w="965" w:type="dxa"/>
            <w:vAlign w:val="bottom"/>
          </w:tcPr>
          <w:p w:rsidR="004B054F" w:rsidRPr="004B054F" w:rsidRDefault="004B054F" w:rsidP="004B054F">
            <w:pPr>
              <w:cnfStyle w:val="000000010000" w:firstRow="0" w:lastRow="0" w:firstColumn="0" w:lastColumn="0" w:oddVBand="0" w:evenVBand="0" w:oddHBand="0" w:evenHBand="1" w:firstRowFirstColumn="0" w:firstRowLastColumn="0" w:lastRowFirstColumn="0" w:lastRowLastColumn="0"/>
            </w:pPr>
            <w:r w:rsidRPr="004B054F">
              <w:t>1.20</w:t>
            </w:r>
          </w:p>
        </w:tc>
        <w:tc>
          <w:tcPr>
            <w:tcW w:w="965" w:type="dxa"/>
            <w:vAlign w:val="bottom"/>
          </w:tcPr>
          <w:p w:rsidR="004B054F" w:rsidRPr="004B054F" w:rsidRDefault="004B054F" w:rsidP="004B054F">
            <w:pPr>
              <w:cnfStyle w:val="000000010000" w:firstRow="0" w:lastRow="0" w:firstColumn="0" w:lastColumn="0" w:oddVBand="0" w:evenVBand="0" w:oddHBand="0" w:evenHBand="1" w:firstRowFirstColumn="0" w:firstRowLastColumn="0" w:lastRowFirstColumn="0" w:lastRowLastColumn="0"/>
            </w:pPr>
            <w:r w:rsidRPr="004B054F">
              <w:t>1.21</w:t>
            </w:r>
          </w:p>
        </w:tc>
        <w:tc>
          <w:tcPr>
            <w:tcW w:w="965" w:type="dxa"/>
            <w:vAlign w:val="bottom"/>
          </w:tcPr>
          <w:p w:rsidR="004B054F" w:rsidRPr="004B054F" w:rsidRDefault="004B054F" w:rsidP="004B054F">
            <w:pPr>
              <w:cnfStyle w:val="000000010000" w:firstRow="0" w:lastRow="0" w:firstColumn="0" w:lastColumn="0" w:oddVBand="0" w:evenVBand="0" w:oddHBand="0" w:evenHBand="1" w:firstRowFirstColumn="0" w:firstRowLastColumn="0" w:lastRowFirstColumn="0" w:lastRowLastColumn="0"/>
            </w:pPr>
            <w:r w:rsidRPr="004B054F">
              <w:t>1.23</w:t>
            </w:r>
          </w:p>
        </w:tc>
        <w:tc>
          <w:tcPr>
            <w:tcW w:w="965" w:type="dxa"/>
            <w:noWrap/>
            <w:vAlign w:val="bottom"/>
          </w:tcPr>
          <w:p w:rsidR="004B054F" w:rsidRPr="004B054F" w:rsidRDefault="004B054F" w:rsidP="004B054F">
            <w:pPr>
              <w:cnfStyle w:val="000000010000" w:firstRow="0" w:lastRow="0" w:firstColumn="0" w:lastColumn="0" w:oddVBand="0" w:evenVBand="0" w:oddHBand="0" w:evenHBand="1" w:firstRowFirstColumn="0" w:firstRowLastColumn="0" w:lastRowFirstColumn="0" w:lastRowLastColumn="0"/>
            </w:pPr>
            <w:r w:rsidRPr="004B054F">
              <w:t>1.25</w:t>
            </w:r>
          </w:p>
        </w:tc>
      </w:tr>
      <w:tr w:rsidR="004B054F" w:rsidRPr="004D7263" w:rsidTr="00E34748">
        <w:trPr>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hideMark/>
          </w:tcPr>
          <w:p w:rsidR="004B054F" w:rsidRPr="004B054F" w:rsidRDefault="004B054F" w:rsidP="004B054F">
            <w:r w:rsidRPr="004B054F">
              <w:t>Revenue (change %)</w:t>
            </w:r>
          </w:p>
        </w:tc>
        <w:tc>
          <w:tcPr>
            <w:tcW w:w="845" w:type="dxa"/>
            <w:noWrap/>
            <w:vAlign w:val="bottom"/>
          </w:tcPr>
          <w:p w:rsidR="004B054F" w:rsidRPr="004B054F" w:rsidRDefault="004B054F" w:rsidP="004B054F">
            <w:pPr>
              <w:cnfStyle w:val="000000000000" w:firstRow="0" w:lastRow="0" w:firstColumn="0" w:lastColumn="0" w:oddVBand="0" w:evenVBand="0" w:oddHBand="0" w:evenHBand="0" w:firstRowFirstColumn="0" w:firstRowLastColumn="0" w:lastRowFirstColumn="0" w:lastRowLastColumn="0"/>
            </w:pPr>
            <w:r w:rsidRPr="004B054F">
              <w:t> </w:t>
            </w:r>
          </w:p>
        </w:tc>
        <w:tc>
          <w:tcPr>
            <w:tcW w:w="965" w:type="dxa"/>
            <w:vAlign w:val="bottom"/>
          </w:tcPr>
          <w:p w:rsidR="004B054F" w:rsidRPr="004B054F" w:rsidRDefault="004B054F" w:rsidP="004B054F">
            <w:pPr>
              <w:cnfStyle w:val="000000000000" w:firstRow="0" w:lastRow="0" w:firstColumn="0" w:lastColumn="0" w:oddVBand="0" w:evenVBand="0" w:oddHBand="0" w:evenHBand="0" w:firstRowFirstColumn="0" w:firstRowLastColumn="0" w:lastRowFirstColumn="0" w:lastRowLastColumn="0"/>
            </w:pPr>
            <w:r>
              <w:t>–</w:t>
            </w:r>
            <w:r w:rsidRPr="004B054F">
              <w:t>4.4%</w:t>
            </w:r>
          </w:p>
        </w:tc>
        <w:tc>
          <w:tcPr>
            <w:tcW w:w="965" w:type="dxa"/>
            <w:vAlign w:val="bottom"/>
          </w:tcPr>
          <w:p w:rsidR="004B054F" w:rsidRPr="004B054F" w:rsidRDefault="004B054F" w:rsidP="004B054F">
            <w:pPr>
              <w:cnfStyle w:val="000000000000" w:firstRow="0" w:lastRow="0" w:firstColumn="0" w:lastColumn="0" w:oddVBand="0" w:evenVBand="0" w:oddHBand="0" w:evenHBand="0" w:firstRowFirstColumn="0" w:firstRowLastColumn="0" w:lastRowFirstColumn="0" w:lastRowLastColumn="0"/>
            </w:pPr>
            <w:r w:rsidRPr="004B054F">
              <w:t>32.3%</w:t>
            </w:r>
          </w:p>
        </w:tc>
        <w:tc>
          <w:tcPr>
            <w:tcW w:w="965" w:type="dxa"/>
            <w:vAlign w:val="bottom"/>
          </w:tcPr>
          <w:p w:rsidR="004B054F" w:rsidRPr="004B054F" w:rsidRDefault="004B054F" w:rsidP="004B054F">
            <w:pPr>
              <w:cnfStyle w:val="000000000000" w:firstRow="0" w:lastRow="0" w:firstColumn="0" w:lastColumn="0" w:oddVBand="0" w:evenVBand="0" w:oddHBand="0" w:evenHBand="0" w:firstRowFirstColumn="0" w:firstRowLastColumn="0" w:lastRowFirstColumn="0" w:lastRowLastColumn="0"/>
            </w:pPr>
            <w:r w:rsidRPr="004B054F">
              <w:t>3.0%</w:t>
            </w:r>
          </w:p>
        </w:tc>
        <w:tc>
          <w:tcPr>
            <w:tcW w:w="965" w:type="dxa"/>
            <w:vAlign w:val="bottom"/>
          </w:tcPr>
          <w:p w:rsidR="004B054F" w:rsidRPr="004B054F" w:rsidRDefault="004B054F" w:rsidP="004B054F">
            <w:pPr>
              <w:cnfStyle w:val="000000000000" w:firstRow="0" w:lastRow="0" w:firstColumn="0" w:lastColumn="0" w:oddVBand="0" w:evenVBand="0" w:oddHBand="0" w:evenHBand="0" w:firstRowFirstColumn="0" w:firstRowLastColumn="0" w:lastRowFirstColumn="0" w:lastRowLastColumn="0"/>
            </w:pPr>
            <w:r w:rsidRPr="004B054F">
              <w:t>3.0%</w:t>
            </w:r>
          </w:p>
        </w:tc>
        <w:tc>
          <w:tcPr>
            <w:tcW w:w="965" w:type="dxa"/>
            <w:noWrap/>
            <w:vAlign w:val="bottom"/>
          </w:tcPr>
          <w:p w:rsidR="004B054F" w:rsidRPr="004B054F" w:rsidRDefault="004B054F" w:rsidP="004B054F">
            <w:pPr>
              <w:cnfStyle w:val="000000000000" w:firstRow="0" w:lastRow="0" w:firstColumn="0" w:lastColumn="0" w:oddVBand="0" w:evenVBand="0" w:oddHBand="0" w:evenHBand="0" w:firstRowFirstColumn="0" w:firstRowLastColumn="0" w:lastRowFirstColumn="0" w:lastRowLastColumn="0"/>
            </w:pPr>
            <w:r w:rsidRPr="004B054F">
              <w:t>3.0%</w:t>
            </w:r>
          </w:p>
        </w:tc>
      </w:tr>
      <w:tr w:rsidR="004B054F" w:rsidRPr="004D7263" w:rsidTr="00E34748">
        <w:trPr>
          <w:cnfStyle w:val="000000010000" w:firstRow="0" w:lastRow="0" w:firstColumn="0" w:lastColumn="0" w:oddVBand="0" w:evenVBand="0" w:oddHBand="0" w:evenHBand="1"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3085" w:type="dxa"/>
            <w:noWrap/>
            <w:vAlign w:val="top"/>
          </w:tcPr>
          <w:p w:rsidR="004B054F" w:rsidRPr="004B054F" w:rsidRDefault="004B054F" w:rsidP="004B054F">
            <w:r w:rsidRPr="004B054F">
              <w:t>Price path (change %)</w:t>
            </w:r>
          </w:p>
        </w:tc>
        <w:tc>
          <w:tcPr>
            <w:tcW w:w="845" w:type="dxa"/>
            <w:noWrap/>
            <w:vAlign w:val="bottom"/>
          </w:tcPr>
          <w:p w:rsidR="004B054F" w:rsidRPr="004B054F" w:rsidRDefault="004B054F" w:rsidP="004B054F">
            <w:pPr>
              <w:cnfStyle w:val="000000010000" w:firstRow="0" w:lastRow="0" w:firstColumn="0" w:lastColumn="0" w:oddVBand="0" w:evenVBand="0" w:oddHBand="0" w:evenHBand="1" w:firstRowFirstColumn="0" w:firstRowLastColumn="0" w:lastRowFirstColumn="0" w:lastRowLastColumn="0"/>
            </w:pPr>
            <w:r w:rsidRPr="004B054F">
              <w:t> </w:t>
            </w:r>
          </w:p>
        </w:tc>
        <w:tc>
          <w:tcPr>
            <w:tcW w:w="965" w:type="dxa"/>
            <w:vAlign w:val="bottom"/>
          </w:tcPr>
          <w:p w:rsidR="004B054F" w:rsidRPr="004B054F" w:rsidRDefault="004B054F" w:rsidP="004B054F">
            <w:pPr>
              <w:cnfStyle w:val="000000010000" w:firstRow="0" w:lastRow="0" w:firstColumn="0" w:lastColumn="0" w:oddVBand="0" w:evenVBand="0" w:oddHBand="0" w:evenHBand="1" w:firstRowFirstColumn="0" w:firstRowLastColumn="0" w:lastRowFirstColumn="0" w:lastRowLastColumn="0"/>
            </w:pPr>
            <w:r>
              <w:t>–</w:t>
            </w:r>
            <w:r w:rsidRPr="004B054F">
              <w:t>7.3%</w:t>
            </w:r>
          </w:p>
        </w:tc>
        <w:tc>
          <w:tcPr>
            <w:tcW w:w="965" w:type="dxa"/>
            <w:vAlign w:val="bottom"/>
          </w:tcPr>
          <w:p w:rsidR="004B054F" w:rsidRPr="004B054F" w:rsidRDefault="004B054F" w:rsidP="004B054F">
            <w:pPr>
              <w:cnfStyle w:val="000000010000" w:firstRow="0" w:lastRow="0" w:firstColumn="0" w:lastColumn="0" w:oddVBand="0" w:evenVBand="0" w:oddHBand="0" w:evenHBand="1" w:firstRowFirstColumn="0" w:firstRowLastColumn="0" w:lastRowFirstColumn="0" w:lastRowLastColumn="0"/>
            </w:pPr>
            <w:r w:rsidRPr="004B054F">
              <w:t>29.1%</w:t>
            </w:r>
          </w:p>
        </w:tc>
        <w:tc>
          <w:tcPr>
            <w:tcW w:w="965" w:type="dxa"/>
            <w:vAlign w:val="bottom"/>
          </w:tcPr>
          <w:p w:rsidR="004B054F" w:rsidRPr="004B054F" w:rsidRDefault="004B054F" w:rsidP="004B054F">
            <w:pPr>
              <w:cnfStyle w:val="000000010000" w:firstRow="0" w:lastRow="0" w:firstColumn="0" w:lastColumn="0" w:oddVBand="0" w:evenVBand="0" w:oddHBand="0" w:evenHBand="1" w:firstRowFirstColumn="0" w:firstRowLastColumn="0" w:lastRowFirstColumn="0" w:lastRowLastColumn="0"/>
            </w:pPr>
            <w:r w:rsidRPr="004B054F">
              <w:t>1.1%</w:t>
            </w:r>
          </w:p>
        </w:tc>
        <w:tc>
          <w:tcPr>
            <w:tcW w:w="965" w:type="dxa"/>
            <w:vAlign w:val="bottom"/>
          </w:tcPr>
          <w:p w:rsidR="004B054F" w:rsidRPr="004B054F" w:rsidRDefault="004B054F" w:rsidP="004B054F">
            <w:pPr>
              <w:cnfStyle w:val="000000010000" w:firstRow="0" w:lastRow="0" w:firstColumn="0" w:lastColumn="0" w:oddVBand="0" w:evenVBand="0" w:oddHBand="0" w:evenHBand="1" w:firstRowFirstColumn="0" w:firstRowLastColumn="0" w:lastRowFirstColumn="0" w:lastRowLastColumn="0"/>
            </w:pPr>
            <w:r w:rsidRPr="004B054F">
              <w:t>1.5%</w:t>
            </w:r>
          </w:p>
        </w:tc>
        <w:tc>
          <w:tcPr>
            <w:tcW w:w="965" w:type="dxa"/>
            <w:noWrap/>
            <w:vAlign w:val="bottom"/>
          </w:tcPr>
          <w:p w:rsidR="004B054F" w:rsidRPr="004B054F" w:rsidRDefault="004B054F" w:rsidP="004B054F">
            <w:pPr>
              <w:cnfStyle w:val="000000010000" w:firstRow="0" w:lastRow="0" w:firstColumn="0" w:lastColumn="0" w:oddVBand="0" w:evenVBand="0" w:oddHBand="0" w:evenHBand="1" w:firstRowFirstColumn="0" w:firstRowLastColumn="0" w:lastRowFirstColumn="0" w:lastRowLastColumn="0"/>
            </w:pPr>
            <w:r w:rsidRPr="004B054F">
              <w:t>1.7%</w:t>
            </w:r>
          </w:p>
        </w:tc>
      </w:tr>
    </w:tbl>
    <w:p w:rsidR="00E34748" w:rsidRDefault="00E34748" w:rsidP="00E34748">
      <w:pPr>
        <w:pStyle w:val="AERtablesource"/>
      </w:pPr>
      <w:r w:rsidRPr="00A94F06">
        <w:t>Source:</w:t>
      </w:r>
      <w:r w:rsidRPr="00A94F06">
        <w:tab/>
      </w:r>
      <w:r>
        <w:t xml:space="preserve">AER analysis. </w:t>
      </w:r>
    </w:p>
    <w:p w:rsidR="00E34748" w:rsidRDefault="00E34748" w:rsidP="00D434C5">
      <w:pPr>
        <w:pStyle w:val="AERtablesource"/>
      </w:pPr>
      <w:r>
        <w:t>(a)</w:t>
      </w:r>
      <w:r>
        <w:tab/>
        <w:t xml:space="preserve">The nominal index is constructed by dividing expected revenue for standard control services by forecast energy consumption for each year of the regulatory control period submitted in </w:t>
      </w:r>
      <w:r w:rsidR="0025483F">
        <w:t>CitiPower</w:t>
      </w:r>
      <w:r>
        <w:t>'</w:t>
      </w:r>
      <w:r w:rsidR="0025483F">
        <w:t>s</w:t>
      </w:r>
      <w:r>
        <w:t xml:space="preserve"> </w:t>
      </w:r>
      <w:r w:rsidR="0025483F">
        <w:t>initial</w:t>
      </w:r>
      <w:r>
        <w:t xml:space="preserve"> proposal, then scaling relative to the base year (2015).</w:t>
      </w:r>
    </w:p>
    <w:p w:rsidR="00D434C5" w:rsidRPr="00D434C5" w:rsidRDefault="00D434C5" w:rsidP="005E33EA">
      <w:pPr>
        <w:pStyle w:val="Heading3"/>
        <w:ind w:left="578" w:hanging="578"/>
      </w:pPr>
      <w:bookmarkStart w:id="96" w:name="_Toc451356626"/>
      <w:r w:rsidRPr="00D434C5">
        <w:t>Expected impact of decision on electricity bills</w:t>
      </w:r>
      <w:bookmarkEnd w:id="96"/>
    </w:p>
    <w:p w:rsidR="00D434C5" w:rsidRDefault="00D434C5" w:rsidP="00D434C5">
      <w:r>
        <w:t xml:space="preserve">The annual electricity bill for customers in CitiPower's distribution area will reflect the combined cost of all the electricity supply chain components—wholesale energy generation, transmission, distribution, metering, and retail costs. This decision primarily relates to the distribution charges for standard control services, which </w:t>
      </w:r>
      <w:r w:rsidR="00E34748" w:rsidRPr="00481870">
        <w:t xml:space="preserve">represent approximately </w:t>
      </w:r>
      <w:r w:rsidR="0025483F">
        <w:t>20</w:t>
      </w:r>
      <w:r w:rsidR="00E34748">
        <w:t> </w:t>
      </w:r>
      <w:r w:rsidR="00E34748" w:rsidRPr="00481870">
        <w:t>per cent</w:t>
      </w:r>
      <w:r>
        <w:t>,</w:t>
      </w:r>
      <w:r w:rsidR="00E34748" w:rsidRPr="00481870">
        <w:t xml:space="preserve"> on average</w:t>
      </w:r>
      <w:r>
        <w:t>,</w:t>
      </w:r>
      <w:r w:rsidR="00E34748" w:rsidRPr="00481870">
        <w:t xml:space="preserve"> of </w:t>
      </w:r>
      <w:r>
        <w:t>the annual electricity bill for these customers</w:t>
      </w:r>
      <w:r w:rsidR="00E34748" w:rsidRPr="00481870">
        <w:t>.</w:t>
      </w:r>
      <w:r w:rsidR="00E34748">
        <w:rPr>
          <w:rStyle w:val="FootnoteReference"/>
        </w:rPr>
        <w:footnoteReference w:id="15"/>
      </w:r>
      <w:r w:rsidR="00E34748" w:rsidRPr="00481870">
        <w:t xml:space="preserve"> </w:t>
      </w:r>
      <w:r>
        <w:t>The decision also covers charges for metering services that were previously regulated under a separate 'Order in Council'.</w:t>
      </w:r>
    </w:p>
    <w:p w:rsidR="00D434C5" w:rsidRDefault="00D434C5" w:rsidP="00D434C5">
      <w:r>
        <w:t xml:space="preserve">In this section, we estimate the expected bill impact by varying the distribution charges in accordance with our decision, while holding all other components—including the </w:t>
      </w:r>
      <w:r>
        <w:lastRenderedPageBreak/>
        <w:t xml:space="preserve">metering component—constant. This differs from section </w:t>
      </w:r>
      <w:r w:rsidR="00E460B9">
        <w:t>2.3</w:t>
      </w:r>
      <w:r>
        <w:t xml:space="preserve"> of the overview</w:t>
      </w:r>
      <w:r w:rsidR="003937C2">
        <w:t xml:space="preserve"> to this final decision</w:t>
      </w:r>
      <w:r>
        <w:t>, which presents estimates that show the combined impact of our changes to distribution and metering charges. This approach isolates the effect of our decision on the core distribution charges, and does not imply that other components will remain unchanged across the regulatory control period. This section is directly comparable with the estimated bill impacts in our preliminary decision (which did not include metering services) and section 1.4.4 above.</w:t>
      </w:r>
    </w:p>
    <w:p w:rsidR="00D434C5" w:rsidRDefault="00D434C5" w:rsidP="00E460B9">
      <w:r>
        <w:t xml:space="preserve">Based on this approach, we expect that our final decision will result in annual residential electricity bills that </w:t>
      </w:r>
      <w:r w:rsidRPr="00E460B9">
        <w:t xml:space="preserve">are below 2015 levels every year from 2016 to 2020. Estimated 2016 bills have already decreased by 1.5 per cent, reflecting our preliminary decision. </w:t>
      </w:r>
      <w:r w:rsidR="00983123" w:rsidRPr="00E460B9">
        <w:t>W</w:t>
      </w:r>
      <w:r w:rsidRPr="00E460B9">
        <w:t xml:space="preserve">e expect </w:t>
      </w:r>
      <w:r w:rsidR="00983123" w:rsidRPr="00E460B9">
        <w:t>no change to the bill in 2017</w:t>
      </w:r>
      <w:r w:rsidRPr="00E460B9">
        <w:t xml:space="preserve">. From 2018 to 2020, we expect small increases of 0.7 per cent or less each year. The expected annual residential electricity bill in 2020 is approximately </w:t>
      </w:r>
      <w:r w:rsidR="00983123" w:rsidRPr="00E460B9">
        <w:t>0.</w:t>
      </w:r>
      <w:r w:rsidR="00E460B9" w:rsidRPr="00E460B9">
        <w:t>3</w:t>
      </w:r>
      <w:r w:rsidRPr="00E460B9">
        <w:t> per cent below</w:t>
      </w:r>
      <w:r>
        <w:t xml:space="preserve"> the 2015 level.</w:t>
      </w:r>
    </w:p>
    <w:p w:rsidR="00D434C5" w:rsidRDefault="00D434C5" w:rsidP="00D434C5">
      <w:r>
        <w:t>We expect that a typical resident in CitiPower's distribution area with an annual electricity bill of $1524 ($ nominal) in 2015 will face:</w:t>
      </w:r>
    </w:p>
    <w:p w:rsidR="00D434C5" w:rsidRDefault="00AF5694" w:rsidP="00D434C5">
      <w:pPr>
        <w:pStyle w:val="AERbulletlistfirststyle"/>
      </w:pPr>
      <w:r>
        <w:t>a</w:t>
      </w:r>
      <w:r w:rsidR="00D434C5">
        <w:t xml:space="preserve"> decrease of $22 ($ nominal) or 1.5</w:t>
      </w:r>
      <w:r>
        <w:t> per cent in 2016</w:t>
      </w:r>
    </w:p>
    <w:p w:rsidR="00D434C5" w:rsidRDefault="00983123" w:rsidP="00D434C5">
      <w:pPr>
        <w:pStyle w:val="AERbulletlistfirststyle"/>
      </w:pPr>
      <w:r>
        <w:t xml:space="preserve">no change in </w:t>
      </w:r>
      <w:r w:rsidR="00E460B9">
        <w:t xml:space="preserve">nominal terms in </w:t>
      </w:r>
      <w:r w:rsidR="00AF5694">
        <w:t>2017</w:t>
      </w:r>
    </w:p>
    <w:p w:rsidR="00D434C5" w:rsidRDefault="00AF5694" w:rsidP="00D434C5">
      <w:pPr>
        <w:pStyle w:val="AERbulletlistfirststyle"/>
      </w:pPr>
      <w:r>
        <w:t>a</w:t>
      </w:r>
      <w:r w:rsidR="00D434C5">
        <w:t>n increase of between $</w:t>
      </w:r>
      <w:r w:rsidR="00E460B9">
        <w:t>2</w:t>
      </w:r>
      <w:r w:rsidR="00D434C5" w:rsidRPr="00513470">
        <w:t>–$</w:t>
      </w:r>
      <w:r w:rsidR="00E460B9">
        <w:t>10</w:t>
      </w:r>
      <w:r w:rsidR="00D434C5" w:rsidRPr="00513470">
        <w:t xml:space="preserve"> ($ nominal) or between 0.</w:t>
      </w:r>
      <w:r w:rsidR="00983123">
        <w:t>2</w:t>
      </w:r>
      <w:r w:rsidR="00D434C5">
        <w:t>–0.7</w:t>
      </w:r>
      <w:r w:rsidR="00D434C5" w:rsidRPr="00513470">
        <w:t xml:space="preserve"> per cent </w:t>
      </w:r>
      <w:r w:rsidR="00D434C5">
        <w:t xml:space="preserve">each year from 2018 to </w:t>
      </w:r>
      <w:r w:rsidR="00D434C5" w:rsidRPr="00513470">
        <w:t>2020.</w:t>
      </w:r>
    </w:p>
    <w:p w:rsidR="00D434C5" w:rsidRDefault="00D434C5" w:rsidP="00D434C5">
      <w:r w:rsidRPr="00876A2C">
        <w:t xml:space="preserve">By comparison, had we accepted </w:t>
      </w:r>
      <w:r w:rsidR="001F2F05">
        <w:t>CitiPower's</w:t>
      </w:r>
      <w:r>
        <w:t xml:space="preserve"> </w:t>
      </w:r>
      <w:r w:rsidRPr="00876A2C">
        <w:t xml:space="preserve">revised proposal, the </w:t>
      </w:r>
      <w:r>
        <w:t xml:space="preserve">expected </w:t>
      </w:r>
      <w:r w:rsidRPr="00876A2C">
        <w:t xml:space="preserve">annual electricity bill </w:t>
      </w:r>
      <w:r>
        <w:t xml:space="preserve">in 2020 would be approximately </w:t>
      </w:r>
      <w:r w:rsidRPr="00876A2C">
        <w:rPr>
          <w:rStyle w:val="AERbody"/>
        </w:rPr>
        <w:t>$</w:t>
      </w:r>
      <w:r>
        <w:rPr>
          <w:rStyle w:val="AERbody"/>
        </w:rPr>
        <w:t>76 ($ nominal) or 5.0 per cent above the 2015 level.</w:t>
      </w:r>
    </w:p>
    <w:p w:rsidR="00E34748" w:rsidRPr="00481870" w:rsidRDefault="00E34748" w:rsidP="00E34748">
      <w:pPr>
        <w:numPr>
          <w:ilvl w:val="0"/>
          <w:numId w:val="24"/>
        </w:numPr>
      </w:pPr>
      <w:r w:rsidRPr="00481870">
        <w:t>Our estimate</w:t>
      </w:r>
      <w:r>
        <w:t xml:space="preserve"> of the</w:t>
      </w:r>
      <w:r w:rsidRPr="00481870">
        <w:t xml:space="preserve"> potential impact</w:t>
      </w:r>
      <w:r>
        <w:t xml:space="preserve"> our final decision will have for </w:t>
      </w:r>
      <w:r w:rsidR="00B948E8" w:rsidRPr="00B948E8">
        <w:t>CitiPower</w:t>
      </w:r>
      <w:r w:rsidR="00B948E8">
        <w:t xml:space="preserve">'s </w:t>
      </w:r>
      <w:r>
        <w:t>residential customers</w:t>
      </w:r>
      <w:r w:rsidRPr="00481870">
        <w:t xml:space="preserve"> is based on the typical annual electricity usage of </w:t>
      </w:r>
      <w:r>
        <w:t>around 4700 </w:t>
      </w:r>
      <w:r w:rsidRPr="00481870">
        <w:t xml:space="preserve">kWh per annum for a residential customer in </w:t>
      </w:r>
      <w:r>
        <w:t>Victoria</w:t>
      </w:r>
      <w:r w:rsidRPr="00481870">
        <w:t>.</w:t>
      </w:r>
      <w:r>
        <w:rPr>
          <w:rStyle w:val="FootnoteReference"/>
        </w:rPr>
        <w:footnoteReference w:id="16"/>
      </w:r>
      <w:r w:rsidRPr="00481870">
        <w:t xml:space="preserve"> Therefore</w:t>
      </w:r>
      <w:r>
        <w:t>,</w:t>
      </w:r>
      <w:r w:rsidRPr="00481870">
        <w:t xml:space="preserve"> customers with different usage will experience different changes in their </w:t>
      </w:r>
      <w:r>
        <w:t>bills</w:t>
      </w:r>
      <w:r w:rsidRPr="00481870">
        <w:t>. We also note that there are other factors, such as transmission network costs</w:t>
      </w:r>
      <w:r>
        <w:t>, metering</w:t>
      </w:r>
      <w:r w:rsidRPr="00481870">
        <w:t xml:space="preserve">, wholesale and retail costs which affect electricity </w:t>
      </w:r>
      <w:r>
        <w:t>bills</w:t>
      </w:r>
      <w:r w:rsidRPr="00481870">
        <w:t xml:space="preserve">. </w:t>
      </w:r>
    </w:p>
    <w:p w:rsidR="00D434C5" w:rsidRDefault="00E460B9" w:rsidP="00D434C5">
      <w:r>
        <w:t xml:space="preserve">Similarly, </w:t>
      </w:r>
      <w:r w:rsidR="00D434C5">
        <w:t xml:space="preserve">a typical small business </w:t>
      </w:r>
      <w:r>
        <w:t>on</w:t>
      </w:r>
      <w:r w:rsidR="00D434C5">
        <w:t xml:space="preserve"> CitiPower's </w:t>
      </w:r>
      <w:r>
        <w:t>network that uses approximately 12MWH of electricity per annum,</w:t>
      </w:r>
      <w:r>
        <w:rPr>
          <w:rStyle w:val="FootnoteReference"/>
        </w:rPr>
        <w:footnoteReference w:id="17"/>
      </w:r>
      <w:r>
        <w:t xml:space="preserve"> </w:t>
      </w:r>
      <w:r w:rsidR="00D434C5">
        <w:t>with an annual electricity bill of $3359 ($ nominal) in 2015 will face:</w:t>
      </w:r>
    </w:p>
    <w:p w:rsidR="00D434C5" w:rsidRPr="00420E04" w:rsidRDefault="00366A53" w:rsidP="00420E04">
      <w:pPr>
        <w:pStyle w:val="AERbulletlistfirststyle"/>
      </w:pPr>
      <w:r w:rsidRPr="00420E04">
        <w:t>a</w:t>
      </w:r>
      <w:r w:rsidR="00D434C5" w:rsidRPr="00420E04">
        <w:t xml:space="preserve"> decrease of $49 ($ nominal) or 1.5 per cent in 2016</w:t>
      </w:r>
    </w:p>
    <w:p w:rsidR="00D434C5" w:rsidRPr="00420E04" w:rsidRDefault="00366A53" w:rsidP="00420E04">
      <w:pPr>
        <w:pStyle w:val="AERbulletlistfirststyle"/>
      </w:pPr>
      <w:r w:rsidRPr="00420E04">
        <w:t>a</w:t>
      </w:r>
      <w:r w:rsidR="00494E44" w:rsidRPr="00420E04">
        <w:t xml:space="preserve"> s</w:t>
      </w:r>
      <w:r w:rsidR="00297EFA" w:rsidRPr="00420E04">
        <w:t xml:space="preserve">light decrease of less than $1 </w:t>
      </w:r>
      <w:r w:rsidR="00D434C5" w:rsidRPr="00420E04">
        <w:t>in 2017</w:t>
      </w:r>
    </w:p>
    <w:p w:rsidR="00D434C5" w:rsidRPr="00420E04" w:rsidRDefault="00366A53" w:rsidP="00420E04">
      <w:pPr>
        <w:pStyle w:val="AERbulletlistfirststyle"/>
      </w:pPr>
      <w:r w:rsidRPr="00420E04">
        <w:t>a</w:t>
      </w:r>
      <w:r w:rsidR="00D434C5" w:rsidRPr="00420E04">
        <w:t>n increase of between $</w:t>
      </w:r>
      <w:r w:rsidR="00297EFA" w:rsidRPr="00420E04">
        <w:t>5</w:t>
      </w:r>
      <w:r w:rsidR="00D434C5" w:rsidRPr="00420E04">
        <w:t>–$2</w:t>
      </w:r>
      <w:r w:rsidR="00983123" w:rsidRPr="00420E04">
        <w:t>2</w:t>
      </w:r>
      <w:r w:rsidR="00D434C5" w:rsidRPr="00420E04">
        <w:t xml:space="preserve"> ($ nominal) or between 0.</w:t>
      </w:r>
      <w:r w:rsidR="00297EFA" w:rsidRPr="00420E04">
        <w:t>2</w:t>
      </w:r>
      <w:r w:rsidR="00D434C5" w:rsidRPr="00420E04">
        <w:t>–0.7 per cent each year from 2018 to 2020.</w:t>
      </w:r>
    </w:p>
    <w:p w:rsidR="00D434C5" w:rsidRDefault="00D434C5" w:rsidP="00D434C5">
      <w:r w:rsidRPr="00876A2C">
        <w:lastRenderedPageBreak/>
        <w:t xml:space="preserve">By comparison, had we accepted </w:t>
      </w:r>
      <w:r w:rsidR="001F2F05">
        <w:t>CitiPower's</w:t>
      </w:r>
      <w:r>
        <w:t xml:space="preserve"> </w:t>
      </w:r>
      <w:r w:rsidRPr="00876A2C">
        <w:t xml:space="preserve">revised proposal, the </w:t>
      </w:r>
      <w:r>
        <w:t xml:space="preserve">expected </w:t>
      </w:r>
      <w:r w:rsidRPr="00876A2C">
        <w:t xml:space="preserve">annual </w:t>
      </w:r>
      <w:r>
        <w:t xml:space="preserve">small business </w:t>
      </w:r>
      <w:r w:rsidRPr="00876A2C">
        <w:t xml:space="preserve">electricity bill </w:t>
      </w:r>
      <w:r>
        <w:t xml:space="preserve">in 2020 would be approximately </w:t>
      </w:r>
      <w:r w:rsidRPr="00876A2C">
        <w:rPr>
          <w:rStyle w:val="AERbody"/>
        </w:rPr>
        <w:t>$</w:t>
      </w:r>
      <w:r>
        <w:rPr>
          <w:rStyle w:val="AERbody"/>
        </w:rPr>
        <w:t>168 ($ nominal) or 5.0 per cent above the 2015 level.</w:t>
      </w:r>
    </w:p>
    <w:p w:rsidR="00E34748" w:rsidRDefault="00E34748" w:rsidP="00E34748">
      <w:r>
        <w:fldChar w:fldCharType="begin"/>
      </w:r>
      <w:r>
        <w:instrText xml:space="preserve"> REF _Ref445114485 \h </w:instrText>
      </w:r>
      <w:r>
        <w:fldChar w:fldCharType="separate"/>
      </w:r>
      <w:r w:rsidR="00473EE0">
        <w:t xml:space="preserve">Table </w:t>
      </w:r>
      <w:r w:rsidR="00473EE0">
        <w:rPr>
          <w:noProof/>
        </w:rPr>
        <w:t>1</w:t>
      </w:r>
      <w:r w:rsidR="00473EE0">
        <w:t>.</w:t>
      </w:r>
      <w:r w:rsidR="00473EE0">
        <w:rPr>
          <w:noProof/>
        </w:rPr>
        <w:t>5</w:t>
      </w:r>
      <w:r>
        <w:fldChar w:fldCharType="end"/>
      </w:r>
      <w:r>
        <w:t xml:space="preserve"> </w:t>
      </w:r>
      <w:r w:rsidRPr="001A0446">
        <w:t xml:space="preserve">shows the estimated annual average impact of our </w:t>
      </w:r>
      <w:r>
        <w:t>final</w:t>
      </w:r>
      <w:r w:rsidRPr="001A0446">
        <w:t xml:space="preserve"> decision for  the 201</w:t>
      </w:r>
      <w:r>
        <w:t>6</w:t>
      </w:r>
      <w:r w:rsidRPr="001A0446">
        <w:t>–</w:t>
      </w:r>
      <w:r>
        <w:t>20</w:t>
      </w:r>
      <w:r w:rsidRPr="001A0446">
        <w:t xml:space="preserve"> </w:t>
      </w:r>
      <w:r>
        <w:t xml:space="preserve">regulatory control </w:t>
      </w:r>
      <w:r w:rsidRPr="001A0446">
        <w:t xml:space="preserve">period </w:t>
      </w:r>
      <w:r>
        <w:t xml:space="preserve">and </w:t>
      </w:r>
      <w:r w:rsidR="00AB7283" w:rsidRPr="00AB7283">
        <w:t>CitiPower</w:t>
      </w:r>
      <w:r w:rsidR="00AB7283">
        <w:t xml:space="preserve">'s </w:t>
      </w:r>
      <w:r>
        <w:t xml:space="preserve">revised proposal </w:t>
      </w:r>
      <w:r w:rsidRPr="001A0446">
        <w:t>on the average residential and small business customers' annual electricity bills.</w:t>
      </w:r>
      <w:r w:rsidR="00AF5694">
        <w:t xml:space="preserve"> </w:t>
      </w:r>
      <w:r w:rsidR="00AF5694" w:rsidRPr="00EC4B79">
        <w:t>As explained above, these bill impact estimates are indicative only, and individual customers’ actual bills will depend on their usage patterns and the structure of their tariffs.</w:t>
      </w:r>
    </w:p>
    <w:p w:rsidR="00E34748" w:rsidRDefault="00E34748" w:rsidP="00E34748">
      <w:pPr>
        <w:pStyle w:val="Caption"/>
      </w:pPr>
      <w:bookmarkStart w:id="97" w:name="_Ref445114485"/>
      <w:r>
        <w:t xml:space="preserve">Table </w:t>
      </w:r>
      <w:r w:rsidRPr="003E0143">
        <w:fldChar w:fldCharType="begin"/>
      </w:r>
      <w:r>
        <w:instrText xml:space="preserve"> STYLEREF 1 \s </w:instrText>
      </w:r>
      <w:r w:rsidRPr="003E0143">
        <w:fldChar w:fldCharType="separate"/>
      </w:r>
      <w:r w:rsidR="00473EE0">
        <w:rPr>
          <w:noProof/>
        </w:rPr>
        <w:t>1</w:t>
      </w:r>
      <w:r w:rsidRPr="003E0143">
        <w:fldChar w:fldCharType="end"/>
      </w:r>
      <w:r>
        <w:t>.</w:t>
      </w:r>
      <w:r w:rsidRPr="003E0143">
        <w:fldChar w:fldCharType="begin"/>
      </w:r>
      <w:r>
        <w:instrText xml:space="preserve"> SEQ Table \* ARABIC \s 1 </w:instrText>
      </w:r>
      <w:r w:rsidRPr="003E0143">
        <w:fldChar w:fldCharType="separate"/>
      </w:r>
      <w:r w:rsidR="00473EE0">
        <w:rPr>
          <w:noProof/>
        </w:rPr>
        <w:t>5</w:t>
      </w:r>
      <w:r w:rsidRPr="003E0143">
        <w:fldChar w:fldCharType="end"/>
      </w:r>
      <w:bookmarkEnd w:id="97"/>
      <w:r>
        <w:tab/>
      </w:r>
      <w:r w:rsidRPr="007F7283">
        <w:t xml:space="preserve">Estimated impact of </w:t>
      </w:r>
      <w:r w:rsidR="00AB7283">
        <w:t>CitiPower's</w:t>
      </w:r>
      <w:r w:rsidRPr="007F7283">
        <w:t xml:space="preserve"> revised proposal and the AER's final decision on annual electricity bills for the 2016–20 regulatory control period ($ nominal)</w:t>
      </w:r>
    </w:p>
    <w:tbl>
      <w:tblPr>
        <w:tblStyle w:val="AERtable-numbers"/>
        <w:tblW w:w="8856" w:type="dxa"/>
        <w:tblLayout w:type="fixed"/>
        <w:tblLook w:val="04A0" w:firstRow="1" w:lastRow="0" w:firstColumn="1" w:lastColumn="0" w:noHBand="0" w:noVBand="1"/>
      </w:tblPr>
      <w:tblGrid>
        <w:gridCol w:w="2235"/>
        <w:gridCol w:w="850"/>
        <w:gridCol w:w="1284"/>
        <w:gridCol w:w="1122"/>
        <w:gridCol w:w="1121"/>
        <w:gridCol w:w="1122"/>
        <w:gridCol w:w="1122"/>
      </w:tblGrid>
      <w:tr w:rsidR="00E34748" w:rsidTr="00E3474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rsidR="00E34748" w:rsidRDefault="00E34748" w:rsidP="00E34748"/>
        </w:tc>
        <w:tc>
          <w:tcPr>
            <w:tcW w:w="850" w:type="dxa"/>
          </w:tcPr>
          <w:p w:rsidR="00E34748" w:rsidRPr="00E34748" w:rsidRDefault="00E34748" w:rsidP="00E34748">
            <w:pPr>
              <w:cnfStyle w:val="100000000000" w:firstRow="1" w:lastRow="0" w:firstColumn="0" w:lastColumn="0" w:oddVBand="0" w:evenVBand="0" w:oddHBand="0" w:evenHBand="0" w:firstRowFirstColumn="0" w:firstRowLastColumn="0" w:lastRowFirstColumn="0" w:lastRowLastColumn="0"/>
            </w:pPr>
            <w:r>
              <w:t>20</w:t>
            </w:r>
            <w:r w:rsidRPr="00E34748">
              <w:t>15</w:t>
            </w:r>
          </w:p>
        </w:tc>
        <w:tc>
          <w:tcPr>
            <w:tcW w:w="1284" w:type="dxa"/>
          </w:tcPr>
          <w:p w:rsidR="00E34748" w:rsidRPr="00E34748" w:rsidRDefault="00E34748" w:rsidP="00E34748">
            <w:pPr>
              <w:cnfStyle w:val="100000000000" w:firstRow="1" w:lastRow="0" w:firstColumn="0" w:lastColumn="0" w:oddVBand="0" w:evenVBand="0" w:oddHBand="0" w:evenHBand="0" w:firstRowFirstColumn="0" w:firstRowLastColumn="0" w:lastRowFirstColumn="0" w:lastRowLastColumn="0"/>
            </w:pPr>
            <w:r>
              <w:t>2016</w:t>
            </w:r>
          </w:p>
        </w:tc>
        <w:tc>
          <w:tcPr>
            <w:tcW w:w="1122" w:type="dxa"/>
          </w:tcPr>
          <w:p w:rsidR="00E34748" w:rsidRPr="00E34748" w:rsidRDefault="00E34748" w:rsidP="00E34748">
            <w:pPr>
              <w:cnfStyle w:val="100000000000" w:firstRow="1" w:lastRow="0" w:firstColumn="0" w:lastColumn="0" w:oddVBand="0" w:evenVBand="0" w:oddHBand="0" w:evenHBand="0" w:firstRowFirstColumn="0" w:firstRowLastColumn="0" w:lastRowFirstColumn="0" w:lastRowLastColumn="0"/>
            </w:pPr>
            <w:r>
              <w:t>2017</w:t>
            </w:r>
          </w:p>
        </w:tc>
        <w:tc>
          <w:tcPr>
            <w:tcW w:w="1121" w:type="dxa"/>
          </w:tcPr>
          <w:p w:rsidR="00E34748" w:rsidRPr="00E34748" w:rsidRDefault="00E34748" w:rsidP="00E34748">
            <w:pPr>
              <w:cnfStyle w:val="100000000000" w:firstRow="1" w:lastRow="0" w:firstColumn="0" w:lastColumn="0" w:oddVBand="0" w:evenVBand="0" w:oddHBand="0" w:evenHBand="0" w:firstRowFirstColumn="0" w:firstRowLastColumn="0" w:lastRowFirstColumn="0" w:lastRowLastColumn="0"/>
            </w:pPr>
            <w:r>
              <w:t>2018</w:t>
            </w:r>
          </w:p>
        </w:tc>
        <w:tc>
          <w:tcPr>
            <w:tcW w:w="1122" w:type="dxa"/>
          </w:tcPr>
          <w:p w:rsidR="00E34748" w:rsidRPr="00E34748" w:rsidRDefault="00E34748" w:rsidP="00E34748">
            <w:pPr>
              <w:cnfStyle w:val="100000000000" w:firstRow="1" w:lastRow="0" w:firstColumn="0" w:lastColumn="0" w:oddVBand="0" w:evenVBand="0" w:oddHBand="0" w:evenHBand="0" w:firstRowFirstColumn="0" w:firstRowLastColumn="0" w:lastRowFirstColumn="0" w:lastRowLastColumn="0"/>
            </w:pPr>
            <w:r>
              <w:t>2019</w:t>
            </w:r>
          </w:p>
        </w:tc>
        <w:tc>
          <w:tcPr>
            <w:tcW w:w="1122" w:type="dxa"/>
          </w:tcPr>
          <w:p w:rsidR="00E34748" w:rsidRPr="00E34748" w:rsidRDefault="00E34748" w:rsidP="00E34748">
            <w:pPr>
              <w:cnfStyle w:val="100000000000" w:firstRow="1" w:lastRow="0" w:firstColumn="0" w:lastColumn="0" w:oddVBand="0" w:evenVBand="0" w:oddHBand="0" w:evenHBand="0" w:firstRowFirstColumn="0" w:firstRowLastColumn="0" w:lastRowFirstColumn="0" w:lastRowLastColumn="0"/>
            </w:pPr>
            <w:r>
              <w:t>2020</w:t>
            </w:r>
          </w:p>
        </w:tc>
      </w:tr>
      <w:tr w:rsidR="00E34748" w:rsidTr="00E34748">
        <w:tc>
          <w:tcPr>
            <w:cnfStyle w:val="001000000000" w:firstRow="0" w:lastRow="0" w:firstColumn="1" w:lastColumn="0" w:oddVBand="0" w:evenVBand="0" w:oddHBand="0" w:evenHBand="0" w:firstRowFirstColumn="0" w:firstRowLastColumn="0" w:lastRowFirstColumn="0" w:lastRowLastColumn="0"/>
            <w:tcW w:w="8856" w:type="dxa"/>
            <w:gridSpan w:val="7"/>
          </w:tcPr>
          <w:p w:rsidR="00E34748" w:rsidRPr="00E34748" w:rsidRDefault="00E34748" w:rsidP="00E34748">
            <w:pPr>
              <w:rPr>
                <w:rStyle w:val="Strong"/>
              </w:rPr>
            </w:pPr>
            <w:r w:rsidRPr="00790C92">
              <w:rPr>
                <w:rStyle w:val="Strong"/>
              </w:rPr>
              <w:t xml:space="preserve">AER </w:t>
            </w:r>
            <w:r w:rsidRPr="00E34748">
              <w:rPr>
                <w:rStyle w:val="Strong"/>
              </w:rPr>
              <w:t>final decision</w:t>
            </w:r>
          </w:p>
        </w:tc>
      </w:tr>
      <w:tr w:rsidR="00983123" w:rsidRPr="008A6584" w:rsidTr="00270B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983123" w:rsidRPr="00983123" w:rsidRDefault="00983123" w:rsidP="00983123">
            <w:r w:rsidRPr="00983123">
              <w:t>Residential annual bill</w:t>
            </w:r>
          </w:p>
        </w:tc>
        <w:tc>
          <w:tcPr>
            <w:tcW w:w="850" w:type="dxa"/>
          </w:tcPr>
          <w:p w:rsidR="00983123" w:rsidRPr="00983123" w:rsidRDefault="00983123" w:rsidP="00983123">
            <w:pPr>
              <w:cnfStyle w:val="000000010000" w:firstRow="0" w:lastRow="0" w:firstColumn="0" w:lastColumn="0" w:oddVBand="0" w:evenVBand="0" w:oddHBand="0" w:evenHBand="1" w:firstRowFirstColumn="0" w:firstRowLastColumn="0" w:lastRowFirstColumn="0" w:lastRowLastColumn="0"/>
            </w:pPr>
            <w:r w:rsidRPr="00983123">
              <w:t>1524</w:t>
            </w:r>
            <w:r w:rsidRPr="00983123">
              <w:rPr>
                <w:rStyle w:val="AERsuperscript"/>
              </w:rPr>
              <w:t>a</w:t>
            </w:r>
          </w:p>
        </w:tc>
        <w:tc>
          <w:tcPr>
            <w:tcW w:w="1284" w:type="dxa"/>
            <w:vAlign w:val="bottom"/>
          </w:tcPr>
          <w:p w:rsidR="00983123" w:rsidRPr="00983123" w:rsidRDefault="00983123" w:rsidP="00983123">
            <w:pPr>
              <w:cnfStyle w:val="000000010000" w:firstRow="0" w:lastRow="0" w:firstColumn="0" w:lastColumn="0" w:oddVBand="0" w:evenVBand="0" w:oddHBand="0" w:evenHBand="1" w:firstRowFirstColumn="0" w:firstRowLastColumn="0" w:lastRowFirstColumn="0" w:lastRowLastColumn="0"/>
            </w:pPr>
            <w:r w:rsidRPr="00983123">
              <w:t>1502</w:t>
            </w:r>
          </w:p>
        </w:tc>
        <w:tc>
          <w:tcPr>
            <w:tcW w:w="1122" w:type="dxa"/>
            <w:vAlign w:val="bottom"/>
          </w:tcPr>
          <w:p w:rsidR="00983123" w:rsidRPr="00983123" w:rsidRDefault="00983123" w:rsidP="00983123">
            <w:pPr>
              <w:cnfStyle w:val="000000010000" w:firstRow="0" w:lastRow="0" w:firstColumn="0" w:lastColumn="0" w:oddVBand="0" w:evenVBand="0" w:oddHBand="0" w:evenHBand="1" w:firstRowFirstColumn="0" w:firstRowLastColumn="0" w:lastRowFirstColumn="0" w:lastRowLastColumn="0"/>
            </w:pPr>
            <w:r w:rsidRPr="00983123">
              <w:t>1502</w:t>
            </w:r>
          </w:p>
        </w:tc>
        <w:tc>
          <w:tcPr>
            <w:tcW w:w="1121" w:type="dxa"/>
            <w:vAlign w:val="bottom"/>
          </w:tcPr>
          <w:p w:rsidR="00983123" w:rsidRPr="00983123" w:rsidRDefault="00983123" w:rsidP="00983123">
            <w:pPr>
              <w:cnfStyle w:val="000000010000" w:firstRow="0" w:lastRow="0" w:firstColumn="0" w:lastColumn="0" w:oddVBand="0" w:evenVBand="0" w:oddHBand="0" w:evenHBand="1" w:firstRowFirstColumn="0" w:firstRowLastColumn="0" w:lastRowFirstColumn="0" w:lastRowLastColumn="0"/>
            </w:pPr>
            <w:r w:rsidRPr="00983123">
              <w:t>1504</w:t>
            </w:r>
          </w:p>
        </w:tc>
        <w:tc>
          <w:tcPr>
            <w:tcW w:w="1122" w:type="dxa"/>
            <w:vAlign w:val="bottom"/>
          </w:tcPr>
          <w:p w:rsidR="00983123" w:rsidRPr="00983123" w:rsidRDefault="00983123" w:rsidP="00983123">
            <w:pPr>
              <w:cnfStyle w:val="000000010000" w:firstRow="0" w:lastRow="0" w:firstColumn="0" w:lastColumn="0" w:oddVBand="0" w:evenVBand="0" w:oddHBand="0" w:evenHBand="1" w:firstRowFirstColumn="0" w:firstRowLastColumn="0" w:lastRowFirstColumn="0" w:lastRowLastColumn="0"/>
            </w:pPr>
            <w:r w:rsidRPr="00983123">
              <w:t>1510</w:t>
            </w:r>
          </w:p>
        </w:tc>
        <w:tc>
          <w:tcPr>
            <w:tcW w:w="1122" w:type="dxa"/>
            <w:vAlign w:val="bottom"/>
          </w:tcPr>
          <w:p w:rsidR="00983123" w:rsidRPr="00983123" w:rsidRDefault="00983123" w:rsidP="00983123">
            <w:pPr>
              <w:cnfStyle w:val="000000010000" w:firstRow="0" w:lastRow="0" w:firstColumn="0" w:lastColumn="0" w:oddVBand="0" w:evenVBand="0" w:oddHBand="0" w:evenHBand="1" w:firstRowFirstColumn="0" w:firstRowLastColumn="0" w:lastRowFirstColumn="0" w:lastRowLastColumn="0"/>
            </w:pPr>
            <w:r w:rsidRPr="00983123">
              <w:t>1520</w:t>
            </w:r>
          </w:p>
        </w:tc>
      </w:tr>
      <w:tr w:rsidR="00983123" w:rsidRPr="008A6584" w:rsidTr="00270B90">
        <w:tc>
          <w:tcPr>
            <w:cnfStyle w:val="001000000000" w:firstRow="0" w:lastRow="0" w:firstColumn="1" w:lastColumn="0" w:oddVBand="0" w:evenVBand="0" w:oddHBand="0" w:evenHBand="0" w:firstRowFirstColumn="0" w:firstRowLastColumn="0" w:lastRowFirstColumn="0" w:lastRowLastColumn="0"/>
            <w:tcW w:w="2235" w:type="dxa"/>
          </w:tcPr>
          <w:p w:rsidR="00983123" w:rsidRPr="00983123" w:rsidRDefault="00983123" w:rsidP="00983123">
            <w:pPr>
              <w:rPr>
                <w:rStyle w:val="AERsuperscript"/>
              </w:rPr>
            </w:pPr>
            <w:r w:rsidRPr="00983123">
              <w:t>Annual change</w:t>
            </w:r>
            <w:r w:rsidRPr="00983123">
              <w:rPr>
                <w:rStyle w:val="AERsuperscript"/>
              </w:rPr>
              <w:t>c</w:t>
            </w:r>
          </w:p>
        </w:tc>
        <w:tc>
          <w:tcPr>
            <w:tcW w:w="850" w:type="dxa"/>
          </w:tcPr>
          <w:p w:rsidR="00983123" w:rsidRPr="00983123" w:rsidRDefault="00983123" w:rsidP="00983123">
            <w:pPr>
              <w:cnfStyle w:val="000000000000" w:firstRow="0" w:lastRow="0" w:firstColumn="0" w:lastColumn="0" w:oddVBand="0" w:evenVBand="0" w:oddHBand="0" w:evenHBand="0" w:firstRowFirstColumn="0" w:firstRowLastColumn="0" w:lastRowFirstColumn="0" w:lastRowLastColumn="0"/>
            </w:pPr>
          </w:p>
        </w:tc>
        <w:tc>
          <w:tcPr>
            <w:tcW w:w="1284" w:type="dxa"/>
            <w:vAlign w:val="bottom"/>
          </w:tcPr>
          <w:p w:rsidR="00983123" w:rsidRPr="00983123" w:rsidRDefault="00983123" w:rsidP="00420E04">
            <w:pPr>
              <w:cnfStyle w:val="000000000000" w:firstRow="0" w:lastRow="0" w:firstColumn="0" w:lastColumn="0" w:oddVBand="0" w:evenVBand="0" w:oddHBand="0" w:evenHBand="0" w:firstRowFirstColumn="0" w:firstRowLastColumn="0" w:lastRowFirstColumn="0" w:lastRowLastColumn="0"/>
            </w:pPr>
            <w:r>
              <w:t>–</w:t>
            </w:r>
            <w:r w:rsidRPr="00983123">
              <w:t>22 (</w:t>
            </w:r>
            <w:r w:rsidR="00420E04">
              <w:t>–</w:t>
            </w:r>
            <w:r w:rsidRPr="00983123">
              <w:t>1.5%)</w:t>
            </w:r>
          </w:p>
        </w:tc>
        <w:tc>
          <w:tcPr>
            <w:tcW w:w="1122" w:type="dxa"/>
            <w:vAlign w:val="bottom"/>
          </w:tcPr>
          <w:p w:rsidR="00983123" w:rsidRPr="00983123" w:rsidRDefault="00983123" w:rsidP="00983123">
            <w:pPr>
              <w:cnfStyle w:val="000000000000" w:firstRow="0" w:lastRow="0" w:firstColumn="0" w:lastColumn="0" w:oddVBand="0" w:evenVBand="0" w:oddHBand="0" w:evenHBand="0" w:firstRowFirstColumn="0" w:firstRowLastColumn="0" w:lastRowFirstColumn="0" w:lastRowLastColumn="0"/>
            </w:pPr>
            <w:r w:rsidRPr="00983123">
              <w:t>0 (0</w:t>
            </w:r>
            <w:r w:rsidR="00420E04">
              <w:t>.0</w:t>
            </w:r>
            <w:r w:rsidRPr="00983123">
              <w:t>%)</w:t>
            </w:r>
          </w:p>
        </w:tc>
        <w:tc>
          <w:tcPr>
            <w:tcW w:w="1121" w:type="dxa"/>
            <w:vAlign w:val="bottom"/>
          </w:tcPr>
          <w:p w:rsidR="00983123" w:rsidRPr="00983123" w:rsidRDefault="00983123" w:rsidP="00983123">
            <w:pPr>
              <w:cnfStyle w:val="000000000000" w:firstRow="0" w:lastRow="0" w:firstColumn="0" w:lastColumn="0" w:oddVBand="0" w:evenVBand="0" w:oddHBand="0" w:evenHBand="0" w:firstRowFirstColumn="0" w:firstRowLastColumn="0" w:lastRowFirstColumn="0" w:lastRowLastColumn="0"/>
            </w:pPr>
            <w:r w:rsidRPr="00983123">
              <w:t>2 (0.2%)</w:t>
            </w:r>
          </w:p>
        </w:tc>
        <w:tc>
          <w:tcPr>
            <w:tcW w:w="1122" w:type="dxa"/>
            <w:vAlign w:val="bottom"/>
          </w:tcPr>
          <w:p w:rsidR="00983123" w:rsidRPr="00983123" w:rsidRDefault="00983123" w:rsidP="00983123">
            <w:pPr>
              <w:cnfStyle w:val="000000000000" w:firstRow="0" w:lastRow="0" w:firstColumn="0" w:lastColumn="0" w:oddVBand="0" w:evenVBand="0" w:oddHBand="0" w:evenHBand="0" w:firstRowFirstColumn="0" w:firstRowLastColumn="0" w:lastRowFirstColumn="0" w:lastRowLastColumn="0"/>
            </w:pPr>
            <w:r w:rsidRPr="00983123">
              <w:t>6 (0.4%)</w:t>
            </w:r>
          </w:p>
        </w:tc>
        <w:tc>
          <w:tcPr>
            <w:tcW w:w="1122" w:type="dxa"/>
            <w:vAlign w:val="bottom"/>
          </w:tcPr>
          <w:p w:rsidR="00983123" w:rsidRPr="00983123" w:rsidRDefault="00983123" w:rsidP="00983123">
            <w:pPr>
              <w:cnfStyle w:val="000000000000" w:firstRow="0" w:lastRow="0" w:firstColumn="0" w:lastColumn="0" w:oddVBand="0" w:evenVBand="0" w:oddHBand="0" w:evenHBand="0" w:firstRowFirstColumn="0" w:firstRowLastColumn="0" w:lastRowFirstColumn="0" w:lastRowLastColumn="0"/>
            </w:pPr>
            <w:r w:rsidRPr="00983123">
              <w:t>10 (0.7%)</w:t>
            </w:r>
          </w:p>
        </w:tc>
      </w:tr>
      <w:tr w:rsidR="00983123" w:rsidRPr="008A6584" w:rsidTr="00270B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983123" w:rsidRPr="00983123" w:rsidRDefault="00983123" w:rsidP="00983123">
            <w:r w:rsidRPr="00983123">
              <w:t>Small business annual bill</w:t>
            </w:r>
          </w:p>
        </w:tc>
        <w:tc>
          <w:tcPr>
            <w:tcW w:w="850" w:type="dxa"/>
          </w:tcPr>
          <w:p w:rsidR="00983123" w:rsidRPr="00983123" w:rsidRDefault="00983123" w:rsidP="00983123">
            <w:pPr>
              <w:cnfStyle w:val="000000010000" w:firstRow="0" w:lastRow="0" w:firstColumn="0" w:lastColumn="0" w:oddVBand="0" w:evenVBand="0" w:oddHBand="0" w:evenHBand="1" w:firstRowFirstColumn="0" w:firstRowLastColumn="0" w:lastRowFirstColumn="0" w:lastRowLastColumn="0"/>
            </w:pPr>
            <w:r w:rsidRPr="00983123">
              <w:t>3359</w:t>
            </w:r>
            <w:r w:rsidRPr="00983123">
              <w:rPr>
                <w:rStyle w:val="AERsuperscript"/>
              </w:rPr>
              <w:t>b</w:t>
            </w:r>
          </w:p>
        </w:tc>
        <w:tc>
          <w:tcPr>
            <w:tcW w:w="1284" w:type="dxa"/>
            <w:vAlign w:val="bottom"/>
          </w:tcPr>
          <w:p w:rsidR="00983123" w:rsidRPr="00983123" w:rsidRDefault="00983123" w:rsidP="00983123">
            <w:pPr>
              <w:cnfStyle w:val="000000010000" w:firstRow="0" w:lastRow="0" w:firstColumn="0" w:lastColumn="0" w:oddVBand="0" w:evenVBand="0" w:oddHBand="0" w:evenHBand="1" w:firstRowFirstColumn="0" w:firstRowLastColumn="0" w:lastRowFirstColumn="0" w:lastRowLastColumn="0"/>
            </w:pPr>
            <w:r w:rsidRPr="00983123">
              <w:t>3310</w:t>
            </w:r>
          </w:p>
        </w:tc>
        <w:tc>
          <w:tcPr>
            <w:tcW w:w="1122" w:type="dxa"/>
            <w:vAlign w:val="bottom"/>
          </w:tcPr>
          <w:p w:rsidR="00983123" w:rsidRPr="00983123" w:rsidRDefault="00983123" w:rsidP="00983123">
            <w:pPr>
              <w:cnfStyle w:val="000000010000" w:firstRow="0" w:lastRow="0" w:firstColumn="0" w:lastColumn="0" w:oddVBand="0" w:evenVBand="0" w:oddHBand="0" w:evenHBand="1" w:firstRowFirstColumn="0" w:firstRowLastColumn="0" w:lastRowFirstColumn="0" w:lastRowLastColumn="0"/>
            </w:pPr>
            <w:r w:rsidRPr="00983123">
              <w:t>3309</w:t>
            </w:r>
          </w:p>
        </w:tc>
        <w:tc>
          <w:tcPr>
            <w:tcW w:w="1121" w:type="dxa"/>
            <w:vAlign w:val="bottom"/>
          </w:tcPr>
          <w:p w:rsidR="00983123" w:rsidRPr="00983123" w:rsidRDefault="00983123" w:rsidP="00983123">
            <w:pPr>
              <w:cnfStyle w:val="000000010000" w:firstRow="0" w:lastRow="0" w:firstColumn="0" w:lastColumn="0" w:oddVBand="0" w:evenVBand="0" w:oddHBand="0" w:evenHBand="1" w:firstRowFirstColumn="0" w:firstRowLastColumn="0" w:lastRowFirstColumn="0" w:lastRowLastColumn="0"/>
            </w:pPr>
            <w:r w:rsidRPr="00983123">
              <w:t>3314</w:t>
            </w:r>
          </w:p>
        </w:tc>
        <w:tc>
          <w:tcPr>
            <w:tcW w:w="1122" w:type="dxa"/>
            <w:vAlign w:val="bottom"/>
          </w:tcPr>
          <w:p w:rsidR="00983123" w:rsidRPr="00983123" w:rsidRDefault="00983123" w:rsidP="00983123">
            <w:pPr>
              <w:cnfStyle w:val="000000010000" w:firstRow="0" w:lastRow="0" w:firstColumn="0" w:lastColumn="0" w:oddVBand="0" w:evenVBand="0" w:oddHBand="0" w:evenHBand="1" w:firstRowFirstColumn="0" w:firstRowLastColumn="0" w:lastRowFirstColumn="0" w:lastRowLastColumn="0"/>
            </w:pPr>
            <w:r w:rsidRPr="00983123">
              <w:t>3327</w:t>
            </w:r>
          </w:p>
        </w:tc>
        <w:tc>
          <w:tcPr>
            <w:tcW w:w="1122" w:type="dxa"/>
            <w:vAlign w:val="bottom"/>
          </w:tcPr>
          <w:p w:rsidR="00983123" w:rsidRPr="00983123" w:rsidRDefault="00983123" w:rsidP="00983123">
            <w:pPr>
              <w:cnfStyle w:val="000000010000" w:firstRow="0" w:lastRow="0" w:firstColumn="0" w:lastColumn="0" w:oddVBand="0" w:evenVBand="0" w:oddHBand="0" w:evenHBand="1" w:firstRowFirstColumn="0" w:firstRowLastColumn="0" w:lastRowFirstColumn="0" w:lastRowLastColumn="0"/>
            </w:pPr>
            <w:r w:rsidRPr="00983123">
              <w:t>3350</w:t>
            </w:r>
          </w:p>
        </w:tc>
      </w:tr>
      <w:tr w:rsidR="00983123" w:rsidRPr="008A6584" w:rsidTr="00270B90">
        <w:tc>
          <w:tcPr>
            <w:cnfStyle w:val="001000000000" w:firstRow="0" w:lastRow="0" w:firstColumn="1" w:lastColumn="0" w:oddVBand="0" w:evenVBand="0" w:oddHBand="0" w:evenHBand="0" w:firstRowFirstColumn="0" w:firstRowLastColumn="0" w:lastRowFirstColumn="0" w:lastRowLastColumn="0"/>
            <w:tcW w:w="2235" w:type="dxa"/>
          </w:tcPr>
          <w:p w:rsidR="00983123" w:rsidRPr="00983123" w:rsidRDefault="00983123" w:rsidP="00983123">
            <w:pPr>
              <w:rPr>
                <w:rStyle w:val="AERsuperscript"/>
              </w:rPr>
            </w:pPr>
            <w:r w:rsidRPr="00983123">
              <w:t>Annual change</w:t>
            </w:r>
            <w:r w:rsidRPr="00983123">
              <w:rPr>
                <w:rStyle w:val="AERsuperscript"/>
              </w:rPr>
              <w:t>c</w:t>
            </w:r>
          </w:p>
        </w:tc>
        <w:tc>
          <w:tcPr>
            <w:tcW w:w="850" w:type="dxa"/>
          </w:tcPr>
          <w:p w:rsidR="00983123" w:rsidRPr="00983123" w:rsidRDefault="00983123" w:rsidP="00983123">
            <w:pPr>
              <w:cnfStyle w:val="000000000000" w:firstRow="0" w:lastRow="0" w:firstColumn="0" w:lastColumn="0" w:oddVBand="0" w:evenVBand="0" w:oddHBand="0" w:evenHBand="0" w:firstRowFirstColumn="0" w:firstRowLastColumn="0" w:lastRowFirstColumn="0" w:lastRowLastColumn="0"/>
            </w:pPr>
          </w:p>
        </w:tc>
        <w:tc>
          <w:tcPr>
            <w:tcW w:w="1284" w:type="dxa"/>
            <w:vAlign w:val="bottom"/>
          </w:tcPr>
          <w:p w:rsidR="00983123" w:rsidRPr="00983123" w:rsidRDefault="00983123" w:rsidP="00983123">
            <w:pPr>
              <w:cnfStyle w:val="000000000000" w:firstRow="0" w:lastRow="0" w:firstColumn="0" w:lastColumn="0" w:oddVBand="0" w:evenVBand="0" w:oddHBand="0" w:evenHBand="0" w:firstRowFirstColumn="0" w:firstRowLastColumn="0" w:lastRowFirstColumn="0" w:lastRowLastColumn="0"/>
            </w:pPr>
            <w:r>
              <w:t>–</w:t>
            </w:r>
            <w:r w:rsidR="00420E04">
              <w:t>49 (–</w:t>
            </w:r>
            <w:r w:rsidRPr="00983123">
              <w:t>1.5%)</w:t>
            </w:r>
          </w:p>
        </w:tc>
        <w:tc>
          <w:tcPr>
            <w:tcW w:w="1122" w:type="dxa"/>
            <w:vAlign w:val="bottom"/>
          </w:tcPr>
          <w:p w:rsidR="00983123" w:rsidRPr="00983123" w:rsidRDefault="00297EFA" w:rsidP="00983123">
            <w:pPr>
              <w:cnfStyle w:val="000000000000" w:firstRow="0" w:lastRow="0" w:firstColumn="0" w:lastColumn="0" w:oddVBand="0" w:evenVBand="0" w:oddHBand="0" w:evenHBand="0" w:firstRowFirstColumn="0" w:firstRowLastColumn="0" w:lastRowFirstColumn="0" w:lastRowLastColumn="0"/>
            </w:pPr>
            <w:r>
              <w:t>–</w:t>
            </w:r>
            <w:r w:rsidR="00983123" w:rsidRPr="00983123">
              <w:t>1 (0</w:t>
            </w:r>
            <w:r w:rsidR="00420E04">
              <w:t>.0</w:t>
            </w:r>
            <w:r w:rsidR="00983123" w:rsidRPr="00983123">
              <w:t>%)</w:t>
            </w:r>
          </w:p>
        </w:tc>
        <w:tc>
          <w:tcPr>
            <w:tcW w:w="1121" w:type="dxa"/>
            <w:vAlign w:val="bottom"/>
          </w:tcPr>
          <w:p w:rsidR="00983123" w:rsidRPr="00983123" w:rsidRDefault="00983123" w:rsidP="00983123">
            <w:pPr>
              <w:cnfStyle w:val="000000000000" w:firstRow="0" w:lastRow="0" w:firstColumn="0" w:lastColumn="0" w:oddVBand="0" w:evenVBand="0" w:oddHBand="0" w:evenHBand="0" w:firstRowFirstColumn="0" w:firstRowLastColumn="0" w:lastRowFirstColumn="0" w:lastRowLastColumn="0"/>
            </w:pPr>
            <w:r w:rsidRPr="00983123">
              <w:t>5 (0.2%)</w:t>
            </w:r>
          </w:p>
        </w:tc>
        <w:tc>
          <w:tcPr>
            <w:tcW w:w="1122" w:type="dxa"/>
            <w:vAlign w:val="bottom"/>
          </w:tcPr>
          <w:p w:rsidR="00983123" w:rsidRPr="00983123" w:rsidRDefault="00983123" w:rsidP="00983123">
            <w:pPr>
              <w:cnfStyle w:val="000000000000" w:firstRow="0" w:lastRow="0" w:firstColumn="0" w:lastColumn="0" w:oddVBand="0" w:evenVBand="0" w:oddHBand="0" w:evenHBand="0" w:firstRowFirstColumn="0" w:firstRowLastColumn="0" w:lastRowFirstColumn="0" w:lastRowLastColumn="0"/>
            </w:pPr>
            <w:r w:rsidRPr="00983123">
              <w:t>13 (0.4%)</w:t>
            </w:r>
          </w:p>
        </w:tc>
        <w:tc>
          <w:tcPr>
            <w:tcW w:w="1122" w:type="dxa"/>
            <w:vAlign w:val="bottom"/>
          </w:tcPr>
          <w:p w:rsidR="00983123" w:rsidRPr="00983123" w:rsidRDefault="00983123" w:rsidP="00983123">
            <w:pPr>
              <w:cnfStyle w:val="000000000000" w:firstRow="0" w:lastRow="0" w:firstColumn="0" w:lastColumn="0" w:oddVBand="0" w:evenVBand="0" w:oddHBand="0" w:evenHBand="0" w:firstRowFirstColumn="0" w:firstRowLastColumn="0" w:lastRowFirstColumn="0" w:lastRowLastColumn="0"/>
            </w:pPr>
            <w:r w:rsidRPr="00983123">
              <w:t>22 (0.7%)</w:t>
            </w:r>
          </w:p>
        </w:tc>
      </w:tr>
      <w:tr w:rsidR="00E34748" w:rsidTr="00E347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56" w:type="dxa"/>
            <w:gridSpan w:val="7"/>
          </w:tcPr>
          <w:p w:rsidR="00E34748" w:rsidRPr="00E34748" w:rsidRDefault="00B948E8" w:rsidP="00D471DD">
            <w:pPr>
              <w:rPr>
                <w:rStyle w:val="Strong"/>
              </w:rPr>
            </w:pPr>
            <w:r>
              <w:rPr>
                <w:rStyle w:val="Strong"/>
              </w:rPr>
              <w:t>CitiPower</w:t>
            </w:r>
            <w:r w:rsidR="00E34748">
              <w:rPr>
                <w:rStyle w:val="Strong"/>
              </w:rPr>
              <w:t xml:space="preserve"> </w:t>
            </w:r>
            <w:r w:rsidR="00E34748" w:rsidRPr="00E34748">
              <w:rPr>
                <w:rStyle w:val="Strong"/>
              </w:rPr>
              <w:t>revised proposal</w:t>
            </w:r>
          </w:p>
        </w:tc>
      </w:tr>
      <w:tr w:rsidR="00E34748" w:rsidTr="00E34748">
        <w:tc>
          <w:tcPr>
            <w:cnfStyle w:val="001000000000" w:firstRow="0" w:lastRow="0" w:firstColumn="1" w:lastColumn="0" w:oddVBand="0" w:evenVBand="0" w:oddHBand="0" w:evenHBand="0" w:firstRowFirstColumn="0" w:firstRowLastColumn="0" w:lastRowFirstColumn="0" w:lastRowLastColumn="0"/>
            <w:tcW w:w="2235" w:type="dxa"/>
          </w:tcPr>
          <w:p w:rsidR="00E34748" w:rsidRPr="00E34748" w:rsidRDefault="00E34748" w:rsidP="00E34748">
            <w:r w:rsidRPr="00320ECE">
              <w:t>Residential annual bill</w:t>
            </w:r>
          </w:p>
        </w:tc>
        <w:tc>
          <w:tcPr>
            <w:tcW w:w="850" w:type="dxa"/>
            <w:vAlign w:val="bottom"/>
          </w:tcPr>
          <w:p w:rsidR="00E34748" w:rsidRPr="00E34748" w:rsidRDefault="008218BE" w:rsidP="008218BE">
            <w:pPr>
              <w:cnfStyle w:val="000000000000" w:firstRow="0" w:lastRow="0" w:firstColumn="0" w:lastColumn="0" w:oddVBand="0" w:evenVBand="0" w:oddHBand="0" w:evenHBand="0" w:firstRowFirstColumn="0" w:firstRowLastColumn="0" w:lastRowFirstColumn="0" w:lastRowLastColumn="0"/>
            </w:pPr>
            <w:r>
              <w:t>1524</w:t>
            </w:r>
            <w:r w:rsidR="00E34748" w:rsidRPr="00E34748">
              <w:rPr>
                <w:rStyle w:val="AERsuperscript"/>
              </w:rPr>
              <w:t>a</w:t>
            </w:r>
          </w:p>
        </w:tc>
        <w:tc>
          <w:tcPr>
            <w:tcW w:w="1284" w:type="dxa"/>
            <w:vAlign w:val="bottom"/>
          </w:tcPr>
          <w:p w:rsidR="00E34748" w:rsidRPr="00E34748" w:rsidRDefault="00E34748" w:rsidP="008218BE">
            <w:pPr>
              <w:cnfStyle w:val="000000000000" w:firstRow="0" w:lastRow="0" w:firstColumn="0" w:lastColumn="0" w:oddVBand="0" w:evenVBand="0" w:oddHBand="0" w:evenHBand="0" w:firstRowFirstColumn="0" w:firstRowLastColumn="0" w:lastRowFirstColumn="0" w:lastRowLastColumn="0"/>
            </w:pPr>
            <w:r w:rsidRPr="00320ECE">
              <w:t>1</w:t>
            </w:r>
            <w:r w:rsidR="008218BE">
              <w:t>502</w:t>
            </w:r>
          </w:p>
        </w:tc>
        <w:tc>
          <w:tcPr>
            <w:tcW w:w="1122" w:type="dxa"/>
            <w:vAlign w:val="bottom"/>
          </w:tcPr>
          <w:p w:rsidR="00E34748" w:rsidRPr="00E34748" w:rsidRDefault="008218BE" w:rsidP="008218BE">
            <w:pPr>
              <w:cnfStyle w:val="000000000000" w:firstRow="0" w:lastRow="0" w:firstColumn="0" w:lastColumn="0" w:oddVBand="0" w:evenVBand="0" w:oddHBand="0" w:evenHBand="0" w:firstRowFirstColumn="0" w:firstRowLastColumn="0" w:lastRowFirstColumn="0" w:lastRowLastColumn="0"/>
            </w:pPr>
            <w:r>
              <w:t>1585</w:t>
            </w:r>
          </w:p>
        </w:tc>
        <w:tc>
          <w:tcPr>
            <w:tcW w:w="1121" w:type="dxa"/>
            <w:vAlign w:val="bottom"/>
          </w:tcPr>
          <w:p w:rsidR="00E34748" w:rsidRPr="00E34748" w:rsidRDefault="008218BE" w:rsidP="008218BE">
            <w:pPr>
              <w:cnfStyle w:val="000000000000" w:firstRow="0" w:lastRow="0" w:firstColumn="0" w:lastColumn="0" w:oddVBand="0" w:evenVBand="0" w:oddHBand="0" w:evenHBand="0" w:firstRowFirstColumn="0" w:firstRowLastColumn="0" w:lastRowFirstColumn="0" w:lastRowLastColumn="0"/>
            </w:pPr>
            <w:r>
              <w:t>1589</w:t>
            </w:r>
          </w:p>
        </w:tc>
        <w:tc>
          <w:tcPr>
            <w:tcW w:w="1122" w:type="dxa"/>
            <w:vAlign w:val="bottom"/>
          </w:tcPr>
          <w:p w:rsidR="00E34748" w:rsidRPr="00E34748" w:rsidRDefault="008218BE" w:rsidP="008218BE">
            <w:pPr>
              <w:cnfStyle w:val="000000000000" w:firstRow="0" w:lastRow="0" w:firstColumn="0" w:lastColumn="0" w:oddVBand="0" w:evenVBand="0" w:oddHBand="0" w:evenHBand="0" w:firstRowFirstColumn="0" w:firstRowLastColumn="0" w:lastRowFirstColumn="0" w:lastRowLastColumn="0"/>
            </w:pPr>
            <w:r>
              <w:t>1594</w:t>
            </w:r>
          </w:p>
        </w:tc>
        <w:tc>
          <w:tcPr>
            <w:tcW w:w="1122" w:type="dxa"/>
            <w:vAlign w:val="bottom"/>
          </w:tcPr>
          <w:p w:rsidR="00E34748" w:rsidRPr="00E34748" w:rsidRDefault="008218BE" w:rsidP="00E34748">
            <w:pPr>
              <w:cnfStyle w:val="000000000000" w:firstRow="0" w:lastRow="0" w:firstColumn="0" w:lastColumn="0" w:oddVBand="0" w:evenVBand="0" w:oddHBand="0" w:evenHBand="0" w:firstRowFirstColumn="0" w:firstRowLastColumn="0" w:lastRowFirstColumn="0" w:lastRowLastColumn="0"/>
            </w:pPr>
            <w:r>
              <w:t>1600</w:t>
            </w:r>
          </w:p>
        </w:tc>
      </w:tr>
      <w:tr w:rsidR="00E34748" w:rsidTr="00E347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E34748" w:rsidRPr="00E34748" w:rsidRDefault="00E34748" w:rsidP="00E34748">
            <w:pPr>
              <w:rPr>
                <w:rStyle w:val="AERsuperscript"/>
              </w:rPr>
            </w:pPr>
            <w:r w:rsidRPr="00320ECE">
              <w:t>Annual change</w:t>
            </w:r>
            <w:r w:rsidRPr="00E34748">
              <w:rPr>
                <w:rStyle w:val="AERsuperscript"/>
              </w:rPr>
              <w:t>c</w:t>
            </w:r>
          </w:p>
        </w:tc>
        <w:tc>
          <w:tcPr>
            <w:tcW w:w="850" w:type="dxa"/>
            <w:vAlign w:val="bottom"/>
          </w:tcPr>
          <w:p w:rsidR="00E34748" w:rsidRPr="00E34748" w:rsidRDefault="00E34748" w:rsidP="00E34748">
            <w:pPr>
              <w:cnfStyle w:val="000000010000" w:firstRow="0" w:lastRow="0" w:firstColumn="0" w:lastColumn="0" w:oddVBand="0" w:evenVBand="0" w:oddHBand="0" w:evenHBand="1" w:firstRowFirstColumn="0" w:firstRowLastColumn="0" w:lastRowFirstColumn="0" w:lastRowLastColumn="0"/>
            </w:pPr>
            <w:r w:rsidRPr="00320ECE">
              <w:t> </w:t>
            </w:r>
          </w:p>
        </w:tc>
        <w:tc>
          <w:tcPr>
            <w:tcW w:w="1284" w:type="dxa"/>
            <w:vAlign w:val="bottom"/>
          </w:tcPr>
          <w:p w:rsidR="00E34748" w:rsidRPr="00E34748" w:rsidRDefault="00E34748" w:rsidP="008218BE">
            <w:pPr>
              <w:cnfStyle w:val="000000010000" w:firstRow="0" w:lastRow="0" w:firstColumn="0" w:lastColumn="0" w:oddVBand="0" w:evenVBand="0" w:oddHBand="0" w:evenHBand="1" w:firstRowFirstColumn="0" w:firstRowLastColumn="0" w:lastRowFirstColumn="0" w:lastRowLastColumn="0"/>
            </w:pPr>
            <w:r>
              <w:t>–</w:t>
            </w:r>
            <w:r w:rsidR="008218BE">
              <w:t>22</w:t>
            </w:r>
            <w:r w:rsidRPr="00E34748">
              <w:t xml:space="preserve"> (–</w:t>
            </w:r>
            <w:r w:rsidR="008218BE">
              <w:t>1</w:t>
            </w:r>
            <w:r w:rsidRPr="00E34748">
              <w:t>.</w:t>
            </w:r>
            <w:r w:rsidR="008218BE">
              <w:t>5</w:t>
            </w:r>
            <w:r w:rsidRPr="00E34748">
              <w:t>%)</w:t>
            </w:r>
          </w:p>
        </w:tc>
        <w:tc>
          <w:tcPr>
            <w:tcW w:w="1122" w:type="dxa"/>
            <w:vAlign w:val="bottom"/>
          </w:tcPr>
          <w:p w:rsidR="00E34748" w:rsidRPr="00E34748" w:rsidRDefault="008218BE" w:rsidP="008218BE">
            <w:pPr>
              <w:cnfStyle w:val="000000010000" w:firstRow="0" w:lastRow="0" w:firstColumn="0" w:lastColumn="0" w:oddVBand="0" w:evenVBand="0" w:oddHBand="0" w:evenHBand="1" w:firstRowFirstColumn="0" w:firstRowLastColumn="0" w:lastRowFirstColumn="0" w:lastRowLastColumn="0"/>
            </w:pPr>
            <w:r>
              <w:t>83</w:t>
            </w:r>
            <w:r w:rsidR="00E34748" w:rsidRPr="00E34748">
              <w:t xml:space="preserve"> (</w:t>
            </w:r>
            <w:r>
              <w:t>5</w:t>
            </w:r>
            <w:r w:rsidR="00E34748" w:rsidRPr="00E34748">
              <w:t>.</w:t>
            </w:r>
            <w:r>
              <w:t>5</w:t>
            </w:r>
            <w:r w:rsidR="00E34748" w:rsidRPr="00E34748">
              <w:t>%)</w:t>
            </w:r>
          </w:p>
        </w:tc>
        <w:tc>
          <w:tcPr>
            <w:tcW w:w="1121" w:type="dxa"/>
            <w:vAlign w:val="bottom"/>
          </w:tcPr>
          <w:p w:rsidR="00E34748" w:rsidRPr="00E34748" w:rsidRDefault="008218BE" w:rsidP="008218BE">
            <w:pPr>
              <w:cnfStyle w:val="000000010000" w:firstRow="0" w:lastRow="0" w:firstColumn="0" w:lastColumn="0" w:oddVBand="0" w:evenVBand="0" w:oddHBand="0" w:evenHBand="1" w:firstRowFirstColumn="0" w:firstRowLastColumn="0" w:lastRowFirstColumn="0" w:lastRowLastColumn="0"/>
            </w:pPr>
            <w:r>
              <w:t>4</w:t>
            </w:r>
            <w:r w:rsidR="00E34748" w:rsidRPr="00E34748">
              <w:t xml:space="preserve"> (0.</w:t>
            </w:r>
            <w:r>
              <w:t>3</w:t>
            </w:r>
            <w:r w:rsidR="00E34748" w:rsidRPr="00E34748">
              <w:t>%)</w:t>
            </w:r>
          </w:p>
        </w:tc>
        <w:tc>
          <w:tcPr>
            <w:tcW w:w="1122" w:type="dxa"/>
            <w:vAlign w:val="bottom"/>
          </w:tcPr>
          <w:p w:rsidR="00E34748" w:rsidRPr="00E34748" w:rsidRDefault="008218BE" w:rsidP="008218BE">
            <w:pPr>
              <w:cnfStyle w:val="000000010000" w:firstRow="0" w:lastRow="0" w:firstColumn="0" w:lastColumn="0" w:oddVBand="0" w:evenVBand="0" w:oddHBand="0" w:evenHBand="1" w:firstRowFirstColumn="0" w:firstRowLastColumn="0" w:lastRowFirstColumn="0" w:lastRowLastColumn="0"/>
            </w:pPr>
            <w:r>
              <w:t>6</w:t>
            </w:r>
            <w:r w:rsidR="00E34748" w:rsidRPr="00E34748">
              <w:t xml:space="preserve"> (0.</w:t>
            </w:r>
            <w:r>
              <w:t>4</w:t>
            </w:r>
            <w:r w:rsidR="00E34748" w:rsidRPr="00E34748">
              <w:t>%)</w:t>
            </w:r>
          </w:p>
        </w:tc>
        <w:tc>
          <w:tcPr>
            <w:tcW w:w="1122" w:type="dxa"/>
            <w:vAlign w:val="bottom"/>
          </w:tcPr>
          <w:p w:rsidR="00E34748" w:rsidRPr="00E34748" w:rsidRDefault="008218BE" w:rsidP="008218BE">
            <w:pPr>
              <w:cnfStyle w:val="000000010000" w:firstRow="0" w:lastRow="0" w:firstColumn="0" w:lastColumn="0" w:oddVBand="0" w:evenVBand="0" w:oddHBand="0" w:evenHBand="1" w:firstRowFirstColumn="0" w:firstRowLastColumn="0" w:lastRowFirstColumn="0" w:lastRowLastColumn="0"/>
            </w:pPr>
            <w:r>
              <w:t>6</w:t>
            </w:r>
            <w:r w:rsidR="00E34748" w:rsidRPr="00E34748">
              <w:t xml:space="preserve"> (0.</w:t>
            </w:r>
            <w:r>
              <w:t>4</w:t>
            </w:r>
            <w:r w:rsidR="00E34748" w:rsidRPr="00E34748">
              <w:t>%)</w:t>
            </w:r>
          </w:p>
        </w:tc>
      </w:tr>
      <w:tr w:rsidR="00E34748" w:rsidTr="00E34748">
        <w:tc>
          <w:tcPr>
            <w:cnfStyle w:val="001000000000" w:firstRow="0" w:lastRow="0" w:firstColumn="1" w:lastColumn="0" w:oddVBand="0" w:evenVBand="0" w:oddHBand="0" w:evenHBand="0" w:firstRowFirstColumn="0" w:firstRowLastColumn="0" w:lastRowFirstColumn="0" w:lastRowLastColumn="0"/>
            <w:tcW w:w="2235" w:type="dxa"/>
          </w:tcPr>
          <w:p w:rsidR="00E34748" w:rsidRPr="00E34748" w:rsidRDefault="00E34748" w:rsidP="00E34748">
            <w:r w:rsidRPr="00320ECE">
              <w:t>Small business annual bill</w:t>
            </w:r>
          </w:p>
        </w:tc>
        <w:tc>
          <w:tcPr>
            <w:tcW w:w="850" w:type="dxa"/>
            <w:vAlign w:val="bottom"/>
          </w:tcPr>
          <w:p w:rsidR="00E34748" w:rsidRPr="00E34748" w:rsidRDefault="008218BE" w:rsidP="008218BE">
            <w:pPr>
              <w:cnfStyle w:val="000000000000" w:firstRow="0" w:lastRow="0" w:firstColumn="0" w:lastColumn="0" w:oddVBand="0" w:evenVBand="0" w:oddHBand="0" w:evenHBand="0" w:firstRowFirstColumn="0" w:firstRowLastColumn="0" w:lastRowFirstColumn="0" w:lastRowLastColumn="0"/>
            </w:pPr>
            <w:r>
              <w:t>3359</w:t>
            </w:r>
            <w:r w:rsidR="00E34748" w:rsidRPr="00E34748">
              <w:rPr>
                <w:rStyle w:val="AERsuperscript"/>
              </w:rPr>
              <w:t>b</w:t>
            </w:r>
          </w:p>
        </w:tc>
        <w:tc>
          <w:tcPr>
            <w:tcW w:w="1284" w:type="dxa"/>
            <w:vAlign w:val="bottom"/>
          </w:tcPr>
          <w:p w:rsidR="00E34748" w:rsidRPr="00E34748" w:rsidRDefault="008218BE" w:rsidP="00E34748">
            <w:pPr>
              <w:cnfStyle w:val="000000000000" w:firstRow="0" w:lastRow="0" w:firstColumn="0" w:lastColumn="0" w:oddVBand="0" w:evenVBand="0" w:oddHBand="0" w:evenHBand="0" w:firstRowFirstColumn="0" w:firstRowLastColumn="0" w:lastRowFirstColumn="0" w:lastRowLastColumn="0"/>
            </w:pPr>
            <w:r>
              <w:t>3310</w:t>
            </w:r>
          </w:p>
        </w:tc>
        <w:tc>
          <w:tcPr>
            <w:tcW w:w="1122" w:type="dxa"/>
            <w:vAlign w:val="bottom"/>
          </w:tcPr>
          <w:p w:rsidR="00E34748" w:rsidRPr="00E34748" w:rsidRDefault="008218BE" w:rsidP="00E34748">
            <w:pPr>
              <w:cnfStyle w:val="000000000000" w:firstRow="0" w:lastRow="0" w:firstColumn="0" w:lastColumn="0" w:oddVBand="0" w:evenVBand="0" w:oddHBand="0" w:evenHBand="0" w:firstRowFirstColumn="0" w:firstRowLastColumn="0" w:lastRowFirstColumn="0" w:lastRowLastColumn="0"/>
            </w:pPr>
            <w:r>
              <w:t>3492</w:t>
            </w:r>
          </w:p>
        </w:tc>
        <w:tc>
          <w:tcPr>
            <w:tcW w:w="1121" w:type="dxa"/>
            <w:vAlign w:val="bottom"/>
          </w:tcPr>
          <w:p w:rsidR="00E34748" w:rsidRPr="00E34748" w:rsidRDefault="008218BE" w:rsidP="00E34748">
            <w:pPr>
              <w:cnfStyle w:val="000000000000" w:firstRow="0" w:lastRow="0" w:firstColumn="0" w:lastColumn="0" w:oddVBand="0" w:evenVBand="0" w:oddHBand="0" w:evenHBand="0" w:firstRowFirstColumn="0" w:firstRowLastColumn="0" w:lastRowFirstColumn="0" w:lastRowLastColumn="0"/>
            </w:pPr>
            <w:r>
              <w:t>3501</w:t>
            </w:r>
          </w:p>
        </w:tc>
        <w:tc>
          <w:tcPr>
            <w:tcW w:w="1122" w:type="dxa"/>
            <w:vAlign w:val="bottom"/>
          </w:tcPr>
          <w:p w:rsidR="00E34748" w:rsidRPr="00E34748" w:rsidRDefault="008218BE" w:rsidP="00E34748">
            <w:pPr>
              <w:cnfStyle w:val="000000000000" w:firstRow="0" w:lastRow="0" w:firstColumn="0" w:lastColumn="0" w:oddVBand="0" w:evenVBand="0" w:oddHBand="0" w:evenHBand="0" w:firstRowFirstColumn="0" w:firstRowLastColumn="0" w:lastRowFirstColumn="0" w:lastRowLastColumn="0"/>
            </w:pPr>
            <w:r>
              <w:t>3513</w:t>
            </w:r>
          </w:p>
        </w:tc>
        <w:tc>
          <w:tcPr>
            <w:tcW w:w="1122" w:type="dxa"/>
            <w:vAlign w:val="bottom"/>
          </w:tcPr>
          <w:p w:rsidR="00E34748" w:rsidRPr="00E34748" w:rsidRDefault="008218BE" w:rsidP="00E34748">
            <w:pPr>
              <w:cnfStyle w:val="000000000000" w:firstRow="0" w:lastRow="0" w:firstColumn="0" w:lastColumn="0" w:oddVBand="0" w:evenVBand="0" w:oddHBand="0" w:evenHBand="0" w:firstRowFirstColumn="0" w:firstRowLastColumn="0" w:lastRowFirstColumn="0" w:lastRowLastColumn="0"/>
            </w:pPr>
            <w:r>
              <w:t>3527</w:t>
            </w:r>
          </w:p>
        </w:tc>
      </w:tr>
      <w:tr w:rsidR="00E34748" w:rsidTr="00E3474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E34748" w:rsidRPr="00E34748" w:rsidRDefault="00E34748" w:rsidP="00E34748">
            <w:pPr>
              <w:rPr>
                <w:rStyle w:val="AERsuperscript"/>
              </w:rPr>
            </w:pPr>
            <w:r w:rsidRPr="00320ECE">
              <w:t>Annual change</w:t>
            </w:r>
            <w:r w:rsidRPr="00E34748">
              <w:rPr>
                <w:rStyle w:val="AERsuperscript"/>
              </w:rPr>
              <w:t>c</w:t>
            </w:r>
          </w:p>
        </w:tc>
        <w:tc>
          <w:tcPr>
            <w:tcW w:w="850" w:type="dxa"/>
            <w:vAlign w:val="bottom"/>
          </w:tcPr>
          <w:p w:rsidR="00E34748" w:rsidRPr="00E34748" w:rsidRDefault="00E34748" w:rsidP="00E34748">
            <w:pPr>
              <w:cnfStyle w:val="000000010000" w:firstRow="0" w:lastRow="0" w:firstColumn="0" w:lastColumn="0" w:oddVBand="0" w:evenVBand="0" w:oddHBand="0" w:evenHBand="1" w:firstRowFirstColumn="0" w:firstRowLastColumn="0" w:lastRowFirstColumn="0" w:lastRowLastColumn="0"/>
            </w:pPr>
            <w:r w:rsidRPr="00320ECE">
              <w:t> </w:t>
            </w:r>
          </w:p>
        </w:tc>
        <w:tc>
          <w:tcPr>
            <w:tcW w:w="1284" w:type="dxa"/>
            <w:vAlign w:val="bottom"/>
          </w:tcPr>
          <w:p w:rsidR="00E34748" w:rsidRPr="00E34748" w:rsidRDefault="00E34748" w:rsidP="008218BE">
            <w:pPr>
              <w:cnfStyle w:val="000000010000" w:firstRow="0" w:lastRow="0" w:firstColumn="0" w:lastColumn="0" w:oddVBand="0" w:evenVBand="0" w:oddHBand="0" w:evenHBand="1" w:firstRowFirstColumn="0" w:firstRowLastColumn="0" w:lastRowFirstColumn="0" w:lastRowLastColumn="0"/>
            </w:pPr>
            <w:r>
              <w:t>–</w:t>
            </w:r>
            <w:r w:rsidR="008218BE">
              <w:t>49</w:t>
            </w:r>
            <w:r w:rsidRPr="00E34748">
              <w:t xml:space="preserve"> (–</w:t>
            </w:r>
            <w:r w:rsidR="008218BE">
              <w:t>1</w:t>
            </w:r>
            <w:r w:rsidRPr="00E34748">
              <w:t>.</w:t>
            </w:r>
            <w:r w:rsidR="008218BE">
              <w:t>5</w:t>
            </w:r>
            <w:r w:rsidRPr="00E34748">
              <w:t>%)</w:t>
            </w:r>
          </w:p>
        </w:tc>
        <w:tc>
          <w:tcPr>
            <w:tcW w:w="1122" w:type="dxa"/>
            <w:vAlign w:val="bottom"/>
          </w:tcPr>
          <w:p w:rsidR="00E34748" w:rsidRPr="00E34748" w:rsidRDefault="008218BE" w:rsidP="008218BE">
            <w:pPr>
              <w:cnfStyle w:val="000000010000" w:firstRow="0" w:lastRow="0" w:firstColumn="0" w:lastColumn="0" w:oddVBand="0" w:evenVBand="0" w:oddHBand="0" w:evenHBand="1" w:firstRowFirstColumn="0" w:firstRowLastColumn="0" w:lastRowFirstColumn="0" w:lastRowLastColumn="0"/>
            </w:pPr>
            <w:r>
              <w:t>182</w:t>
            </w:r>
            <w:r w:rsidR="00E34748" w:rsidRPr="00E34748">
              <w:t xml:space="preserve"> (</w:t>
            </w:r>
            <w:r>
              <w:t>5</w:t>
            </w:r>
            <w:r w:rsidR="00E34748" w:rsidRPr="00E34748">
              <w:t>.</w:t>
            </w:r>
            <w:r>
              <w:t>5</w:t>
            </w:r>
            <w:r w:rsidR="00E34748" w:rsidRPr="00E34748">
              <w:t>%)</w:t>
            </w:r>
          </w:p>
        </w:tc>
        <w:tc>
          <w:tcPr>
            <w:tcW w:w="1121" w:type="dxa"/>
            <w:vAlign w:val="bottom"/>
          </w:tcPr>
          <w:p w:rsidR="00E34748" w:rsidRPr="00E34748" w:rsidRDefault="008218BE" w:rsidP="008218BE">
            <w:pPr>
              <w:cnfStyle w:val="000000010000" w:firstRow="0" w:lastRow="0" w:firstColumn="0" w:lastColumn="0" w:oddVBand="0" w:evenVBand="0" w:oddHBand="0" w:evenHBand="1" w:firstRowFirstColumn="0" w:firstRowLastColumn="0" w:lastRowFirstColumn="0" w:lastRowLastColumn="0"/>
            </w:pPr>
            <w:r>
              <w:t>9</w:t>
            </w:r>
            <w:r w:rsidR="00E34748" w:rsidRPr="00E34748">
              <w:t xml:space="preserve"> (0.</w:t>
            </w:r>
            <w:r>
              <w:t>3</w:t>
            </w:r>
            <w:r w:rsidR="00E34748" w:rsidRPr="00E34748">
              <w:t>%)</w:t>
            </w:r>
          </w:p>
        </w:tc>
        <w:tc>
          <w:tcPr>
            <w:tcW w:w="1122" w:type="dxa"/>
            <w:vAlign w:val="bottom"/>
          </w:tcPr>
          <w:p w:rsidR="00E34748" w:rsidRPr="00E34748" w:rsidRDefault="008218BE" w:rsidP="008218BE">
            <w:pPr>
              <w:cnfStyle w:val="000000010000" w:firstRow="0" w:lastRow="0" w:firstColumn="0" w:lastColumn="0" w:oddVBand="0" w:evenVBand="0" w:oddHBand="0" w:evenHBand="1" w:firstRowFirstColumn="0" w:firstRowLastColumn="0" w:lastRowFirstColumn="0" w:lastRowLastColumn="0"/>
            </w:pPr>
            <w:r>
              <w:t>12</w:t>
            </w:r>
            <w:r w:rsidR="00E34748" w:rsidRPr="00E34748">
              <w:t xml:space="preserve"> (0.</w:t>
            </w:r>
            <w:r>
              <w:t>4</w:t>
            </w:r>
            <w:r w:rsidR="00E34748" w:rsidRPr="00E34748">
              <w:t>%)</w:t>
            </w:r>
          </w:p>
        </w:tc>
        <w:tc>
          <w:tcPr>
            <w:tcW w:w="1122" w:type="dxa"/>
            <w:vAlign w:val="bottom"/>
          </w:tcPr>
          <w:p w:rsidR="00E34748" w:rsidRPr="00E34748" w:rsidRDefault="008218BE" w:rsidP="008218BE">
            <w:pPr>
              <w:cnfStyle w:val="000000010000" w:firstRow="0" w:lastRow="0" w:firstColumn="0" w:lastColumn="0" w:oddVBand="0" w:evenVBand="0" w:oddHBand="0" w:evenHBand="1" w:firstRowFirstColumn="0" w:firstRowLastColumn="0" w:lastRowFirstColumn="0" w:lastRowLastColumn="0"/>
            </w:pPr>
            <w:r>
              <w:t>14</w:t>
            </w:r>
            <w:r w:rsidR="00E34748" w:rsidRPr="00E34748">
              <w:t xml:space="preserve"> (0.</w:t>
            </w:r>
            <w:r>
              <w:t>4</w:t>
            </w:r>
            <w:r w:rsidR="00E34748" w:rsidRPr="00E34748">
              <w:t>%)</w:t>
            </w:r>
          </w:p>
        </w:tc>
      </w:tr>
    </w:tbl>
    <w:p w:rsidR="00E34748" w:rsidRDefault="00E34748" w:rsidP="00E34748">
      <w:pPr>
        <w:pStyle w:val="AERtablesource"/>
      </w:pPr>
      <w:r>
        <w:t>Source:</w:t>
      </w:r>
      <w:r>
        <w:tab/>
        <w:t>AER analysis; ESC,</w:t>
      </w:r>
      <w:r w:rsidRPr="008E1FC7">
        <w:t xml:space="preserve"> </w:t>
      </w:r>
      <w:r>
        <w:rPr>
          <w:rStyle w:val="AERtextitalic"/>
        </w:rPr>
        <w:t>Victorian Energy Retailers Comparative Performance Report - Pricing 2014–15,</w:t>
      </w:r>
      <w:r w:rsidRPr="008E1FC7">
        <w:t xml:space="preserve"> </w:t>
      </w:r>
      <w:r>
        <w:t xml:space="preserve">January </w:t>
      </w:r>
      <w:r w:rsidRPr="008E1FC7">
        <w:t>201</w:t>
      </w:r>
      <w:r>
        <w:t>6,</w:t>
      </w:r>
      <w:r w:rsidR="00DC7B8F">
        <w:t xml:space="preserve"> </w:t>
      </w:r>
      <w:r>
        <w:t>p.</w:t>
      </w:r>
      <w:r w:rsidR="00DC7B8F">
        <w:t xml:space="preserve"> </w:t>
      </w:r>
      <w:r>
        <w:t>XIII;</w:t>
      </w:r>
      <w:r w:rsidRPr="00853DEC">
        <w:t xml:space="preserve"> </w:t>
      </w:r>
      <w:r>
        <w:t>ESC</w:t>
      </w:r>
      <w:r w:rsidRPr="00EC3269">
        <w:t xml:space="preserve">, </w:t>
      </w:r>
      <w:r>
        <w:rPr>
          <w:rStyle w:val="AERtextitalic"/>
        </w:rPr>
        <w:t>Energy Retailers Comparative Performance Report - Pricing 2013</w:t>
      </w:r>
      <w:r w:rsidR="00DC7B8F">
        <w:rPr>
          <w:rStyle w:val="AERtextitalic"/>
        </w:rPr>
        <w:t>–</w:t>
      </w:r>
      <w:r>
        <w:rPr>
          <w:rStyle w:val="AERtextitalic"/>
        </w:rPr>
        <w:t>14 -Supplementary Report on Electricity Flexible Prices</w:t>
      </w:r>
      <w:r>
        <w:t>, December 2014, p. 3.</w:t>
      </w:r>
    </w:p>
    <w:p w:rsidR="00E34748" w:rsidRDefault="00E34748" w:rsidP="00AF5694">
      <w:pPr>
        <w:pStyle w:val="AERtablesource"/>
      </w:pPr>
      <w:r w:rsidRPr="00320ECE">
        <w:t>(a)</w:t>
      </w:r>
      <w:r w:rsidRPr="00320ECE">
        <w:tab/>
      </w:r>
      <w:r w:rsidRPr="008E1FC7">
        <w:t xml:space="preserve">Based on </w:t>
      </w:r>
      <w:r>
        <w:t>average standing offers at June 2015 on Switch On comparison tool (postcode 3</w:t>
      </w:r>
      <w:r w:rsidR="00016ADF">
        <w:t>000</w:t>
      </w:r>
      <w:r>
        <w:t xml:space="preserve">) using </w:t>
      </w:r>
      <w:r w:rsidRPr="008E1FC7">
        <w:t xml:space="preserve">annual bill for typical consumption of </w:t>
      </w:r>
      <w:r>
        <w:t>4690 k</w:t>
      </w:r>
      <w:r w:rsidRPr="008E1FC7">
        <w:t>Wh per year.</w:t>
      </w:r>
      <w:r w:rsidR="00AF5694">
        <w:t xml:space="preserve"> We have preserved the 2015 starting bill for comparability with our October 2015 preliminary decision.</w:t>
      </w:r>
    </w:p>
    <w:p w:rsidR="00E34748" w:rsidRPr="00320ECE" w:rsidRDefault="00E34748" w:rsidP="00E34748">
      <w:pPr>
        <w:pStyle w:val="AERtablesource"/>
      </w:pPr>
      <w:r w:rsidRPr="00320ECE">
        <w:t>(b)</w:t>
      </w:r>
      <w:r w:rsidRPr="00320ECE">
        <w:tab/>
      </w:r>
      <w:r w:rsidRPr="00B20648">
        <w:t>Based on average standing offers at June 2015 on Switch</w:t>
      </w:r>
      <w:r>
        <w:t xml:space="preserve"> O</w:t>
      </w:r>
      <w:r w:rsidRPr="00B20648">
        <w:t>n comparison tool (postcode 3</w:t>
      </w:r>
      <w:r w:rsidR="00016ADF">
        <w:t>000</w:t>
      </w:r>
      <w:r w:rsidRPr="00B20648">
        <w:t xml:space="preserve">) using annual </w:t>
      </w:r>
      <w:r w:rsidRPr="008E1FC7">
        <w:t>bill for typical</w:t>
      </w:r>
      <w:r>
        <w:t xml:space="preserve"> small business</w:t>
      </w:r>
      <w:r w:rsidRPr="008E1FC7">
        <w:t xml:space="preserve"> consumption of </w:t>
      </w:r>
      <w:r>
        <w:t>12020 k</w:t>
      </w:r>
      <w:r w:rsidRPr="008E1FC7">
        <w:t>Wh per year.</w:t>
      </w:r>
      <w:r w:rsidR="00AF5694" w:rsidRPr="00AF5694">
        <w:t xml:space="preserve"> </w:t>
      </w:r>
      <w:r w:rsidR="00AF5694">
        <w:t>We have preserved the 2015 starting bill for comparability with our October 2015 preliminary decision.</w:t>
      </w:r>
    </w:p>
    <w:p w:rsidR="00E34748" w:rsidRPr="00320ECE" w:rsidRDefault="00E34748" w:rsidP="00E34748">
      <w:pPr>
        <w:pStyle w:val="AERtablesource"/>
      </w:pPr>
      <w:r w:rsidRPr="00320ECE">
        <w:t>(c)</w:t>
      </w:r>
      <w:r w:rsidRPr="00320ECE">
        <w:tab/>
        <w:t xml:space="preserve">Annual change amounts and percentages are indicative. </w:t>
      </w:r>
      <w:r>
        <w:t>They are derived by varying the distribution component of 2015 bill amounts in proportion to yearly expected revenue divided by forecast demand. Actual bill impacts will vary depending on electricity consumption and tariff class.</w:t>
      </w:r>
    </w:p>
    <w:p w:rsidR="00E34748" w:rsidRPr="003E0143" w:rsidRDefault="00E34748" w:rsidP="00E34748"/>
    <w:sectPr w:rsidR="00E34748" w:rsidRPr="003E0143" w:rsidSect="00CF42AA">
      <w:headerReference w:type="default" r:id="rId19"/>
      <w:footerReference w:type="even" r:id="rId20"/>
      <w:footerReference w:type="first" r:id="rId2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2DD" w:rsidRPr="00290C63" w:rsidRDefault="00D142DD" w:rsidP="00290C63">
      <w:r>
        <w:separator/>
      </w:r>
    </w:p>
    <w:p w:rsidR="00D142DD" w:rsidRDefault="00D142DD"/>
  </w:endnote>
  <w:endnote w:type="continuationSeparator" w:id="0">
    <w:p w:rsidR="00D142DD" w:rsidRPr="00290C63" w:rsidRDefault="00D142DD" w:rsidP="00290C63">
      <w:r>
        <w:continuationSeparator/>
      </w:r>
    </w:p>
    <w:p w:rsidR="00D142DD" w:rsidRDefault="00D14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2DD" w:rsidRPr="00290C63" w:rsidRDefault="00D142D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142DD" w:rsidRDefault="00D142DD"/>
  <w:p w:rsidR="00D142DD" w:rsidRDefault="00D142DD"/>
  <w:p w:rsidR="00D142DD" w:rsidRDefault="00D142DD"/>
  <w:p w:rsidR="00D142DD" w:rsidRDefault="00D142DD"/>
  <w:p w:rsidR="00D142DD" w:rsidRDefault="00D142DD"/>
  <w:p w:rsidR="00D142DD" w:rsidRDefault="00D142DD"/>
  <w:p w:rsidR="00D142DD" w:rsidRDefault="00D142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99774"/>
      <w:docPartObj>
        <w:docPartGallery w:val="Page Numbers (Bottom of Page)"/>
        <w:docPartUnique/>
      </w:docPartObj>
    </w:sdtPr>
    <w:sdtEndPr>
      <w:rPr>
        <w:noProof/>
        <w:szCs w:val="16"/>
      </w:rPr>
    </w:sdtEndPr>
    <w:sdtContent>
      <w:p w:rsidR="00D142DD" w:rsidRPr="009B6F84" w:rsidRDefault="00D142DD">
        <w:pPr>
          <w:pStyle w:val="Footer"/>
          <w:rPr>
            <w:sz w:val="20"/>
          </w:rPr>
        </w:pPr>
        <w:r>
          <w:fldChar w:fldCharType="begin"/>
        </w:r>
        <w:r>
          <w:instrText xml:space="preserve"> PAGE   \* MERGEFORMAT </w:instrText>
        </w:r>
        <w:r>
          <w:fldChar w:fldCharType="separate"/>
        </w:r>
        <w:r w:rsidR="004324A5">
          <w:rPr>
            <w:noProof/>
          </w:rPr>
          <w:t>1-17</w:t>
        </w:r>
        <w:r>
          <w:rPr>
            <w:noProof/>
          </w:rPr>
          <w:fldChar w:fldCharType="end"/>
        </w:r>
        <w:r>
          <w:rPr>
            <w:noProof/>
          </w:rPr>
          <w:t xml:space="preserve">  </w:t>
        </w:r>
        <w:r w:rsidRPr="008F78AD">
          <w:t xml:space="preserve">Attachment </w:t>
        </w:r>
        <w:r>
          <w:t>1</w:t>
        </w:r>
        <w:r w:rsidRPr="008F78AD">
          <w:t xml:space="preserve"> – </w:t>
        </w:r>
        <w:r>
          <w:t xml:space="preserve">Annual revenue requirement </w:t>
        </w:r>
        <w:r w:rsidRPr="004523B2">
          <w:t xml:space="preserve">| </w:t>
        </w:r>
        <w:r>
          <w:t>CitiPower distribution determination final decision</w:t>
        </w:r>
        <w:r w:rsidRPr="004523B2">
          <w:t xml:space="preserve"> 201</w:t>
        </w:r>
        <w:r>
          <w:t>6</w:t>
        </w:r>
        <w:r w:rsidRPr="004523B2">
          <w:t>–</w:t>
        </w:r>
        <w:r>
          <w:t>20</w:t>
        </w:r>
      </w:p>
    </w:sdtContent>
  </w:sdt>
  <w:p w:rsidR="00D142DD" w:rsidRDefault="00D142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2DD" w:rsidRPr="00290C63" w:rsidRDefault="00D142D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142DD" w:rsidRDefault="00D142DD">
    <w:pPr>
      <w:pStyle w:val="Footer"/>
    </w:pPr>
  </w:p>
  <w:p w:rsidR="00D142DD" w:rsidRDefault="00D142DD"/>
  <w:p w:rsidR="00D142DD" w:rsidRDefault="00D142DD"/>
  <w:p w:rsidR="00D142DD" w:rsidRDefault="00D142DD"/>
  <w:p w:rsidR="00D142DD" w:rsidRDefault="00D142DD"/>
  <w:p w:rsidR="00D142DD" w:rsidRDefault="00D142DD"/>
  <w:p w:rsidR="00D142DD" w:rsidRDefault="00D142DD"/>
  <w:p w:rsidR="00D142DD" w:rsidRDefault="00D142DD"/>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2DD" w:rsidRPr="00290C63" w:rsidRDefault="00D142DD"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D142DD" w:rsidRDefault="00D142DD"/>
  <w:p w:rsidR="00D142DD" w:rsidRDefault="00D142DD"/>
  <w:p w:rsidR="00D142DD" w:rsidRDefault="00D142DD"/>
  <w:p w:rsidR="00D142DD" w:rsidRDefault="00D142DD"/>
  <w:p w:rsidR="00D142DD" w:rsidRDefault="00D142DD"/>
  <w:p w:rsidR="00D142DD" w:rsidRDefault="00D142DD"/>
  <w:p w:rsidR="00D142DD" w:rsidRDefault="00D142D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2DD" w:rsidRPr="00290C63" w:rsidRDefault="00D142DD"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D142DD" w:rsidRDefault="00D142DD">
    <w:pPr>
      <w:pStyle w:val="Footer"/>
    </w:pPr>
  </w:p>
  <w:p w:rsidR="00D142DD" w:rsidRDefault="00D142DD"/>
  <w:p w:rsidR="00D142DD" w:rsidRDefault="00D142DD"/>
  <w:p w:rsidR="00D142DD" w:rsidRDefault="00D142DD"/>
  <w:p w:rsidR="00D142DD" w:rsidRDefault="00D142DD"/>
  <w:p w:rsidR="00D142DD" w:rsidRDefault="00D142DD"/>
  <w:p w:rsidR="00D142DD" w:rsidRDefault="00D142DD"/>
  <w:p w:rsidR="00D142DD" w:rsidRDefault="00D142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2DD" w:rsidRPr="00290C63" w:rsidRDefault="00D142DD" w:rsidP="00290C63">
      <w:r>
        <w:separator/>
      </w:r>
    </w:p>
    <w:p w:rsidR="00D142DD" w:rsidRDefault="00D142DD"/>
  </w:footnote>
  <w:footnote w:type="continuationSeparator" w:id="0">
    <w:p w:rsidR="00D142DD" w:rsidRPr="00290C63" w:rsidRDefault="00D142DD" w:rsidP="00290C63">
      <w:r>
        <w:continuationSeparator/>
      </w:r>
    </w:p>
    <w:p w:rsidR="00D142DD" w:rsidRDefault="00D142DD"/>
  </w:footnote>
  <w:footnote w:id="1">
    <w:p w:rsidR="00D142DD" w:rsidRDefault="00D142DD">
      <w:pPr>
        <w:pStyle w:val="FootnoteText"/>
      </w:pPr>
      <w:r>
        <w:rPr>
          <w:rStyle w:val="FootnoteReference"/>
        </w:rPr>
        <w:footnoteRef/>
      </w:r>
      <w:r>
        <w:t xml:space="preserve"> </w:t>
      </w:r>
      <w:r>
        <w:tab/>
      </w:r>
      <w:r w:rsidRPr="00432ADB">
        <w:t xml:space="preserve">To accurately reflect the total revenue requirement proposed by </w:t>
      </w:r>
      <w:r>
        <w:t>CitiPower</w:t>
      </w:r>
      <w:r w:rsidRPr="00432ADB">
        <w:t>, the revised proposal total revenue amounts presented in this attachment are calculated using the rate of return from the revised proposal. These amounts are differen</w:t>
      </w:r>
      <w:r>
        <w:t>t from those set out on page 393</w:t>
      </w:r>
      <w:r w:rsidRPr="00432ADB">
        <w:t xml:space="preserve"> of </w:t>
      </w:r>
      <w:r>
        <w:t>CitiPower</w:t>
      </w:r>
      <w:r w:rsidRPr="00432ADB">
        <w:t xml:space="preserve">'s revised proposal which were calculated using the rate of return from our preliminary decision. See </w:t>
      </w:r>
      <w:r>
        <w:t>CitiPower</w:t>
      </w:r>
      <w:r w:rsidRPr="00432ADB">
        <w:t xml:space="preserve">, </w:t>
      </w:r>
      <w:r w:rsidRPr="003E245B">
        <w:rPr>
          <w:rStyle w:val="AERtextitalic"/>
        </w:rPr>
        <w:t>Revised regulatory proposal</w:t>
      </w:r>
      <w:r w:rsidRPr="00432ADB">
        <w:t xml:space="preserve">, 6 January 2016, p. </w:t>
      </w:r>
      <w:r>
        <w:t>393</w:t>
      </w:r>
      <w:r w:rsidRPr="00432ADB">
        <w:t xml:space="preserve"> and </w:t>
      </w:r>
      <w:r>
        <w:t>CP</w:t>
      </w:r>
      <w:r w:rsidRPr="00432ADB">
        <w:t xml:space="preserve"> PUBLIC RRP MOD 1.10 </w:t>
      </w:r>
      <w:r>
        <w:t xml:space="preserve">CP </w:t>
      </w:r>
      <w:r w:rsidRPr="00432ADB">
        <w:t>2016-20 PTRM.xlsm</w:t>
      </w:r>
      <w:r>
        <w:t>;</w:t>
      </w:r>
      <w:r w:rsidRPr="00432ADB">
        <w:t xml:space="preserve"> and </w:t>
      </w:r>
      <w:r>
        <w:t>CitiPower</w:t>
      </w:r>
      <w:r w:rsidRPr="00432ADB">
        <w:t xml:space="preserve">, </w:t>
      </w:r>
      <w:r w:rsidRPr="003E245B">
        <w:rPr>
          <w:rStyle w:val="AERtextitalic"/>
        </w:rPr>
        <w:t>Letter re: Impact of rate of return on allowed revenues</w:t>
      </w:r>
      <w:r w:rsidRPr="00432ADB">
        <w:t>, 20 January 2016.</w:t>
      </w:r>
    </w:p>
  </w:footnote>
  <w:footnote w:id="2">
    <w:p w:rsidR="00D142DD" w:rsidRDefault="00D142DD" w:rsidP="00C76C05">
      <w:pPr>
        <w:pStyle w:val="FootnoteText"/>
      </w:pPr>
      <w:r>
        <w:rPr>
          <w:rStyle w:val="FootnoteReference"/>
        </w:rPr>
        <w:footnoteRef/>
      </w:r>
      <w:r>
        <w:t xml:space="preserve"> </w:t>
      </w:r>
      <w:r>
        <w:tab/>
        <w:t>AER,</w:t>
      </w:r>
      <w:r w:rsidRPr="00175156">
        <w:t xml:space="preserve"> </w:t>
      </w:r>
      <w:r w:rsidRPr="00175156">
        <w:rPr>
          <w:rStyle w:val="AERtextitalic"/>
        </w:rPr>
        <w:t xml:space="preserve">Preliminary decision </w:t>
      </w:r>
      <w:r>
        <w:rPr>
          <w:rStyle w:val="AERtextitalic"/>
        </w:rPr>
        <w:t>CitiPower</w:t>
      </w:r>
      <w:r w:rsidRPr="00175156">
        <w:rPr>
          <w:rStyle w:val="AERtextitalic"/>
        </w:rPr>
        <w:t xml:space="preserve"> distribution determination - Attachment 1 - Annual revenue requirement</w:t>
      </w:r>
      <w:r>
        <w:t>,</w:t>
      </w:r>
      <w:r w:rsidRPr="00175156">
        <w:t xml:space="preserve"> October 2015</w:t>
      </w:r>
      <w:r>
        <w:t>, p. 7.</w:t>
      </w:r>
    </w:p>
  </w:footnote>
  <w:footnote w:id="3">
    <w:p w:rsidR="00D142DD" w:rsidRDefault="00D142DD" w:rsidP="00C76C05">
      <w:pPr>
        <w:pStyle w:val="FootnoteText"/>
      </w:pPr>
      <w:r>
        <w:rPr>
          <w:rStyle w:val="FootnoteReference"/>
        </w:rPr>
        <w:footnoteRef/>
      </w:r>
      <w:r>
        <w:t xml:space="preserve"> </w:t>
      </w:r>
      <w:r>
        <w:tab/>
        <w:t>AER,</w:t>
      </w:r>
      <w:r w:rsidRPr="00175156">
        <w:t xml:space="preserve"> </w:t>
      </w:r>
      <w:r w:rsidRPr="00175156">
        <w:rPr>
          <w:rStyle w:val="AERtextitalic"/>
        </w:rPr>
        <w:t xml:space="preserve">Preliminary decision </w:t>
      </w:r>
      <w:r>
        <w:rPr>
          <w:rStyle w:val="AERtextitalic"/>
        </w:rPr>
        <w:t>CitiPower</w:t>
      </w:r>
      <w:r w:rsidRPr="00175156">
        <w:rPr>
          <w:rStyle w:val="AERtextitalic"/>
        </w:rPr>
        <w:t xml:space="preserve"> distribution determination - Attachment 1 - Annual revenue requirement</w:t>
      </w:r>
      <w:r>
        <w:t>,</w:t>
      </w:r>
      <w:r w:rsidRPr="00175156">
        <w:t xml:space="preserve"> October 2015</w:t>
      </w:r>
      <w:r>
        <w:t>, pp. 8–10.</w:t>
      </w:r>
    </w:p>
  </w:footnote>
  <w:footnote w:id="4">
    <w:p w:rsidR="00D142DD" w:rsidRDefault="00D142DD" w:rsidP="00E34748">
      <w:pPr>
        <w:pStyle w:val="FootnoteText"/>
      </w:pPr>
      <w:r>
        <w:rPr>
          <w:rStyle w:val="FootnoteReference"/>
        </w:rPr>
        <w:footnoteRef/>
      </w:r>
      <w:r>
        <w:t xml:space="preserve"> </w:t>
      </w:r>
      <w:r>
        <w:tab/>
        <w:t>NER, cl. 11.60.3.</w:t>
      </w:r>
    </w:p>
  </w:footnote>
  <w:footnote w:id="5">
    <w:p w:rsidR="00D142DD" w:rsidRDefault="00D142DD" w:rsidP="00E34748">
      <w:pPr>
        <w:pStyle w:val="FootnoteText"/>
      </w:pPr>
      <w:r>
        <w:rPr>
          <w:rStyle w:val="FootnoteReference"/>
        </w:rPr>
        <w:footnoteRef/>
      </w:r>
      <w:r>
        <w:t xml:space="preserve"> </w:t>
      </w:r>
      <w:r>
        <w:tab/>
      </w:r>
      <w:r w:rsidRPr="00D033BE">
        <w:t xml:space="preserve">AER, </w:t>
      </w:r>
      <w:r w:rsidRPr="00B10347">
        <w:rPr>
          <w:rStyle w:val="AERtextitalic"/>
        </w:rPr>
        <w:t xml:space="preserve">Preliminary decision, </w:t>
      </w:r>
      <w:r>
        <w:rPr>
          <w:rStyle w:val="AERtextitalic"/>
        </w:rPr>
        <w:t xml:space="preserve">CitiPower distribution </w:t>
      </w:r>
      <w:r w:rsidRPr="00B10347">
        <w:rPr>
          <w:rStyle w:val="AERtextitalic"/>
        </w:rPr>
        <w:t xml:space="preserve">determination 2016 to 2020: Attachment </w:t>
      </w:r>
      <w:r>
        <w:rPr>
          <w:rStyle w:val="AERtextitalic"/>
        </w:rPr>
        <w:t>1</w:t>
      </w:r>
      <w:r w:rsidRPr="00B10347">
        <w:rPr>
          <w:rStyle w:val="AERtextitalic"/>
        </w:rPr>
        <w:t xml:space="preserve"> – </w:t>
      </w:r>
      <w:r>
        <w:rPr>
          <w:rStyle w:val="AERtextitalic"/>
        </w:rPr>
        <w:t>Annual Revenue requirement</w:t>
      </w:r>
      <w:r w:rsidRPr="00D033BE">
        <w:t xml:space="preserve">, </w:t>
      </w:r>
      <w:r>
        <w:t>October 2015, p. 7</w:t>
      </w:r>
      <w:r w:rsidRPr="00D033BE">
        <w:t>.</w:t>
      </w:r>
    </w:p>
  </w:footnote>
  <w:footnote w:id="6">
    <w:p w:rsidR="00D142DD" w:rsidRDefault="00D142DD" w:rsidP="00E34748">
      <w:pPr>
        <w:pStyle w:val="FootnoteText"/>
      </w:pPr>
      <w:r>
        <w:rPr>
          <w:rStyle w:val="FootnoteReference"/>
        </w:rPr>
        <w:footnoteRef/>
      </w:r>
      <w:r>
        <w:t xml:space="preserve"> </w:t>
      </w:r>
      <w:r>
        <w:tab/>
        <w:t>NER, cll. 11.60.4(d)(1) and (e).</w:t>
      </w:r>
    </w:p>
  </w:footnote>
  <w:footnote w:id="7">
    <w:p w:rsidR="00D142DD" w:rsidRDefault="00D142DD" w:rsidP="00E34748">
      <w:pPr>
        <w:pStyle w:val="FootnoteText"/>
      </w:pPr>
      <w:r>
        <w:rPr>
          <w:rStyle w:val="FootnoteReference"/>
        </w:rPr>
        <w:footnoteRef/>
      </w:r>
      <w:r>
        <w:t xml:space="preserve"> </w:t>
      </w:r>
      <w:r>
        <w:tab/>
        <w:t xml:space="preserve">The X factors represent the </w:t>
      </w:r>
      <w:r w:rsidRPr="00771F80">
        <w:t>rate of change in the</w:t>
      </w:r>
      <w:r>
        <w:t xml:space="preserve"> real revenue path over the 2016–20 regulatory control period under the CPI–X framework. They must </w:t>
      </w:r>
      <w:r w:rsidRPr="00F50D2E">
        <w:t>equalise (in net present value</w:t>
      </w:r>
      <w:r w:rsidRPr="007F412B">
        <w:t xml:space="preserve"> </w:t>
      </w:r>
      <w:r>
        <w:t>terms</w:t>
      </w:r>
      <w:r w:rsidRPr="00F50D2E">
        <w:t xml:space="preserve">) the </w:t>
      </w:r>
      <w:r>
        <w:t xml:space="preserve">total expected </w:t>
      </w:r>
      <w:r w:rsidRPr="00F50D2E">
        <w:t>revenue</w:t>
      </w:r>
      <w:r>
        <w:t>s</w:t>
      </w:r>
      <w:r w:rsidRPr="00F50D2E">
        <w:t xml:space="preserve"> to be earned by the </w:t>
      </w:r>
      <w:r>
        <w:t>s</w:t>
      </w:r>
      <w:r w:rsidRPr="00F50D2E">
        <w:t xml:space="preserve">ervice </w:t>
      </w:r>
      <w:r>
        <w:t>p</w:t>
      </w:r>
      <w:r w:rsidRPr="00F50D2E">
        <w:t xml:space="preserve">rovider with the total </w:t>
      </w:r>
      <w:r>
        <w:t>revenue requirement</w:t>
      </w:r>
      <w:r w:rsidRPr="00F50D2E">
        <w:t xml:space="preserve"> </w:t>
      </w:r>
      <w:r>
        <w:t xml:space="preserve">for that </w:t>
      </w:r>
      <w:r w:rsidRPr="00F50D2E">
        <w:t>period</w:t>
      </w:r>
      <w:r>
        <w:t>.</w:t>
      </w:r>
    </w:p>
  </w:footnote>
  <w:footnote w:id="8">
    <w:p w:rsidR="00D142DD" w:rsidRDefault="00D142DD">
      <w:pPr>
        <w:pStyle w:val="FootnoteText"/>
      </w:pPr>
      <w:r>
        <w:rPr>
          <w:rStyle w:val="FootnoteReference"/>
        </w:rPr>
        <w:footnoteRef/>
      </w:r>
      <w:r>
        <w:t xml:space="preserve"> </w:t>
      </w:r>
      <w:r>
        <w:tab/>
      </w:r>
      <w:r w:rsidRPr="005C652D">
        <w:t xml:space="preserve">CitiPower, </w:t>
      </w:r>
      <w:r w:rsidRPr="005C652D">
        <w:rPr>
          <w:rStyle w:val="AERtextitalic"/>
        </w:rPr>
        <w:t>Revised regulatory proposal</w:t>
      </w:r>
      <w:r w:rsidRPr="005C652D">
        <w:t>, January 2016, p. 393</w:t>
      </w:r>
      <w:r>
        <w:t>.</w:t>
      </w:r>
    </w:p>
  </w:footnote>
  <w:footnote w:id="9">
    <w:p w:rsidR="00D142DD" w:rsidRDefault="00D142DD" w:rsidP="00E34748">
      <w:pPr>
        <w:pStyle w:val="FootnoteText"/>
      </w:pPr>
      <w:r>
        <w:rPr>
          <w:rStyle w:val="FootnoteReference"/>
        </w:rPr>
        <w:footnoteRef/>
      </w:r>
      <w:r>
        <w:t xml:space="preserve"> </w:t>
      </w:r>
      <w:r>
        <w:tab/>
        <w:t>In the preliminary decision, the divergence in the smoothed and unsmoothed revenues was 4.7 per cent at the end of the regulatory control period. We allowed this difference to diverge more than would be usual by allowing for a more gradual path for lower revenues over the 2016–20 regulatory control period.</w:t>
      </w:r>
    </w:p>
  </w:footnote>
  <w:footnote w:id="10">
    <w:p w:rsidR="00D142DD" w:rsidRDefault="00D142DD">
      <w:pPr>
        <w:pStyle w:val="FootnoteText"/>
      </w:pPr>
      <w:r>
        <w:rPr>
          <w:rStyle w:val="FootnoteReference"/>
        </w:rPr>
        <w:footnoteRef/>
      </w:r>
      <w:r>
        <w:t xml:space="preserve"> </w:t>
      </w:r>
      <w:r>
        <w:tab/>
      </w:r>
      <w:r w:rsidRPr="00145A8F">
        <w:t>NER, cl. 6.4.4.</w:t>
      </w:r>
    </w:p>
  </w:footnote>
  <w:footnote w:id="11">
    <w:p w:rsidR="00D142DD" w:rsidRDefault="00D142DD" w:rsidP="005C652D">
      <w:pPr>
        <w:pStyle w:val="FootnoteText"/>
      </w:pPr>
      <w:r>
        <w:rPr>
          <w:rStyle w:val="FootnoteReference"/>
        </w:rPr>
        <w:footnoteRef/>
      </w:r>
      <w:r>
        <w:t xml:space="preserve"> </w:t>
      </w:r>
      <w:r>
        <w:tab/>
        <w:t xml:space="preserve">AER, </w:t>
      </w:r>
      <w:r w:rsidRPr="006B7504">
        <w:rPr>
          <w:rStyle w:val="AERtextitalic"/>
        </w:rPr>
        <w:t>Shared asset guideline</w:t>
      </w:r>
      <w:r>
        <w:t>, November 2013.</w:t>
      </w:r>
    </w:p>
  </w:footnote>
  <w:footnote w:id="12">
    <w:p w:rsidR="00D142DD" w:rsidRDefault="00D142DD" w:rsidP="005C652D">
      <w:pPr>
        <w:pStyle w:val="FootnoteText"/>
      </w:pPr>
      <w:r>
        <w:rPr>
          <w:rStyle w:val="FootnoteReference"/>
        </w:rPr>
        <w:footnoteRef/>
      </w:r>
      <w:r>
        <w:t xml:space="preserve"> </w:t>
      </w:r>
      <w:r>
        <w:tab/>
        <w:t xml:space="preserve">AER, </w:t>
      </w:r>
      <w:r w:rsidRPr="00D03746">
        <w:rPr>
          <w:rStyle w:val="AERtextitalic"/>
        </w:rPr>
        <w:t>Shared asset guideline</w:t>
      </w:r>
      <w:r>
        <w:t>, November 2013, p. 8.</w:t>
      </w:r>
    </w:p>
  </w:footnote>
  <w:footnote w:id="13">
    <w:p w:rsidR="00D142DD" w:rsidRDefault="00D142DD" w:rsidP="005C652D">
      <w:pPr>
        <w:pStyle w:val="FootnoteText"/>
      </w:pPr>
      <w:r>
        <w:rPr>
          <w:rStyle w:val="FootnoteReference"/>
        </w:rPr>
        <w:footnoteRef/>
      </w:r>
      <w:r>
        <w:t xml:space="preserve"> </w:t>
      </w:r>
      <w:r>
        <w:tab/>
        <w:t>AER,</w:t>
      </w:r>
      <w:r w:rsidRPr="00175156">
        <w:t xml:space="preserve"> </w:t>
      </w:r>
      <w:r w:rsidRPr="00175156">
        <w:rPr>
          <w:rStyle w:val="AERtextitalic"/>
        </w:rPr>
        <w:t xml:space="preserve">Preliminary decision </w:t>
      </w:r>
      <w:r>
        <w:rPr>
          <w:rStyle w:val="AERtextitalic"/>
        </w:rPr>
        <w:t>CitiPower</w:t>
      </w:r>
      <w:r w:rsidRPr="00175156">
        <w:rPr>
          <w:rStyle w:val="AERtextitalic"/>
        </w:rPr>
        <w:t xml:space="preserve"> distribution determination - Attachment 1 - Annual revenue requirement</w:t>
      </w:r>
      <w:r>
        <w:t>,</w:t>
      </w:r>
      <w:r w:rsidRPr="00175156">
        <w:t xml:space="preserve"> October 2015</w:t>
      </w:r>
      <w:r>
        <w:t>, pp. 12–13.</w:t>
      </w:r>
    </w:p>
  </w:footnote>
  <w:footnote w:id="14">
    <w:p w:rsidR="00D142DD" w:rsidRDefault="00D142DD" w:rsidP="004B054F">
      <w:pPr>
        <w:pStyle w:val="FootnoteText"/>
      </w:pPr>
      <w:r>
        <w:rPr>
          <w:rStyle w:val="FootnoteReference"/>
        </w:rPr>
        <w:footnoteRef/>
      </w:r>
      <w:r>
        <w:t xml:space="preserve"> </w:t>
      </w:r>
      <w:r>
        <w:tab/>
      </w:r>
      <w:r w:rsidRPr="00234F08">
        <w:t>This amount in</w:t>
      </w:r>
      <w:r w:rsidRPr="007A26BC">
        <w:t>cludes a forecast inflation rate of 2.</w:t>
      </w:r>
      <w:r>
        <w:t>32</w:t>
      </w:r>
      <w:r w:rsidRPr="001137C7">
        <w:t xml:space="preserve"> per cent per annum. In real terms we estimate average distribution </w:t>
      </w:r>
      <w:r w:rsidRPr="004B054F">
        <w:t xml:space="preserve">charges to </w:t>
      </w:r>
      <w:r w:rsidRPr="004B054F">
        <w:rPr>
          <w:rStyle w:val="AERtexthighlight"/>
          <w:shd w:val="clear" w:color="auto" w:fill="auto"/>
        </w:rPr>
        <w:t>decrease by 2.5 per cent per annum</w:t>
      </w:r>
      <w:r w:rsidRPr="004B054F">
        <w:t>, compared to an increase</w:t>
      </w:r>
      <w:r w:rsidRPr="001137C7">
        <w:t xml:space="preserve"> of</w:t>
      </w:r>
      <w:r>
        <w:t xml:space="preserve"> 2.2</w:t>
      </w:r>
      <w:r w:rsidRPr="001137C7">
        <w:rPr>
          <w:rStyle w:val="AERbody"/>
          <w:sz w:val="16"/>
        </w:rPr>
        <w:t> per cent</w:t>
      </w:r>
      <w:r w:rsidRPr="001137C7">
        <w:t xml:space="preserve"> proposed by </w:t>
      </w:r>
      <w:r w:rsidRPr="0025483F">
        <w:t>CitiPower</w:t>
      </w:r>
      <w:r w:rsidRPr="001137C7">
        <w:t>.</w:t>
      </w:r>
    </w:p>
  </w:footnote>
  <w:footnote w:id="15">
    <w:p w:rsidR="00D142DD" w:rsidRDefault="00D142DD" w:rsidP="00E34748">
      <w:pPr>
        <w:pStyle w:val="FootnoteText"/>
      </w:pPr>
      <w:r>
        <w:rPr>
          <w:rStyle w:val="FootnoteReference"/>
        </w:rPr>
        <w:footnoteRef/>
      </w:r>
      <w:r>
        <w:t xml:space="preserve"> </w:t>
      </w:r>
      <w:r>
        <w:tab/>
        <w:t xml:space="preserve">CitiPower, </w:t>
      </w:r>
      <w:r w:rsidRPr="00DC7B8F">
        <w:rPr>
          <w:rStyle w:val="AERtextitalic"/>
        </w:rPr>
        <w:t>Reset RIN, table 7.6.1</w:t>
      </w:r>
      <w:r>
        <w:t>, April 2015. CitiPower analysis based on '</w:t>
      </w:r>
      <w:r w:rsidRPr="00DC7B8F">
        <w:t xml:space="preserve">Oakley Greenwood, </w:t>
      </w:r>
      <w:r w:rsidRPr="00DC7B8F">
        <w:rPr>
          <w:rStyle w:val="AERtextitalic"/>
        </w:rPr>
        <w:t>CitiPower Pricing Comparisons, 1995 to 2014</w:t>
      </w:r>
      <w:r>
        <w:rPr>
          <w:rStyle w:val="AERtextitalic"/>
        </w:rPr>
        <w:t>'</w:t>
      </w:r>
      <w:r w:rsidRPr="00DC7B8F">
        <w:t>.</w:t>
      </w:r>
    </w:p>
  </w:footnote>
  <w:footnote w:id="16">
    <w:p w:rsidR="00D142DD" w:rsidRDefault="00D142DD" w:rsidP="00E34748">
      <w:pPr>
        <w:pStyle w:val="FootnoteText"/>
      </w:pPr>
      <w:r>
        <w:rPr>
          <w:rStyle w:val="FootnoteReference"/>
        </w:rPr>
        <w:footnoteRef/>
      </w:r>
      <w:r>
        <w:t xml:space="preserve"> </w:t>
      </w:r>
      <w:r>
        <w:tab/>
        <w:t>Based on ESC</w:t>
      </w:r>
      <w:r w:rsidRPr="00EC3269">
        <w:t xml:space="preserve">, </w:t>
      </w:r>
      <w:r>
        <w:rPr>
          <w:rStyle w:val="AERtextitalic"/>
        </w:rPr>
        <w:t>Energy Retailers Comparative Performance Report - Pricing 2013–14 -Supplementary Report on Electricity Flexible Prices</w:t>
      </w:r>
      <w:r>
        <w:t>, October 2014, p. 3.</w:t>
      </w:r>
    </w:p>
  </w:footnote>
  <w:footnote w:id="17">
    <w:p w:rsidR="00D142DD" w:rsidRDefault="00D142DD">
      <w:pPr>
        <w:pStyle w:val="FootnoteText"/>
      </w:pPr>
      <w:r>
        <w:rPr>
          <w:rStyle w:val="FootnoteReference"/>
        </w:rPr>
        <w:footnoteRef/>
      </w:r>
      <w:r>
        <w:t xml:space="preserve"> </w:t>
      </w:r>
      <w:r>
        <w:tab/>
      </w:r>
      <w:r w:rsidRPr="00175156">
        <w:t xml:space="preserve">Based on ESC, </w:t>
      </w:r>
      <w:r w:rsidRPr="00175156">
        <w:rPr>
          <w:rStyle w:val="AERtextitalic"/>
        </w:rPr>
        <w:t>Energy Retailers Comparative Performance Report - Pricing 20</w:t>
      </w:r>
      <w:r>
        <w:rPr>
          <w:rStyle w:val="AERtextitalic"/>
        </w:rPr>
        <w:t>14–</w:t>
      </w:r>
      <w:r w:rsidRPr="00175156">
        <w:rPr>
          <w:rStyle w:val="AERtextitalic"/>
        </w:rPr>
        <w:t>1</w:t>
      </w:r>
      <w:r>
        <w:rPr>
          <w:rStyle w:val="AERtextitalic"/>
        </w:rPr>
        <w:t>5</w:t>
      </w:r>
      <w:r w:rsidRPr="00175156">
        <w:t xml:space="preserve">, </w:t>
      </w:r>
      <w:r>
        <w:t>January</w:t>
      </w:r>
      <w:r w:rsidRPr="00175156">
        <w:t xml:space="preserve"> 201</w:t>
      </w:r>
      <w:r>
        <w:t>6</w:t>
      </w:r>
      <w:r w:rsidRPr="00175156">
        <w:t xml:space="preserve">, p. </w:t>
      </w:r>
      <w:r>
        <w:t>XIII</w:t>
      </w:r>
      <w:r w:rsidRPr="00175156">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2DD" w:rsidRDefault="00D142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31C7FA6"/>
    <w:multiLevelType w:val="hybridMultilevel"/>
    <w:tmpl w:val="1A7E9E04"/>
    <w:lvl w:ilvl="0" w:tplc="A356B254">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1">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3">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14">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AF336BC"/>
    <w:multiLevelType w:val="hybridMultilevel"/>
    <w:tmpl w:val="955A02CC"/>
    <w:lvl w:ilvl="0" w:tplc="C90C7928">
      <w:start w:val="1"/>
      <w:numFmt w:val="bullet"/>
      <w:lvlText w:val=""/>
      <w:lvlJc w:val="left"/>
      <w:pPr>
        <w:ind w:left="786"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4">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6">
    <w:nsid w:val="5ECE4384"/>
    <w:multiLevelType w:val="multilevel"/>
    <w:tmpl w:val="24F04DF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28">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30">
    <w:nsid w:val="7AEA3AE1"/>
    <w:multiLevelType w:val="hybridMultilevel"/>
    <w:tmpl w:val="52969776"/>
    <w:lvl w:ilvl="0" w:tplc="1B665800">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1"/>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7"/>
  </w:num>
  <w:num w:numId="13">
    <w:abstractNumId w:val="19"/>
  </w:num>
  <w:num w:numId="14">
    <w:abstractNumId w:val="11"/>
  </w:num>
  <w:num w:numId="15">
    <w:abstractNumId w:val="14"/>
  </w:num>
  <w:num w:numId="16">
    <w:abstractNumId w:val="21"/>
  </w:num>
  <w:num w:numId="17">
    <w:abstractNumId w:val="10"/>
  </w:num>
  <w:num w:numId="18">
    <w:abstractNumId w:val="16"/>
  </w:num>
  <w:num w:numId="19">
    <w:abstractNumId w:val="22"/>
  </w:num>
  <w:num w:numId="20">
    <w:abstractNumId w:val="28"/>
  </w:num>
  <w:num w:numId="21">
    <w:abstractNumId w:val="25"/>
  </w:num>
  <w:num w:numId="22">
    <w:abstractNumId w:val="23"/>
  </w:num>
  <w:num w:numId="23">
    <w:abstractNumId w:val="17"/>
  </w:num>
  <w:num w:numId="24">
    <w:abstractNumId w:val="24"/>
  </w:num>
  <w:num w:numId="25">
    <w:abstractNumId w:val="26"/>
  </w:num>
  <w:num w:numId="26">
    <w:abstractNumId w:val="18"/>
  </w:num>
  <w:num w:numId="27">
    <w:abstractNumId w:val="15"/>
  </w:num>
  <w:num w:numId="28">
    <w:abstractNumId w:val="30"/>
  </w:num>
  <w:num w:numId="29">
    <w:abstractNumId w:val="20"/>
  </w:num>
  <w:num w:numId="30">
    <w:abstractNumId w:val="9"/>
  </w:num>
  <w:num w:numId="31">
    <w:abstractNumId w:val="29"/>
    <w:lvlOverride w:ilvl="0">
      <w:lvl w:ilvl="0">
        <w:start w:val="1"/>
        <w:numFmt w:val="none"/>
        <w:lvlText w:val="%1"/>
        <w:lvlJc w:val="left"/>
        <w:pPr>
          <w:tabs>
            <w:tab w:val="num" w:pos="0"/>
          </w:tabs>
          <w:ind w:left="0" w:firstLine="0"/>
        </w:pPr>
        <w:rPr>
          <w:rFonts w:hint="default"/>
        </w:rPr>
      </w:lvl>
    </w:lvlOverride>
    <w:lvlOverride w:ilvl="1">
      <w:lvl w:ilvl="1">
        <w:start w:val="1"/>
        <w:numFmt w:val="decimal"/>
        <w:lvlText w:val="%1%2"/>
        <w:lvlJc w:val="left"/>
        <w:pPr>
          <w:tabs>
            <w:tab w:val="num" w:pos="0"/>
          </w:tabs>
          <w:ind w:left="0" w:hanging="851"/>
        </w:pPr>
        <w:rPr>
          <w:rFonts w:hint="default"/>
        </w:rPr>
      </w:lvl>
    </w:lvlOverride>
    <w:lvlOverride w:ilvl="2">
      <w:lvl w:ilvl="2">
        <w:start w:val="1"/>
        <w:numFmt w:val="decimal"/>
        <w:lvlText w:val="%1%2.%3"/>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2.%3.%4"/>
        <w:lvlJc w:val="left"/>
        <w:pPr>
          <w:tabs>
            <w:tab w:val="num" w:pos="0"/>
          </w:tabs>
          <w:ind w:left="0" w:hanging="851"/>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2">
    <w:abstractNumId w:val="17"/>
    <w:lvlOverride w:ilvl="3">
      <w:lvl w:ilvl="3">
        <w:start w:val="1"/>
        <w:numFmt w:val="decimal"/>
        <w:lvlText w:val="%2.%3.%4"/>
        <w:lvlJc w:val="left"/>
        <w:pPr>
          <w:tabs>
            <w:tab w:val="num" w:pos="0"/>
          </w:tabs>
          <w:ind w:left="0" w:hanging="851"/>
        </w:pPr>
        <w:rPr>
          <w:rFonts w:hint="default"/>
        </w:rPr>
      </w:lvl>
    </w:lvlOverride>
  </w:num>
  <w:num w:numId="33">
    <w:abstractNumId w:val="13"/>
  </w:num>
  <w:num w:numId="3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6"/>
  </w:num>
  <w:num w:numId="39">
    <w:abstractNumId w:val="26"/>
  </w:num>
  <w:num w:numId="4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hy8OXeoLIm5RJW4IyftSYrLMQO3gqb9btQP3TDCx5DY=" w:saltValue="WP2lJbL2ycY3waFbky91EA==" w:algorithmName="SHA-256"/>
  <w:defaultTabStop w:val="340"/>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2804\AER15 4381  AER - Final decision AusNet distribution determination - Attachment 1 - Annual revenue requirement - April 2016.DOCX"/>
  </w:docVars>
  <w:rsids>
    <w:rsidRoot w:val="00961A4A"/>
    <w:rsid w:val="000051DC"/>
    <w:rsid w:val="0000658F"/>
    <w:rsid w:val="0001507B"/>
    <w:rsid w:val="00016ADF"/>
    <w:rsid w:val="00020016"/>
    <w:rsid w:val="00021202"/>
    <w:rsid w:val="00021C2B"/>
    <w:rsid w:val="0002498B"/>
    <w:rsid w:val="0002517F"/>
    <w:rsid w:val="00026187"/>
    <w:rsid w:val="000266FC"/>
    <w:rsid w:val="000273B3"/>
    <w:rsid w:val="00027E2D"/>
    <w:rsid w:val="0003578C"/>
    <w:rsid w:val="000425D0"/>
    <w:rsid w:val="00044DA3"/>
    <w:rsid w:val="000474DF"/>
    <w:rsid w:val="00055A67"/>
    <w:rsid w:val="00060145"/>
    <w:rsid w:val="00063247"/>
    <w:rsid w:val="0006624E"/>
    <w:rsid w:val="00070F9F"/>
    <w:rsid w:val="0007137B"/>
    <w:rsid w:val="00073B74"/>
    <w:rsid w:val="00076416"/>
    <w:rsid w:val="00077383"/>
    <w:rsid w:val="000805A8"/>
    <w:rsid w:val="0008190B"/>
    <w:rsid w:val="000836D9"/>
    <w:rsid w:val="00085663"/>
    <w:rsid w:val="00085EBF"/>
    <w:rsid w:val="00091B15"/>
    <w:rsid w:val="00095186"/>
    <w:rsid w:val="000A0E71"/>
    <w:rsid w:val="000A1C0C"/>
    <w:rsid w:val="000A3020"/>
    <w:rsid w:val="000A4840"/>
    <w:rsid w:val="000A62C1"/>
    <w:rsid w:val="000A6A79"/>
    <w:rsid w:val="000A6C7B"/>
    <w:rsid w:val="000B0A7B"/>
    <w:rsid w:val="000B1173"/>
    <w:rsid w:val="000B5827"/>
    <w:rsid w:val="000B7037"/>
    <w:rsid w:val="000C02D1"/>
    <w:rsid w:val="000C0C63"/>
    <w:rsid w:val="000C2B40"/>
    <w:rsid w:val="000C5255"/>
    <w:rsid w:val="000D07A7"/>
    <w:rsid w:val="000D122C"/>
    <w:rsid w:val="000D75B0"/>
    <w:rsid w:val="000E1819"/>
    <w:rsid w:val="000E4821"/>
    <w:rsid w:val="000E4AA9"/>
    <w:rsid w:val="000E6C72"/>
    <w:rsid w:val="000E7F39"/>
    <w:rsid w:val="000F0F0A"/>
    <w:rsid w:val="000F65B0"/>
    <w:rsid w:val="00100EA2"/>
    <w:rsid w:val="00101AA1"/>
    <w:rsid w:val="00102338"/>
    <w:rsid w:val="00104566"/>
    <w:rsid w:val="00104FF6"/>
    <w:rsid w:val="001114AA"/>
    <w:rsid w:val="00115743"/>
    <w:rsid w:val="00116EB2"/>
    <w:rsid w:val="0012132C"/>
    <w:rsid w:val="00124609"/>
    <w:rsid w:val="00126A4C"/>
    <w:rsid w:val="001270E3"/>
    <w:rsid w:val="00132D43"/>
    <w:rsid w:val="00133366"/>
    <w:rsid w:val="00133F47"/>
    <w:rsid w:val="00134029"/>
    <w:rsid w:val="00142C2D"/>
    <w:rsid w:val="00144C96"/>
    <w:rsid w:val="0014573B"/>
    <w:rsid w:val="00145A8F"/>
    <w:rsid w:val="001463A3"/>
    <w:rsid w:val="0015073A"/>
    <w:rsid w:val="001573E4"/>
    <w:rsid w:val="00160756"/>
    <w:rsid w:val="00161DC8"/>
    <w:rsid w:val="00166760"/>
    <w:rsid w:val="00171567"/>
    <w:rsid w:val="00172090"/>
    <w:rsid w:val="0017232E"/>
    <w:rsid w:val="00174102"/>
    <w:rsid w:val="001754EE"/>
    <w:rsid w:val="00180157"/>
    <w:rsid w:val="001809BC"/>
    <w:rsid w:val="00180E97"/>
    <w:rsid w:val="001820B4"/>
    <w:rsid w:val="00184351"/>
    <w:rsid w:val="00184AC8"/>
    <w:rsid w:val="00185BA5"/>
    <w:rsid w:val="00185CB9"/>
    <w:rsid w:val="00185DBE"/>
    <w:rsid w:val="00186ADC"/>
    <w:rsid w:val="00186F77"/>
    <w:rsid w:val="001877A4"/>
    <w:rsid w:val="001926A4"/>
    <w:rsid w:val="00192AD5"/>
    <w:rsid w:val="00194597"/>
    <w:rsid w:val="00194E00"/>
    <w:rsid w:val="0019745E"/>
    <w:rsid w:val="00197B16"/>
    <w:rsid w:val="001A530D"/>
    <w:rsid w:val="001A5FB3"/>
    <w:rsid w:val="001A7155"/>
    <w:rsid w:val="001B45A0"/>
    <w:rsid w:val="001B680E"/>
    <w:rsid w:val="001C08CC"/>
    <w:rsid w:val="001D055E"/>
    <w:rsid w:val="001E1B3F"/>
    <w:rsid w:val="001E7161"/>
    <w:rsid w:val="001F05A4"/>
    <w:rsid w:val="001F2F05"/>
    <w:rsid w:val="001F3D4A"/>
    <w:rsid w:val="001F492E"/>
    <w:rsid w:val="001F64EF"/>
    <w:rsid w:val="001F6DA3"/>
    <w:rsid w:val="002010BC"/>
    <w:rsid w:val="002016E7"/>
    <w:rsid w:val="00202E03"/>
    <w:rsid w:val="002033B9"/>
    <w:rsid w:val="002043D0"/>
    <w:rsid w:val="0020492C"/>
    <w:rsid w:val="00204EC9"/>
    <w:rsid w:val="00206505"/>
    <w:rsid w:val="0020743F"/>
    <w:rsid w:val="00216C93"/>
    <w:rsid w:val="00223051"/>
    <w:rsid w:val="00224DB9"/>
    <w:rsid w:val="0022569A"/>
    <w:rsid w:val="0023005C"/>
    <w:rsid w:val="00231012"/>
    <w:rsid w:val="00233775"/>
    <w:rsid w:val="0023414B"/>
    <w:rsid w:val="00243635"/>
    <w:rsid w:val="00247079"/>
    <w:rsid w:val="00251745"/>
    <w:rsid w:val="0025483F"/>
    <w:rsid w:val="002552BA"/>
    <w:rsid w:val="00260016"/>
    <w:rsid w:val="00263AC0"/>
    <w:rsid w:val="00264264"/>
    <w:rsid w:val="0026689B"/>
    <w:rsid w:val="0026772D"/>
    <w:rsid w:val="00270B90"/>
    <w:rsid w:val="002730B2"/>
    <w:rsid w:val="00274C7E"/>
    <w:rsid w:val="0027712D"/>
    <w:rsid w:val="002777CF"/>
    <w:rsid w:val="002810F2"/>
    <w:rsid w:val="00286874"/>
    <w:rsid w:val="00290C63"/>
    <w:rsid w:val="00290F66"/>
    <w:rsid w:val="00291A99"/>
    <w:rsid w:val="00293B6D"/>
    <w:rsid w:val="00294B08"/>
    <w:rsid w:val="0029518C"/>
    <w:rsid w:val="002963DD"/>
    <w:rsid w:val="00296B65"/>
    <w:rsid w:val="00297EFA"/>
    <w:rsid w:val="002A7DEF"/>
    <w:rsid w:val="002B0696"/>
    <w:rsid w:val="002C0222"/>
    <w:rsid w:val="002C1499"/>
    <w:rsid w:val="002C233C"/>
    <w:rsid w:val="002C517B"/>
    <w:rsid w:val="002D3509"/>
    <w:rsid w:val="002D5457"/>
    <w:rsid w:val="002D72E8"/>
    <w:rsid w:val="002D79AD"/>
    <w:rsid w:val="002E268F"/>
    <w:rsid w:val="002E78DD"/>
    <w:rsid w:val="002E7B22"/>
    <w:rsid w:val="002F12EC"/>
    <w:rsid w:val="002F7986"/>
    <w:rsid w:val="00301B40"/>
    <w:rsid w:val="00301C82"/>
    <w:rsid w:val="003029EE"/>
    <w:rsid w:val="00304D38"/>
    <w:rsid w:val="00305CC8"/>
    <w:rsid w:val="00307F6D"/>
    <w:rsid w:val="00314D83"/>
    <w:rsid w:val="0031571F"/>
    <w:rsid w:val="003177A2"/>
    <w:rsid w:val="00317E02"/>
    <w:rsid w:val="003271B5"/>
    <w:rsid w:val="00327A1E"/>
    <w:rsid w:val="00327E28"/>
    <w:rsid w:val="00331264"/>
    <w:rsid w:val="00334C8D"/>
    <w:rsid w:val="003378BD"/>
    <w:rsid w:val="003424EA"/>
    <w:rsid w:val="00342C2F"/>
    <w:rsid w:val="003436EB"/>
    <w:rsid w:val="00343A18"/>
    <w:rsid w:val="00345744"/>
    <w:rsid w:val="003518B3"/>
    <w:rsid w:val="00353E79"/>
    <w:rsid w:val="00364EA0"/>
    <w:rsid w:val="00366981"/>
    <w:rsid w:val="00366A53"/>
    <w:rsid w:val="00370678"/>
    <w:rsid w:val="0037214E"/>
    <w:rsid w:val="00372C85"/>
    <w:rsid w:val="00373845"/>
    <w:rsid w:val="003744E3"/>
    <w:rsid w:val="00375F71"/>
    <w:rsid w:val="00376219"/>
    <w:rsid w:val="0037663E"/>
    <w:rsid w:val="0037699E"/>
    <w:rsid w:val="00377A29"/>
    <w:rsid w:val="00377C69"/>
    <w:rsid w:val="0038415D"/>
    <w:rsid w:val="0038461C"/>
    <w:rsid w:val="003846F1"/>
    <w:rsid w:val="00390E6A"/>
    <w:rsid w:val="003937C2"/>
    <w:rsid w:val="00393ABE"/>
    <w:rsid w:val="00395DB6"/>
    <w:rsid w:val="00397398"/>
    <w:rsid w:val="003A371A"/>
    <w:rsid w:val="003A59CD"/>
    <w:rsid w:val="003A6B00"/>
    <w:rsid w:val="003B30B2"/>
    <w:rsid w:val="003B484F"/>
    <w:rsid w:val="003B504B"/>
    <w:rsid w:val="003B5179"/>
    <w:rsid w:val="003B685C"/>
    <w:rsid w:val="003B7FBA"/>
    <w:rsid w:val="003C5A87"/>
    <w:rsid w:val="003C6537"/>
    <w:rsid w:val="003C6A13"/>
    <w:rsid w:val="003C764A"/>
    <w:rsid w:val="003C78BA"/>
    <w:rsid w:val="003D41F1"/>
    <w:rsid w:val="003D42AB"/>
    <w:rsid w:val="003D5B94"/>
    <w:rsid w:val="003E0D3A"/>
    <w:rsid w:val="003E245B"/>
    <w:rsid w:val="003E3AAB"/>
    <w:rsid w:val="003E7FE9"/>
    <w:rsid w:val="003F07D4"/>
    <w:rsid w:val="003F174D"/>
    <w:rsid w:val="003F2329"/>
    <w:rsid w:val="003F2346"/>
    <w:rsid w:val="00400FD2"/>
    <w:rsid w:val="00403711"/>
    <w:rsid w:val="00403720"/>
    <w:rsid w:val="00404C52"/>
    <w:rsid w:val="004156D5"/>
    <w:rsid w:val="00415BA9"/>
    <w:rsid w:val="00415F31"/>
    <w:rsid w:val="0041691D"/>
    <w:rsid w:val="0042000C"/>
    <w:rsid w:val="0042090E"/>
    <w:rsid w:val="00420B33"/>
    <w:rsid w:val="00420E04"/>
    <w:rsid w:val="00421F27"/>
    <w:rsid w:val="004238D8"/>
    <w:rsid w:val="00423A77"/>
    <w:rsid w:val="004324A5"/>
    <w:rsid w:val="004324F4"/>
    <w:rsid w:val="00432ADB"/>
    <w:rsid w:val="00434544"/>
    <w:rsid w:val="00441F4E"/>
    <w:rsid w:val="00445D43"/>
    <w:rsid w:val="00446CD2"/>
    <w:rsid w:val="004523B2"/>
    <w:rsid w:val="0045777E"/>
    <w:rsid w:val="004617F7"/>
    <w:rsid w:val="00465258"/>
    <w:rsid w:val="00471BC6"/>
    <w:rsid w:val="00473EE0"/>
    <w:rsid w:val="00476221"/>
    <w:rsid w:val="004766F5"/>
    <w:rsid w:val="00480B4B"/>
    <w:rsid w:val="004838D8"/>
    <w:rsid w:val="00485DC4"/>
    <w:rsid w:val="00494D04"/>
    <w:rsid w:val="00494E44"/>
    <w:rsid w:val="004A40BA"/>
    <w:rsid w:val="004A43D1"/>
    <w:rsid w:val="004A492B"/>
    <w:rsid w:val="004B054F"/>
    <w:rsid w:val="004B4412"/>
    <w:rsid w:val="004B6269"/>
    <w:rsid w:val="004C348C"/>
    <w:rsid w:val="004C462E"/>
    <w:rsid w:val="004C6CA3"/>
    <w:rsid w:val="004C7F5E"/>
    <w:rsid w:val="004D343C"/>
    <w:rsid w:val="004D372A"/>
    <w:rsid w:val="004D4003"/>
    <w:rsid w:val="004D55BA"/>
    <w:rsid w:val="004D720C"/>
    <w:rsid w:val="004E0FA7"/>
    <w:rsid w:val="004E22EC"/>
    <w:rsid w:val="004F0BFA"/>
    <w:rsid w:val="004F13DA"/>
    <w:rsid w:val="004F4D69"/>
    <w:rsid w:val="004F6883"/>
    <w:rsid w:val="004F6A0E"/>
    <w:rsid w:val="004F6BB3"/>
    <w:rsid w:val="005009CD"/>
    <w:rsid w:val="00504E5F"/>
    <w:rsid w:val="0051337E"/>
    <w:rsid w:val="00513FA7"/>
    <w:rsid w:val="0051768F"/>
    <w:rsid w:val="00517DFB"/>
    <w:rsid w:val="00522DC2"/>
    <w:rsid w:val="00530128"/>
    <w:rsid w:val="00532467"/>
    <w:rsid w:val="005332A9"/>
    <w:rsid w:val="0053603C"/>
    <w:rsid w:val="00537871"/>
    <w:rsid w:val="00542FE9"/>
    <w:rsid w:val="00544598"/>
    <w:rsid w:val="00544C8D"/>
    <w:rsid w:val="00544DFD"/>
    <w:rsid w:val="00556B1E"/>
    <w:rsid w:val="00564A4D"/>
    <w:rsid w:val="0056598C"/>
    <w:rsid w:val="00566E0B"/>
    <w:rsid w:val="00567BA5"/>
    <w:rsid w:val="00571B35"/>
    <w:rsid w:val="00571B43"/>
    <w:rsid w:val="00571D57"/>
    <w:rsid w:val="00573A3B"/>
    <w:rsid w:val="00577716"/>
    <w:rsid w:val="00577A09"/>
    <w:rsid w:val="005829C2"/>
    <w:rsid w:val="00584D8F"/>
    <w:rsid w:val="00587A18"/>
    <w:rsid w:val="00587ADE"/>
    <w:rsid w:val="005A0BEC"/>
    <w:rsid w:val="005A404D"/>
    <w:rsid w:val="005B1E3C"/>
    <w:rsid w:val="005B20AE"/>
    <w:rsid w:val="005B6518"/>
    <w:rsid w:val="005B704A"/>
    <w:rsid w:val="005B72D7"/>
    <w:rsid w:val="005C045F"/>
    <w:rsid w:val="005C16FE"/>
    <w:rsid w:val="005C1FAB"/>
    <w:rsid w:val="005C21A4"/>
    <w:rsid w:val="005C26CC"/>
    <w:rsid w:val="005C4463"/>
    <w:rsid w:val="005C652D"/>
    <w:rsid w:val="005D072B"/>
    <w:rsid w:val="005D3D88"/>
    <w:rsid w:val="005D4692"/>
    <w:rsid w:val="005D48C4"/>
    <w:rsid w:val="005D6208"/>
    <w:rsid w:val="005D6366"/>
    <w:rsid w:val="005D7BA2"/>
    <w:rsid w:val="005E33EA"/>
    <w:rsid w:val="005E36C2"/>
    <w:rsid w:val="005E4AF4"/>
    <w:rsid w:val="005E7C12"/>
    <w:rsid w:val="005F387E"/>
    <w:rsid w:val="005F73CF"/>
    <w:rsid w:val="00601E0B"/>
    <w:rsid w:val="0060258B"/>
    <w:rsid w:val="00610EF9"/>
    <w:rsid w:val="00612F4F"/>
    <w:rsid w:val="00614EA0"/>
    <w:rsid w:val="00615C6B"/>
    <w:rsid w:val="00617D4C"/>
    <w:rsid w:val="00621DCE"/>
    <w:rsid w:val="00621FC5"/>
    <w:rsid w:val="00624F2C"/>
    <w:rsid w:val="00632D6D"/>
    <w:rsid w:val="00636569"/>
    <w:rsid w:val="00636EF9"/>
    <w:rsid w:val="00642C3E"/>
    <w:rsid w:val="00644A01"/>
    <w:rsid w:val="00651E2D"/>
    <w:rsid w:val="00652324"/>
    <w:rsid w:val="006577FB"/>
    <w:rsid w:val="0066104A"/>
    <w:rsid w:val="00663066"/>
    <w:rsid w:val="00663DAD"/>
    <w:rsid w:val="00664206"/>
    <w:rsid w:val="006649E7"/>
    <w:rsid w:val="00665058"/>
    <w:rsid w:val="00666634"/>
    <w:rsid w:val="00671692"/>
    <w:rsid w:val="00675E20"/>
    <w:rsid w:val="00676679"/>
    <w:rsid w:val="00683C89"/>
    <w:rsid w:val="00691B53"/>
    <w:rsid w:val="00697D0B"/>
    <w:rsid w:val="006A12BA"/>
    <w:rsid w:val="006A4739"/>
    <w:rsid w:val="006A66A1"/>
    <w:rsid w:val="006B032D"/>
    <w:rsid w:val="006B2395"/>
    <w:rsid w:val="006B40AC"/>
    <w:rsid w:val="006B4CF9"/>
    <w:rsid w:val="006B797C"/>
    <w:rsid w:val="006B7AC8"/>
    <w:rsid w:val="006C1736"/>
    <w:rsid w:val="006C329B"/>
    <w:rsid w:val="006C6303"/>
    <w:rsid w:val="006D550F"/>
    <w:rsid w:val="006D6146"/>
    <w:rsid w:val="006D7F7E"/>
    <w:rsid w:val="006E0CFF"/>
    <w:rsid w:val="006F0D92"/>
    <w:rsid w:val="006F267D"/>
    <w:rsid w:val="0070011E"/>
    <w:rsid w:val="00701CAB"/>
    <w:rsid w:val="007023BB"/>
    <w:rsid w:val="00704DD7"/>
    <w:rsid w:val="00707563"/>
    <w:rsid w:val="00715F61"/>
    <w:rsid w:val="00720C67"/>
    <w:rsid w:val="00722132"/>
    <w:rsid w:val="007228F7"/>
    <w:rsid w:val="0072348C"/>
    <w:rsid w:val="00724A37"/>
    <w:rsid w:val="007303C3"/>
    <w:rsid w:val="00731188"/>
    <w:rsid w:val="0073430A"/>
    <w:rsid w:val="007356CC"/>
    <w:rsid w:val="007368E6"/>
    <w:rsid w:val="007375DF"/>
    <w:rsid w:val="007429BE"/>
    <w:rsid w:val="00743223"/>
    <w:rsid w:val="00743349"/>
    <w:rsid w:val="0074403A"/>
    <w:rsid w:val="00746E01"/>
    <w:rsid w:val="00751DCD"/>
    <w:rsid w:val="00755084"/>
    <w:rsid w:val="00757364"/>
    <w:rsid w:val="00757A77"/>
    <w:rsid w:val="00757BDF"/>
    <w:rsid w:val="007609D0"/>
    <w:rsid w:val="00761454"/>
    <w:rsid w:val="0076193D"/>
    <w:rsid w:val="007624E1"/>
    <w:rsid w:val="00763E5D"/>
    <w:rsid w:val="00767740"/>
    <w:rsid w:val="00767B5E"/>
    <w:rsid w:val="00770064"/>
    <w:rsid w:val="00775460"/>
    <w:rsid w:val="00777EE6"/>
    <w:rsid w:val="00781409"/>
    <w:rsid w:val="00782EEA"/>
    <w:rsid w:val="00786CA4"/>
    <w:rsid w:val="007909B4"/>
    <w:rsid w:val="00790E86"/>
    <w:rsid w:val="007949D7"/>
    <w:rsid w:val="0079769A"/>
    <w:rsid w:val="007A0143"/>
    <w:rsid w:val="007A34C2"/>
    <w:rsid w:val="007A396C"/>
    <w:rsid w:val="007A4B02"/>
    <w:rsid w:val="007B0BE3"/>
    <w:rsid w:val="007B1816"/>
    <w:rsid w:val="007B186E"/>
    <w:rsid w:val="007B25DC"/>
    <w:rsid w:val="007B2C72"/>
    <w:rsid w:val="007B3789"/>
    <w:rsid w:val="007B3BDA"/>
    <w:rsid w:val="007B651F"/>
    <w:rsid w:val="007B7BB5"/>
    <w:rsid w:val="007C1C53"/>
    <w:rsid w:val="007C284C"/>
    <w:rsid w:val="007C4B82"/>
    <w:rsid w:val="007C53FC"/>
    <w:rsid w:val="007C74BB"/>
    <w:rsid w:val="007C7F64"/>
    <w:rsid w:val="007D0A95"/>
    <w:rsid w:val="007D0EB5"/>
    <w:rsid w:val="007D456E"/>
    <w:rsid w:val="007D5837"/>
    <w:rsid w:val="007D5D04"/>
    <w:rsid w:val="007D7AB7"/>
    <w:rsid w:val="007E4904"/>
    <w:rsid w:val="007E4CB5"/>
    <w:rsid w:val="007E4DAE"/>
    <w:rsid w:val="007F066B"/>
    <w:rsid w:val="007F4EAB"/>
    <w:rsid w:val="007F5B16"/>
    <w:rsid w:val="007F7C9D"/>
    <w:rsid w:val="008033C4"/>
    <w:rsid w:val="00806731"/>
    <w:rsid w:val="00806C88"/>
    <w:rsid w:val="0081034E"/>
    <w:rsid w:val="00810806"/>
    <w:rsid w:val="00815882"/>
    <w:rsid w:val="00820454"/>
    <w:rsid w:val="008218BE"/>
    <w:rsid w:val="00822AC7"/>
    <w:rsid w:val="00822E86"/>
    <w:rsid w:val="008344F6"/>
    <w:rsid w:val="0083510F"/>
    <w:rsid w:val="00837BF3"/>
    <w:rsid w:val="008415DE"/>
    <w:rsid w:val="008420DE"/>
    <w:rsid w:val="00845865"/>
    <w:rsid w:val="0084799B"/>
    <w:rsid w:val="00850C90"/>
    <w:rsid w:val="00851209"/>
    <w:rsid w:val="0085171F"/>
    <w:rsid w:val="00856A10"/>
    <w:rsid w:val="008658A1"/>
    <w:rsid w:val="0086716A"/>
    <w:rsid w:val="00870613"/>
    <w:rsid w:val="0087380F"/>
    <w:rsid w:val="008759B6"/>
    <w:rsid w:val="0087648F"/>
    <w:rsid w:val="00876612"/>
    <w:rsid w:val="0087718C"/>
    <w:rsid w:val="00882BB1"/>
    <w:rsid w:val="008837AC"/>
    <w:rsid w:val="008909DC"/>
    <w:rsid w:val="00894255"/>
    <w:rsid w:val="008945AD"/>
    <w:rsid w:val="00896D92"/>
    <w:rsid w:val="008A0645"/>
    <w:rsid w:val="008A1C02"/>
    <w:rsid w:val="008A370D"/>
    <w:rsid w:val="008A587D"/>
    <w:rsid w:val="008B1646"/>
    <w:rsid w:val="008B16B0"/>
    <w:rsid w:val="008B1BD5"/>
    <w:rsid w:val="008B35CD"/>
    <w:rsid w:val="008B4093"/>
    <w:rsid w:val="008B5FCC"/>
    <w:rsid w:val="008B6A2F"/>
    <w:rsid w:val="008B7F36"/>
    <w:rsid w:val="008C357F"/>
    <w:rsid w:val="008C5486"/>
    <w:rsid w:val="008D1661"/>
    <w:rsid w:val="008D27E0"/>
    <w:rsid w:val="008D5F90"/>
    <w:rsid w:val="008D6800"/>
    <w:rsid w:val="008D72F1"/>
    <w:rsid w:val="008E1691"/>
    <w:rsid w:val="008E4089"/>
    <w:rsid w:val="008E5AFF"/>
    <w:rsid w:val="008E7031"/>
    <w:rsid w:val="008E77DE"/>
    <w:rsid w:val="008F040C"/>
    <w:rsid w:val="008F07A3"/>
    <w:rsid w:val="008F3322"/>
    <w:rsid w:val="008F3519"/>
    <w:rsid w:val="008F3A0D"/>
    <w:rsid w:val="008F4A81"/>
    <w:rsid w:val="008F78AD"/>
    <w:rsid w:val="009001B6"/>
    <w:rsid w:val="00900E1B"/>
    <w:rsid w:val="0090131F"/>
    <w:rsid w:val="00907683"/>
    <w:rsid w:val="009132B7"/>
    <w:rsid w:val="00916A2C"/>
    <w:rsid w:val="009233EE"/>
    <w:rsid w:val="00930B1A"/>
    <w:rsid w:val="00932612"/>
    <w:rsid w:val="009327DC"/>
    <w:rsid w:val="009338D9"/>
    <w:rsid w:val="009339BD"/>
    <w:rsid w:val="009356CF"/>
    <w:rsid w:val="00945E53"/>
    <w:rsid w:val="009460AA"/>
    <w:rsid w:val="00951978"/>
    <w:rsid w:val="00952C8B"/>
    <w:rsid w:val="009608A5"/>
    <w:rsid w:val="00961A4A"/>
    <w:rsid w:val="009661DE"/>
    <w:rsid w:val="00972C7C"/>
    <w:rsid w:val="009776F4"/>
    <w:rsid w:val="00982DA2"/>
    <w:rsid w:val="00983123"/>
    <w:rsid w:val="00983C25"/>
    <w:rsid w:val="0098466D"/>
    <w:rsid w:val="009856B7"/>
    <w:rsid w:val="009859D6"/>
    <w:rsid w:val="00985C86"/>
    <w:rsid w:val="009A5FC3"/>
    <w:rsid w:val="009B6F84"/>
    <w:rsid w:val="009B74B0"/>
    <w:rsid w:val="009C0152"/>
    <w:rsid w:val="009C1A74"/>
    <w:rsid w:val="009C3D42"/>
    <w:rsid w:val="009C491E"/>
    <w:rsid w:val="009D0DF1"/>
    <w:rsid w:val="009D22D6"/>
    <w:rsid w:val="009D2C84"/>
    <w:rsid w:val="009D3906"/>
    <w:rsid w:val="009D5E35"/>
    <w:rsid w:val="009D6B46"/>
    <w:rsid w:val="009E35B6"/>
    <w:rsid w:val="009E5ABC"/>
    <w:rsid w:val="009F3BBA"/>
    <w:rsid w:val="009F43B4"/>
    <w:rsid w:val="009F4940"/>
    <w:rsid w:val="009F5BA1"/>
    <w:rsid w:val="00A00F39"/>
    <w:rsid w:val="00A02A88"/>
    <w:rsid w:val="00A04012"/>
    <w:rsid w:val="00A046FA"/>
    <w:rsid w:val="00A0562E"/>
    <w:rsid w:val="00A0726D"/>
    <w:rsid w:val="00A073AE"/>
    <w:rsid w:val="00A12204"/>
    <w:rsid w:val="00A12750"/>
    <w:rsid w:val="00A13CB0"/>
    <w:rsid w:val="00A1561F"/>
    <w:rsid w:val="00A16544"/>
    <w:rsid w:val="00A247CF"/>
    <w:rsid w:val="00A25B9A"/>
    <w:rsid w:val="00A27DB1"/>
    <w:rsid w:val="00A30BF5"/>
    <w:rsid w:val="00A31BE6"/>
    <w:rsid w:val="00A32FBB"/>
    <w:rsid w:val="00A40068"/>
    <w:rsid w:val="00A40BE9"/>
    <w:rsid w:val="00A428EE"/>
    <w:rsid w:val="00A443C2"/>
    <w:rsid w:val="00A4478A"/>
    <w:rsid w:val="00A44852"/>
    <w:rsid w:val="00A50502"/>
    <w:rsid w:val="00A5087B"/>
    <w:rsid w:val="00A50F31"/>
    <w:rsid w:val="00A53409"/>
    <w:rsid w:val="00A53796"/>
    <w:rsid w:val="00A53848"/>
    <w:rsid w:val="00A56945"/>
    <w:rsid w:val="00A56A6E"/>
    <w:rsid w:val="00A57D04"/>
    <w:rsid w:val="00A60A26"/>
    <w:rsid w:val="00A61598"/>
    <w:rsid w:val="00A61777"/>
    <w:rsid w:val="00A63646"/>
    <w:rsid w:val="00A63914"/>
    <w:rsid w:val="00A75BDB"/>
    <w:rsid w:val="00A84A99"/>
    <w:rsid w:val="00A84F46"/>
    <w:rsid w:val="00A85E87"/>
    <w:rsid w:val="00A86AEA"/>
    <w:rsid w:val="00A871F4"/>
    <w:rsid w:val="00A9431A"/>
    <w:rsid w:val="00A95988"/>
    <w:rsid w:val="00A959DF"/>
    <w:rsid w:val="00A97A1B"/>
    <w:rsid w:val="00AA2927"/>
    <w:rsid w:val="00AB2CB8"/>
    <w:rsid w:val="00AB4617"/>
    <w:rsid w:val="00AB7283"/>
    <w:rsid w:val="00AC061C"/>
    <w:rsid w:val="00AC1B2C"/>
    <w:rsid w:val="00AC3264"/>
    <w:rsid w:val="00AC46AD"/>
    <w:rsid w:val="00AC4D2D"/>
    <w:rsid w:val="00AC58EC"/>
    <w:rsid w:val="00AC7282"/>
    <w:rsid w:val="00AC7961"/>
    <w:rsid w:val="00AD314E"/>
    <w:rsid w:val="00AD5FCD"/>
    <w:rsid w:val="00AD6B48"/>
    <w:rsid w:val="00AD7A3A"/>
    <w:rsid w:val="00AE1BF1"/>
    <w:rsid w:val="00AE23AB"/>
    <w:rsid w:val="00AE58FB"/>
    <w:rsid w:val="00AE5AF0"/>
    <w:rsid w:val="00AE663D"/>
    <w:rsid w:val="00AE73B3"/>
    <w:rsid w:val="00AF07E7"/>
    <w:rsid w:val="00AF0DD2"/>
    <w:rsid w:val="00AF31E1"/>
    <w:rsid w:val="00AF3BBA"/>
    <w:rsid w:val="00AF4231"/>
    <w:rsid w:val="00AF5694"/>
    <w:rsid w:val="00B00B0E"/>
    <w:rsid w:val="00B00B26"/>
    <w:rsid w:val="00B02385"/>
    <w:rsid w:val="00B02F9D"/>
    <w:rsid w:val="00B05766"/>
    <w:rsid w:val="00B13048"/>
    <w:rsid w:val="00B134D4"/>
    <w:rsid w:val="00B13883"/>
    <w:rsid w:val="00B1716D"/>
    <w:rsid w:val="00B17A1D"/>
    <w:rsid w:val="00B207A0"/>
    <w:rsid w:val="00B21C21"/>
    <w:rsid w:val="00B22F54"/>
    <w:rsid w:val="00B24A7E"/>
    <w:rsid w:val="00B25C0C"/>
    <w:rsid w:val="00B304B5"/>
    <w:rsid w:val="00B308A9"/>
    <w:rsid w:val="00B31047"/>
    <w:rsid w:val="00B33148"/>
    <w:rsid w:val="00B35CDF"/>
    <w:rsid w:val="00B403C2"/>
    <w:rsid w:val="00B405A1"/>
    <w:rsid w:val="00B4438A"/>
    <w:rsid w:val="00B45AA2"/>
    <w:rsid w:val="00B479CA"/>
    <w:rsid w:val="00B5084F"/>
    <w:rsid w:val="00B514DD"/>
    <w:rsid w:val="00B52AF0"/>
    <w:rsid w:val="00B53D5F"/>
    <w:rsid w:val="00B54051"/>
    <w:rsid w:val="00B561BD"/>
    <w:rsid w:val="00B56E03"/>
    <w:rsid w:val="00B576C7"/>
    <w:rsid w:val="00B62765"/>
    <w:rsid w:val="00B65DF5"/>
    <w:rsid w:val="00B7679F"/>
    <w:rsid w:val="00B77159"/>
    <w:rsid w:val="00B8080B"/>
    <w:rsid w:val="00B82223"/>
    <w:rsid w:val="00B87BA5"/>
    <w:rsid w:val="00B87C39"/>
    <w:rsid w:val="00B93891"/>
    <w:rsid w:val="00B948E8"/>
    <w:rsid w:val="00B9562D"/>
    <w:rsid w:val="00BA21DA"/>
    <w:rsid w:val="00BA2B60"/>
    <w:rsid w:val="00BA3C93"/>
    <w:rsid w:val="00BA4665"/>
    <w:rsid w:val="00BA7FD7"/>
    <w:rsid w:val="00BB1681"/>
    <w:rsid w:val="00BB2FB2"/>
    <w:rsid w:val="00BB3304"/>
    <w:rsid w:val="00BB6551"/>
    <w:rsid w:val="00BC38EA"/>
    <w:rsid w:val="00BC4A10"/>
    <w:rsid w:val="00BD30F4"/>
    <w:rsid w:val="00BD3446"/>
    <w:rsid w:val="00BD55BC"/>
    <w:rsid w:val="00BD59CF"/>
    <w:rsid w:val="00BE1312"/>
    <w:rsid w:val="00BE1F1B"/>
    <w:rsid w:val="00BE3F89"/>
    <w:rsid w:val="00BE47B5"/>
    <w:rsid w:val="00BE5FCE"/>
    <w:rsid w:val="00C0079E"/>
    <w:rsid w:val="00C0572A"/>
    <w:rsid w:val="00C13EBD"/>
    <w:rsid w:val="00C1631B"/>
    <w:rsid w:val="00C163AB"/>
    <w:rsid w:val="00C170F0"/>
    <w:rsid w:val="00C23FA4"/>
    <w:rsid w:val="00C25962"/>
    <w:rsid w:val="00C25FA6"/>
    <w:rsid w:val="00C3099D"/>
    <w:rsid w:val="00C33011"/>
    <w:rsid w:val="00C343A2"/>
    <w:rsid w:val="00C362C1"/>
    <w:rsid w:val="00C41950"/>
    <w:rsid w:val="00C42C3B"/>
    <w:rsid w:val="00C51672"/>
    <w:rsid w:val="00C538A9"/>
    <w:rsid w:val="00C53B5A"/>
    <w:rsid w:val="00C53CB4"/>
    <w:rsid w:val="00C53E41"/>
    <w:rsid w:val="00C54909"/>
    <w:rsid w:val="00C54AF3"/>
    <w:rsid w:val="00C54F5A"/>
    <w:rsid w:val="00C569B4"/>
    <w:rsid w:val="00C57DDE"/>
    <w:rsid w:val="00C61468"/>
    <w:rsid w:val="00C61A97"/>
    <w:rsid w:val="00C61E44"/>
    <w:rsid w:val="00C64FF3"/>
    <w:rsid w:val="00C662AD"/>
    <w:rsid w:val="00C666BF"/>
    <w:rsid w:val="00C67A92"/>
    <w:rsid w:val="00C71280"/>
    <w:rsid w:val="00C717BF"/>
    <w:rsid w:val="00C75E3E"/>
    <w:rsid w:val="00C76178"/>
    <w:rsid w:val="00C76C05"/>
    <w:rsid w:val="00C84560"/>
    <w:rsid w:val="00C86679"/>
    <w:rsid w:val="00C878CC"/>
    <w:rsid w:val="00C8792F"/>
    <w:rsid w:val="00C90472"/>
    <w:rsid w:val="00C91D6E"/>
    <w:rsid w:val="00CA489E"/>
    <w:rsid w:val="00CA6A51"/>
    <w:rsid w:val="00CB0279"/>
    <w:rsid w:val="00CB666B"/>
    <w:rsid w:val="00CB734B"/>
    <w:rsid w:val="00CC058C"/>
    <w:rsid w:val="00CC41B6"/>
    <w:rsid w:val="00CC7ADA"/>
    <w:rsid w:val="00CC7F1D"/>
    <w:rsid w:val="00CD0A88"/>
    <w:rsid w:val="00CD125D"/>
    <w:rsid w:val="00CD283C"/>
    <w:rsid w:val="00CD3641"/>
    <w:rsid w:val="00CD66EA"/>
    <w:rsid w:val="00CD7432"/>
    <w:rsid w:val="00CE0FA5"/>
    <w:rsid w:val="00CE2A23"/>
    <w:rsid w:val="00CE31C8"/>
    <w:rsid w:val="00CE484B"/>
    <w:rsid w:val="00CE7CBA"/>
    <w:rsid w:val="00CF0DEE"/>
    <w:rsid w:val="00CF42AA"/>
    <w:rsid w:val="00CF5EAA"/>
    <w:rsid w:val="00CF6AE3"/>
    <w:rsid w:val="00CF77BB"/>
    <w:rsid w:val="00D006AE"/>
    <w:rsid w:val="00D00905"/>
    <w:rsid w:val="00D010C1"/>
    <w:rsid w:val="00D01CF0"/>
    <w:rsid w:val="00D0350B"/>
    <w:rsid w:val="00D0442A"/>
    <w:rsid w:val="00D12A7B"/>
    <w:rsid w:val="00D12ADB"/>
    <w:rsid w:val="00D142DD"/>
    <w:rsid w:val="00D15E63"/>
    <w:rsid w:val="00D1741A"/>
    <w:rsid w:val="00D25A39"/>
    <w:rsid w:val="00D27CFA"/>
    <w:rsid w:val="00D310FA"/>
    <w:rsid w:val="00D325C6"/>
    <w:rsid w:val="00D37213"/>
    <w:rsid w:val="00D434C5"/>
    <w:rsid w:val="00D4360D"/>
    <w:rsid w:val="00D471DD"/>
    <w:rsid w:val="00D5607F"/>
    <w:rsid w:val="00D61388"/>
    <w:rsid w:val="00D61A54"/>
    <w:rsid w:val="00D62108"/>
    <w:rsid w:val="00D64AA4"/>
    <w:rsid w:val="00D64DEA"/>
    <w:rsid w:val="00D64F84"/>
    <w:rsid w:val="00D663CD"/>
    <w:rsid w:val="00D6726A"/>
    <w:rsid w:val="00D7001B"/>
    <w:rsid w:val="00D7160D"/>
    <w:rsid w:val="00D7168E"/>
    <w:rsid w:val="00D71E57"/>
    <w:rsid w:val="00D72D27"/>
    <w:rsid w:val="00D7786B"/>
    <w:rsid w:val="00D80893"/>
    <w:rsid w:val="00D82519"/>
    <w:rsid w:val="00D84854"/>
    <w:rsid w:val="00D924AE"/>
    <w:rsid w:val="00D92CF1"/>
    <w:rsid w:val="00D92D38"/>
    <w:rsid w:val="00D9309B"/>
    <w:rsid w:val="00D950F5"/>
    <w:rsid w:val="00D97379"/>
    <w:rsid w:val="00DA4657"/>
    <w:rsid w:val="00DA4752"/>
    <w:rsid w:val="00DA4C09"/>
    <w:rsid w:val="00DA61F3"/>
    <w:rsid w:val="00DA7CB3"/>
    <w:rsid w:val="00DB0D00"/>
    <w:rsid w:val="00DB0F93"/>
    <w:rsid w:val="00DB1A67"/>
    <w:rsid w:val="00DB3721"/>
    <w:rsid w:val="00DB4E34"/>
    <w:rsid w:val="00DB5074"/>
    <w:rsid w:val="00DC0281"/>
    <w:rsid w:val="00DC1930"/>
    <w:rsid w:val="00DC1C76"/>
    <w:rsid w:val="00DC4DBF"/>
    <w:rsid w:val="00DC4E19"/>
    <w:rsid w:val="00DC65FE"/>
    <w:rsid w:val="00DC7981"/>
    <w:rsid w:val="00DC7B8F"/>
    <w:rsid w:val="00DD3C0B"/>
    <w:rsid w:val="00DD4C07"/>
    <w:rsid w:val="00DD577D"/>
    <w:rsid w:val="00DD5ADC"/>
    <w:rsid w:val="00DE1093"/>
    <w:rsid w:val="00DE4EFA"/>
    <w:rsid w:val="00DE5520"/>
    <w:rsid w:val="00DE563D"/>
    <w:rsid w:val="00DE7AB5"/>
    <w:rsid w:val="00DF0152"/>
    <w:rsid w:val="00DF1958"/>
    <w:rsid w:val="00E04818"/>
    <w:rsid w:val="00E06442"/>
    <w:rsid w:val="00E06952"/>
    <w:rsid w:val="00E11E61"/>
    <w:rsid w:val="00E157B2"/>
    <w:rsid w:val="00E16055"/>
    <w:rsid w:val="00E2332D"/>
    <w:rsid w:val="00E23993"/>
    <w:rsid w:val="00E2574F"/>
    <w:rsid w:val="00E25951"/>
    <w:rsid w:val="00E25B8C"/>
    <w:rsid w:val="00E30BB4"/>
    <w:rsid w:val="00E31CF6"/>
    <w:rsid w:val="00E34748"/>
    <w:rsid w:val="00E34A4A"/>
    <w:rsid w:val="00E35AFC"/>
    <w:rsid w:val="00E41D39"/>
    <w:rsid w:val="00E44852"/>
    <w:rsid w:val="00E460B9"/>
    <w:rsid w:val="00E50A02"/>
    <w:rsid w:val="00E533AC"/>
    <w:rsid w:val="00E54106"/>
    <w:rsid w:val="00E54697"/>
    <w:rsid w:val="00E57A08"/>
    <w:rsid w:val="00E60634"/>
    <w:rsid w:val="00E63631"/>
    <w:rsid w:val="00E64A80"/>
    <w:rsid w:val="00E64C2A"/>
    <w:rsid w:val="00E65C85"/>
    <w:rsid w:val="00E66199"/>
    <w:rsid w:val="00E70526"/>
    <w:rsid w:val="00E754B4"/>
    <w:rsid w:val="00E755EC"/>
    <w:rsid w:val="00E7624D"/>
    <w:rsid w:val="00E81724"/>
    <w:rsid w:val="00E819A4"/>
    <w:rsid w:val="00E833FA"/>
    <w:rsid w:val="00E84B74"/>
    <w:rsid w:val="00E87066"/>
    <w:rsid w:val="00E966BF"/>
    <w:rsid w:val="00EA0C04"/>
    <w:rsid w:val="00EA3D42"/>
    <w:rsid w:val="00EA6B1B"/>
    <w:rsid w:val="00EB1CBD"/>
    <w:rsid w:val="00EB3A34"/>
    <w:rsid w:val="00EB3C3F"/>
    <w:rsid w:val="00EB607B"/>
    <w:rsid w:val="00EC04F1"/>
    <w:rsid w:val="00EC237F"/>
    <w:rsid w:val="00EC573A"/>
    <w:rsid w:val="00ED35C8"/>
    <w:rsid w:val="00ED3968"/>
    <w:rsid w:val="00ED7323"/>
    <w:rsid w:val="00EE28F3"/>
    <w:rsid w:val="00EE50D1"/>
    <w:rsid w:val="00EE7614"/>
    <w:rsid w:val="00EF5110"/>
    <w:rsid w:val="00EF5890"/>
    <w:rsid w:val="00EF76BA"/>
    <w:rsid w:val="00F0231A"/>
    <w:rsid w:val="00F03463"/>
    <w:rsid w:val="00F036B7"/>
    <w:rsid w:val="00F0700F"/>
    <w:rsid w:val="00F07F1F"/>
    <w:rsid w:val="00F10411"/>
    <w:rsid w:val="00F10A9A"/>
    <w:rsid w:val="00F11B2D"/>
    <w:rsid w:val="00F121C2"/>
    <w:rsid w:val="00F1485B"/>
    <w:rsid w:val="00F15882"/>
    <w:rsid w:val="00F170C7"/>
    <w:rsid w:val="00F171E0"/>
    <w:rsid w:val="00F20BD3"/>
    <w:rsid w:val="00F216B4"/>
    <w:rsid w:val="00F2722C"/>
    <w:rsid w:val="00F322E9"/>
    <w:rsid w:val="00F3231B"/>
    <w:rsid w:val="00F33808"/>
    <w:rsid w:val="00F373A5"/>
    <w:rsid w:val="00F37864"/>
    <w:rsid w:val="00F404F9"/>
    <w:rsid w:val="00F44B0A"/>
    <w:rsid w:val="00F47559"/>
    <w:rsid w:val="00F50B30"/>
    <w:rsid w:val="00F51F5F"/>
    <w:rsid w:val="00F52D75"/>
    <w:rsid w:val="00F55582"/>
    <w:rsid w:val="00F57647"/>
    <w:rsid w:val="00F62A14"/>
    <w:rsid w:val="00F644AB"/>
    <w:rsid w:val="00F64C7B"/>
    <w:rsid w:val="00F676DD"/>
    <w:rsid w:val="00F67AB6"/>
    <w:rsid w:val="00F70028"/>
    <w:rsid w:val="00F70434"/>
    <w:rsid w:val="00F75A26"/>
    <w:rsid w:val="00F76706"/>
    <w:rsid w:val="00F77D6D"/>
    <w:rsid w:val="00F80206"/>
    <w:rsid w:val="00F83034"/>
    <w:rsid w:val="00F83FAD"/>
    <w:rsid w:val="00F844C6"/>
    <w:rsid w:val="00F85E40"/>
    <w:rsid w:val="00F92FA6"/>
    <w:rsid w:val="00F9353B"/>
    <w:rsid w:val="00F937F1"/>
    <w:rsid w:val="00F952A0"/>
    <w:rsid w:val="00FA31B1"/>
    <w:rsid w:val="00FA3320"/>
    <w:rsid w:val="00FA3C7F"/>
    <w:rsid w:val="00FA6246"/>
    <w:rsid w:val="00FB24ED"/>
    <w:rsid w:val="00FB3304"/>
    <w:rsid w:val="00FB5005"/>
    <w:rsid w:val="00FB60FE"/>
    <w:rsid w:val="00FB74E2"/>
    <w:rsid w:val="00FB778B"/>
    <w:rsid w:val="00FD5614"/>
    <w:rsid w:val="00FD5E78"/>
    <w:rsid w:val="00FE018D"/>
    <w:rsid w:val="00FE0BE1"/>
    <w:rsid w:val="00FE11BB"/>
    <w:rsid w:val="00FE1DE9"/>
    <w:rsid w:val="00FE36AF"/>
    <w:rsid w:val="00FE39C2"/>
    <w:rsid w:val="00FE3C32"/>
    <w:rsid w:val="00FE64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5"/>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5"/>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5"/>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5"/>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5"/>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5"/>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7"/>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7"/>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7"/>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5B704A"/>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nhideWhenUsed/>
    <w:qFormat/>
    <w:rsid w:val="00DB5074"/>
    <w:pPr>
      <w:tabs>
        <w:tab w:val="left" w:pos="340"/>
      </w:tabs>
      <w:spacing w:before="120"/>
      <w:ind w:left="340"/>
    </w:pPr>
  </w:style>
  <w:style w:type="paragraph" w:styleId="ListContinue2">
    <w:name w:val="List Continue 2"/>
    <w:aliases w:val="AER body text (indent 2)"/>
    <w:basedOn w:val="Normal"/>
    <w:unhideWhenUsed/>
    <w:qFormat/>
    <w:rsid w:val="00567BA5"/>
    <w:pPr>
      <w:tabs>
        <w:tab w:val="left" w:pos="680"/>
      </w:tabs>
      <w:spacing w:before="120"/>
      <w:ind w:left="680"/>
    </w:pPr>
  </w:style>
  <w:style w:type="paragraph" w:styleId="ListContinue3">
    <w:name w:val="List Continue 3"/>
    <w:aliases w:val="AER body text (indent 3)"/>
    <w:basedOn w:val="Normal"/>
    <w:unhideWhenUsed/>
    <w:qFormat/>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1"/>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2"/>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3"/>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4"/>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6"/>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paragraph" w:styleId="NormalWeb">
    <w:name w:val="Normal (Web)"/>
    <w:basedOn w:val="Normal"/>
    <w:uiPriority w:val="99"/>
    <w:semiHidden/>
    <w:unhideWhenUsed/>
    <w:rsid w:val="00AD7A3A"/>
    <w:pPr>
      <w:spacing w:before="0" w:after="240" w:line="288" w:lineRule="auto"/>
      <w:jc w:val="both"/>
    </w:pPr>
    <w:rPr>
      <w:rFonts w:ascii="Times New Roman" w:eastAsia="Calibri" w:hAnsi="Times New Roman" w:cs="Times New Roman"/>
      <w:sz w:val="24"/>
      <w:szCs w:val="24"/>
    </w:rPr>
  </w:style>
  <w:style w:type="paragraph" w:styleId="PlainText">
    <w:name w:val="Plain Text"/>
    <w:basedOn w:val="Normal"/>
    <w:link w:val="PlainTextChar"/>
    <w:uiPriority w:val="99"/>
    <w:unhideWhenUsed/>
    <w:rsid w:val="00AD7A3A"/>
    <w:pPr>
      <w:spacing w:before="0" w:after="100" w:afterAutospacing="1" w:line="240" w:lineRule="auto"/>
    </w:pPr>
    <w:rPr>
      <w:rFonts w:ascii="Verdana" w:eastAsia="Times New Roman" w:hAnsi="Verdana" w:cs="Times New Roman"/>
      <w:sz w:val="24"/>
      <w:szCs w:val="24"/>
      <w:lang w:eastAsia="en-AU"/>
    </w:rPr>
  </w:style>
  <w:style w:type="character" w:customStyle="1" w:styleId="PlainTextChar">
    <w:name w:val="Plain Text Char"/>
    <w:basedOn w:val="DefaultParagraphFont"/>
    <w:link w:val="PlainText"/>
    <w:uiPriority w:val="99"/>
    <w:rsid w:val="00AD7A3A"/>
    <w:rPr>
      <w:rFonts w:ascii="Verdana" w:eastAsia="Times New Roman" w:hAnsi="Verdana" w:cs="Times New Roman"/>
      <w:sz w:val="24"/>
      <w:szCs w:val="24"/>
      <w:lang w:eastAsia="en-AU"/>
    </w:rPr>
  </w:style>
  <w:style w:type="paragraph" w:styleId="BodyText">
    <w:name w:val="Body Text"/>
    <w:basedOn w:val="Normal"/>
    <w:link w:val="BodyTextChar"/>
    <w:uiPriority w:val="99"/>
    <w:semiHidden/>
    <w:unhideWhenUsed/>
    <w:rsid w:val="00AD7A3A"/>
    <w:pPr>
      <w:spacing w:before="0" w:after="120" w:line="288" w:lineRule="auto"/>
      <w:jc w:val="both"/>
    </w:pPr>
    <w:rPr>
      <w:rFonts w:ascii="Gautami" w:eastAsia="Calibri" w:hAnsi="Gautami" w:cs="Times New Roman"/>
      <w:sz w:val="20"/>
      <w:szCs w:val="20"/>
    </w:rPr>
  </w:style>
  <w:style w:type="character" w:customStyle="1" w:styleId="BodyTextChar">
    <w:name w:val="Body Text Char"/>
    <w:basedOn w:val="DefaultParagraphFont"/>
    <w:link w:val="BodyText"/>
    <w:uiPriority w:val="99"/>
    <w:semiHidden/>
    <w:rsid w:val="00AD7A3A"/>
    <w:rPr>
      <w:rFonts w:ascii="Gautami" w:eastAsia="Calibri" w:hAnsi="Gautam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93786">
      <w:bodyDiv w:val="1"/>
      <w:marLeft w:val="0"/>
      <w:marRight w:val="0"/>
      <w:marTop w:val="0"/>
      <w:marBottom w:val="0"/>
      <w:divBdr>
        <w:top w:val="none" w:sz="0" w:space="0" w:color="auto"/>
        <w:left w:val="none" w:sz="0" w:space="0" w:color="auto"/>
        <w:bottom w:val="none" w:sz="0" w:space="0" w:color="auto"/>
        <w:right w:val="none" w:sz="0" w:space="0" w:color="auto"/>
      </w:divBdr>
    </w:div>
    <w:div w:id="215823670">
      <w:bodyDiv w:val="1"/>
      <w:marLeft w:val="0"/>
      <w:marRight w:val="0"/>
      <w:marTop w:val="0"/>
      <w:marBottom w:val="0"/>
      <w:divBdr>
        <w:top w:val="none" w:sz="0" w:space="0" w:color="auto"/>
        <w:left w:val="none" w:sz="0" w:space="0" w:color="auto"/>
        <w:bottom w:val="none" w:sz="0" w:space="0" w:color="auto"/>
        <w:right w:val="none" w:sz="0" w:space="0" w:color="auto"/>
      </w:divBdr>
    </w:div>
    <w:div w:id="456605257">
      <w:bodyDiv w:val="1"/>
      <w:marLeft w:val="0"/>
      <w:marRight w:val="0"/>
      <w:marTop w:val="0"/>
      <w:marBottom w:val="0"/>
      <w:divBdr>
        <w:top w:val="none" w:sz="0" w:space="0" w:color="auto"/>
        <w:left w:val="none" w:sz="0" w:space="0" w:color="auto"/>
        <w:bottom w:val="none" w:sz="0" w:space="0" w:color="auto"/>
        <w:right w:val="none" w:sz="0" w:space="0" w:color="auto"/>
      </w:divBdr>
    </w:div>
    <w:div w:id="488448612">
      <w:bodyDiv w:val="1"/>
      <w:marLeft w:val="0"/>
      <w:marRight w:val="0"/>
      <w:marTop w:val="0"/>
      <w:marBottom w:val="0"/>
      <w:divBdr>
        <w:top w:val="none" w:sz="0" w:space="0" w:color="auto"/>
        <w:left w:val="none" w:sz="0" w:space="0" w:color="auto"/>
        <w:bottom w:val="none" w:sz="0" w:space="0" w:color="auto"/>
        <w:right w:val="none" w:sz="0" w:space="0" w:color="auto"/>
      </w:divBdr>
    </w:div>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834535643">
      <w:bodyDiv w:val="1"/>
      <w:marLeft w:val="0"/>
      <w:marRight w:val="0"/>
      <w:marTop w:val="0"/>
      <w:marBottom w:val="0"/>
      <w:divBdr>
        <w:top w:val="none" w:sz="0" w:space="0" w:color="auto"/>
        <w:left w:val="none" w:sz="0" w:space="0" w:color="auto"/>
        <w:bottom w:val="none" w:sz="0" w:space="0" w:color="auto"/>
        <w:right w:val="none" w:sz="0" w:space="0" w:color="auto"/>
      </w:divBdr>
    </w:div>
    <w:div w:id="983241265">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97440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5.emf"/><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yperlink" Target="mailto:AERInquiry@aer.gov.au" TargetMode="Externa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93927D-0AE2-45BA-B1F7-5A075A50F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67A3961B</Template>
  <TotalTime>0</TotalTime>
  <Pages>18</Pages>
  <Words>4414</Words>
  <Characters>25166</Characters>
  <Application>Microsoft Office Word</Application>
  <DocSecurity>0</DocSecurity>
  <Lines>209</Lines>
  <Paragraphs>59</Paragraphs>
  <ScaleCrop>false</ScaleCrop>
  <LinksUpToDate>false</LinksUpToDate>
  <CharactersWithSpaces>29521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2016-05-20T08:30:00Z</dcterms:created>
  <dcterms:modified xsi:type="dcterms:W3CDTF">2016-05-20T08:31:00Z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URI">
    <vt:lpwstr>8589672</vt:lpwstr>
  </property>
</Properties>
</file>