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0606D775" wp14:editId="4F844D03">
                <wp:simplePos x="0" y="0"/>
                <wp:positionH relativeFrom="column">
                  <wp:posOffset>-1116965</wp:posOffset>
                </wp:positionH>
                <wp:positionV relativeFrom="paragraph">
                  <wp:posOffset>-997406</wp:posOffset>
                </wp:positionV>
                <wp:extent cx="7734300" cy="10927003"/>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734300" cy="10927003"/>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218B5E0F" wp14:editId="7AA4237D">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DB4E34">
            <w:t>FINAL</w:t>
          </w:r>
          <w:r w:rsidR="00DA4752">
            <w:t xml:space="preserve"> DECISION</w:t>
          </w:r>
        </w:p>
        <w:p w:rsidR="00415F31" w:rsidRDefault="005B25D2" w:rsidP="008F07A3">
          <w:pPr>
            <w:pStyle w:val="ReportSubtitle"/>
          </w:pPr>
          <w:r>
            <w:t>CitiPower</w:t>
          </w:r>
          <w:r w:rsidR="004523B2">
            <w:t xml:space="preserve"> distribution</w:t>
          </w:r>
          <w:r w:rsidR="00415F31">
            <w:t xml:space="preserve"> </w:t>
          </w:r>
          <w:r w:rsidR="00DA4752">
            <w:t>determination</w:t>
          </w:r>
        </w:p>
        <w:p w:rsidR="000A6C7B" w:rsidRDefault="00DA4752" w:rsidP="008F07A3">
          <w:pPr>
            <w:pStyle w:val="ReportSubtitle"/>
          </w:pPr>
          <w:r>
            <w:t xml:space="preserve"> </w:t>
          </w:r>
          <w:r w:rsidR="00DB4E34">
            <w:t>2016 to 2020</w:t>
          </w:r>
        </w:p>
        <w:p w:rsidR="008F07A3" w:rsidRPr="000A6C7B" w:rsidRDefault="008F07A3" w:rsidP="008F07A3">
          <w:pPr>
            <w:pStyle w:val="ReportSubtitle"/>
          </w:pPr>
        </w:p>
        <w:p w:rsidR="000A6C7B" w:rsidRDefault="0037699E" w:rsidP="008F07A3">
          <w:pPr>
            <w:pStyle w:val="ReportSubtitle"/>
          </w:pPr>
          <w:r>
            <w:t xml:space="preserve">Attachment </w:t>
          </w:r>
          <w:r w:rsidR="003F2346">
            <w:t>2</w:t>
          </w:r>
          <w:r w:rsidR="000474DF">
            <w:t xml:space="preserve"> </w:t>
          </w:r>
          <w:r w:rsidR="00185BA5">
            <w:t>–</w:t>
          </w:r>
          <w:r w:rsidR="000474DF">
            <w:t xml:space="preserve"> </w:t>
          </w:r>
          <w:r w:rsidR="000F65B0">
            <w:t>R</w:t>
          </w:r>
          <w:r w:rsidR="003F2346">
            <w:t>egulatory asset base</w:t>
          </w:r>
        </w:p>
        <w:p w:rsidR="000A6C7B" w:rsidRPr="00327A1E" w:rsidRDefault="00390650" w:rsidP="00327A1E">
          <w:pPr>
            <w:pStyle w:val="ReportDate"/>
          </w:pPr>
          <w:r>
            <w:t xml:space="preserve">May </w:t>
          </w:r>
          <w:r w:rsidR="00DB4E34">
            <w:t>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51285095"/>
      <w:r>
        <w:lastRenderedPageBreak/>
        <w:t>Note</w:t>
      </w:r>
      <w:bookmarkEnd w:id="2"/>
      <w:bookmarkEnd w:id="3"/>
      <w:bookmarkEnd w:id="4"/>
    </w:p>
    <w:p w:rsidR="00761454" w:rsidRDefault="00761454" w:rsidP="00761454">
      <w:pPr>
        <w:numPr>
          <w:ilvl w:val="0"/>
          <w:numId w:val="24"/>
        </w:numPr>
      </w:pPr>
      <w:r>
        <w:t xml:space="preserve">This </w:t>
      </w:r>
      <w:r w:rsidR="00390650">
        <w:t xml:space="preserve">attachment </w:t>
      </w:r>
      <w:r>
        <w:t xml:space="preserve">forms part of the AER's </w:t>
      </w:r>
      <w:r w:rsidR="00DB4E34">
        <w:t>final</w:t>
      </w:r>
      <w:r w:rsidR="000474DF">
        <w:t xml:space="preserve"> </w:t>
      </w:r>
      <w:r>
        <w:t xml:space="preserve">decision on </w:t>
      </w:r>
      <w:r w:rsidR="005B25D2">
        <w:t>CitiPower</w:t>
      </w:r>
      <w:r w:rsidR="004523B2">
        <w:t xml:space="preserve"> distribution</w:t>
      </w:r>
      <w:r>
        <w:t xml:space="preserve"> determination for 201</w:t>
      </w:r>
      <w:r w:rsidR="00C75E3E">
        <w:t>6</w:t>
      </w:r>
      <w:r w:rsidRPr="00F02D30">
        <w:t>–</w:t>
      </w:r>
      <w:r w:rsidR="00C75E3E">
        <w:t>20</w:t>
      </w:r>
      <w:r>
        <w:t xml:space="preserve">. It should be read with </w:t>
      </w:r>
      <w:r w:rsidR="000474DF">
        <w:t xml:space="preserve">all </w:t>
      </w:r>
      <w:r>
        <w:t xml:space="preserve">other parts of the </w:t>
      </w:r>
      <w:r w:rsidR="00DB4E34">
        <w:t>final</w:t>
      </w:r>
      <w:r>
        <w:t xml:space="preserve"> decision.</w:t>
      </w:r>
    </w:p>
    <w:p w:rsidR="00761454" w:rsidRDefault="00761454" w:rsidP="00761454">
      <w:pPr>
        <w:numPr>
          <w:ilvl w:val="0"/>
          <w:numId w:val="24"/>
        </w:numPr>
      </w:pPr>
      <w:r>
        <w:t xml:space="preserve">The </w:t>
      </w:r>
      <w:r w:rsidR="00DB4E34">
        <w:t>final</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 xml:space="preserve">Attachment 18 – </w:t>
      </w:r>
      <w:r w:rsidR="00DB4E34">
        <w:t>f-factor scheme</w:t>
      </w:r>
    </w:p>
    <w:p w:rsidR="004523B2" w:rsidRPr="00F02D30" w:rsidRDefault="004523B2" w:rsidP="00761454">
      <w:pPr>
        <w:numPr>
          <w:ilvl w:val="0"/>
          <w:numId w:val="24"/>
        </w:numPr>
      </w:pP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51285096"/>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D37F48"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51285095" w:history="1">
            <w:r w:rsidR="00D37F48" w:rsidRPr="007A3072">
              <w:rPr>
                <w:rStyle w:val="Hyperlink"/>
              </w:rPr>
              <w:t>Note</w:t>
            </w:r>
            <w:r w:rsidR="00D37F48">
              <w:rPr>
                <w:webHidden/>
              </w:rPr>
              <w:tab/>
            </w:r>
            <w:r w:rsidR="00D37F48">
              <w:rPr>
                <w:webHidden/>
              </w:rPr>
              <w:fldChar w:fldCharType="begin"/>
            </w:r>
            <w:r w:rsidR="00D37F48">
              <w:rPr>
                <w:webHidden/>
              </w:rPr>
              <w:instrText xml:space="preserve"> PAGEREF _Toc451285095 \h </w:instrText>
            </w:r>
            <w:r w:rsidR="00D37F48">
              <w:rPr>
                <w:webHidden/>
              </w:rPr>
            </w:r>
            <w:r w:rsidR="00D37F48">
              <w:rPr>
                <w:webHidden/>
              </w:rPr>
              <w:fldChar w:fldCharType="separate"/>
            </w:r>
            <w:r w:rsidR="00D37F48">
              <w:rPr>
                <w:webHidden/>
              </w:rPr>
              <w:t>2-2</w:t>
            </w:r>
            <w:r w:rsidR="00D37F48">
              <w:rPr>
                <w:webHidden/>
              </w:rPr>
              <w:fldChar w:fldCharType="end"/>
            </w:r>
          </w:hyperlink>
        </w:p>
        <w:p w:rsidR="00D37F48" w:rsidRDefault="001159D5">
          <w:pPr>
            <w:pStyle w:val="TOC1"/>
            <w:rPr>
              <w:rFonts w:asciiTheme="minorHAnsi" w:eastAsiaTheme="minorEastAsia" w:hAnsiTheme="minorHAnsi"/>
              <w:b w:val="0"/>
              <w:color w:val="auto"/>
              <w:sz w:val="22"/>
              <w:lang w:val="en-AU" w:eastAsia="en-AU"/>
            </w:rPr>
          </w:pPr>
          <w:hyperlink w:anchor="_Toc451285096" w:history="1">
            <w:r w:rsidR="00D37F48" w:rsidRPr="007A3072">
              <w:rPr>
                <w:rStyle w:val="Hyperlink"/>
              </w:rPr>
              <w:t>Contents</w:t>
            </w:r>
            <w:r w:rsidR="00D37F48">
              <w:rPr>
                <w:webHidden/>
              </w:rPr>
              <w:tab/>
            </w:r>
            <w:r w:rsidR="00D37F48">
              <w:rPr>
                <w:webHidden/>
              </w:rPr>
              <w:fldChar w:fldCharType="begin"/>
            </w:r>
            <w:r w:rsidR="00D37F48">
              <w:rPr>
                <w:webHidden/>
              </w:rPr>
              <w:instrText xml:space="preserve"> PAGEREF _Toc451285096 \h </w:instrText>
            </w:r>
            <w:r w:rsidR="00D37F48">
              <w:rPr>
                <w:webHidden/>
              </w:rPr>
            </w:r>
            <w:r w:rsidR="00D37F48">
              <w:rPr>
                <w:webHidden/>
              </w:rPr>
              <w:fldChar w:fldCharType="separate"/>
            </w:r>
            <w:r w:rsidR="00D37F48">
              <w:rPr>
                <w:webHidden/>
              </w:rPr>
              <w:t>2-3</w:t>
            </w:r>
            <w:r w:rsidR="00D37F48">
              <w:rPr>
                <w:webHidden/>
              </w:rPr>
              <w:fldChar w:fldCharType="end"/>
            </w:r>
          </w:hyperlink>
        </w:p>
        <w:p w:rsidR="00D37F48" w:rsidRDefault="001159D5">
          <w:pPr>
            <w:pStyle w:val="TOC1"/>
            <w:rPr>
              <w:rFonts w:asciiTheme="minorHAnsi" w:eastAsiaTheme="minorEastAsia" w:hAnsiTheme="minorHAnsi"/>
              <w:b w:val="0"/>
              <w:color w:val="auto"/>
              <w:sz w:val="22"/>
              <w:lang w:val="en-AU" w:eastAsia="en-AU"/>
            </w:rPr>
          </w:pPr>
          <w:hyperlink w:anchor="_Toc451285097" w:history="1">
            <w:r w:rsidR="00D37F48" w:rsidRPr="007A3072">
              <w:rPr>
                <w:rStyle w:val="Hyperlink"/>
              </w:rPr>
              <w:t>Shortened forms</w:t>
            </w:r>
            <w:r w:rsidR="00D37F48">
              <w:rPr>
                <w:webHidden/>
              </w:rPr>
              <w:tab/>
            </w:r>
            <w:r w:rsidR="00D37F48">
              <w:rPr>
                <w:webHidden/>
              </w:rPr>
              <w:fldChar w:fldCharType="begin"/>
            </w:r>
            <w:r w:rsidR="00D37F48">
              <w:rPr>
                <w:webHidden/>
              </w:rPr>
              <w:instrText xml:space="preserve"> PAGEREF _Toc451285097 \h </w:instrText>
            </w:r>
            <w:r w:rsidR="00D37F48">
              <w:rPr>
                <w:webHidden/>
              </w:rPr>
            </w:r>
            <w:r w:rsidR="00D37F48">
              <w:rPr>
                <w:webHidden/>
              </w:rPr>
              <w:fldChar w:fldCharType="separate"/>
            </w:r>
            <w:r w:rsidR="00D37F48">
              <w:rPr>
                <w:webHidden/>
              </w:rPr>
              <w:t>2-4</w:t>
            </w:r>
            <w:r w:rsidR="00D37F48">
              <w:rPr>
                <w:webHidden/>
              </w:rPr>
              <w:fldChar w:fldCharType="end"/>
            </w:r>
          </w:hyperlink>
        </w:p>
        <w:p w:rsidR="00D37F48" w:rsidRDefault="001159D5">
          <w:pPr>
            <w:pStyle w:val="TOC1"/>
            <w:rPr>
              <w:rFonts w:asciiTheme="minorHAnsi" w:eastAsiaTheme="minorEastAsia" w:hAnsiTheme="minorHAnsi"/>
              <w:b w:val="0"/>
              <w:color w:val="auto"/>
              <w:sz w:val="22"/>
              <w:lang w:val="en-AU" w:eastAsia="en-AU"/>
            </w:rPr>
          </w:pPr>
          <w:hyperlink w:anchor="_Toc451285098" w:history="1">
            <w:r w:rsidR="00D37F48" w:rsidRPr="007A3072">
              <w:rPr>
                <w:rStyle w:val="Hyperlink"/>
              </w:rPr>
              <w:t>2</w:t>
            </w:r>
            <w:r w:rsidR="00D37F48">
              <w:rPr>
                <w:rFonts w:asciiTheme="minorHAnsi" w:eastAsiaTheme="minorEastAsia" w:hAnsiTheme="minorHAnsi"/>
                <w:b w:val="0"/>
                <w:color w:val="auto"/>
                <w:sz w:val="22"/>
                <w:lang w:val="en-AU" w:eastAsia="en-AU"/>
              </w:rPr>
              <w:tab/>
            </w:r>
            <w:r w:rsidR="00D37F48" w:rsidRPr="007A3072">
              <w:rPr>
                <w:rStyle w:val="Hyperlink"/>
              </w:rPr>
              <w:t>Regulatory asset base</w:t>
            </w:r>
            <w:r w:rsidR="00D37F48">
              <w:rPr>
                <w:webHidden/>
              </w:rPr>
              <w:tab/>
            </w:r>
            <w:r w:rsidR="00D37F48">
              <w:rPr>
                <w:webHidden/>
              </w:rPr>
              <w:fldChar w:fldCharType="begin"/>
            </w:r>
            <w:r w:rsidR="00D37F48">
              <w:rPr>
                <w:webHidden/>
              </w:rPr>
              <w:instrText xml:space="preserve"> PAGEREF _Toc451285098 \h </w:instrText>
            </w:r>
            <w:r w:rsidR="00D37F48">
              <w:rPr>
                <w:webHidden/>
              </w:rPr>
            </w:r>
            <w:r w:rsidR="00D37F48">
              <w:rPr>
                <w:webHidden/>
              </w:rPr>
              <w:fldChar w:fldCharType="separate"/>
            </w:r>
            <w:r w:rsidR="00D37F48">
              <w:rPr>
                <w:webHidden/>
              </w:rPr>
              <w:t>2-6</w:t>
            </w:r>
            <w:r w:rsidR="00D37F48">
              <w:rPr>
                <w:webHidden/>
              </w:rPr>
              <w:fldChar w:fldCharType="end"/>
            </w:r>
          </w:hyperlink>
        </w:p>
        <w:p w:rsidR="00D37F48" w:rsidRDefault="001159D5">
          <w:pPr>
            <w:pStyle w:val="TOC2"/>
            <w:rPr>
              <w:rFonts w:asciiTheme="minorHAnsi" w:eastAsiaTheme="minorEastAsia" w:hAnsiTheme="minorHAnsi"/>
              <w:b w:val="0"/>
              <w:color w:val="auto"/>
              <w:sz w:val="22"/>
              <w:lang w:eastAsia="en-AU"/>
            </w:rPr>
          </w:pPr>
          <w:hyperlink w:anchor="_Toc451285099" w:history="1">
            <w:r w:rsidR="00D37F48" w:rsidRPr="007A3072">
              <w:rPr>
                <w:rStyle w:val="Hyperlink"/>
              </w:rPr>
              <w:t>2.1</w:t>
            </w:r>
            <w:r w:rsidR="00D37F48">
              <w:rPr>
                <w:rFonts w:asciiTheme="minorHAnsi" w:eastAsiaTheme="minorEastAsia" w:hAnsiTheme="minorHAnsi"/>
                <w:b w:val="0"/>
                <w:color w:val="auto"/>
                <w:sz w:val="22"/>
                <w:lang w:eastAsia="en-AU"/>
              </w:rPr>
              <w:tab/>
            </w:r>
            <w:r w:rsidR="00D37F48" w:rsidRPr="007A3072">
              <w:rPr>
                <w:rStyle w:val="Hyperlink"/>
              </w:rPr>
              <w:t>Final decision</w:t>
            </w:r>
            <w:r w:rsidR="00D37F48">
              <w:rPr>
                <w:webHidden/>
              </w:rPr>
              <w:tab/>
            </w:r>
            <w:r w:rsidR="00D37F48">
              <w:rPr>
                <w:webHidden/>
              </w:rPr>
              <w:fldChar w:fldCharType="begin"/>
            </w:r>
            <w:r w:rsidR="00D37F48">
              <w:rPr>
                <w:webHidden/>
              </w:rPr>
              <w:instrText xml:space="preserve"> PAGEREF _Toc451285099 \h </w:instrText>
            </w:r>
            <w:r w:rsidR="00D37F48">
              <w:rPr>
                <w:webHidden/>
              </w:rPr>
            </w:r>
            <w:r w:rsidR="00D37F48">
              <w:rPr>
                <w:webHidden/>
              </w:rPr>
              <w:fldChar w:fldCharType="separate"/>
            </w:r>
            <w:r w:rsidR="00D37F48">
              <w:rPr>
                <w:webHidden/>
              </w:rPr>
              <w:t>2-6</w:t>
            </w:r>
            <w:r w:rsidR="00D37F48">
              <w:rPr>
                <w:webHidden/>
              </w:rPr>
              <w:fldChar w:fldCharType="end"/>
            </w:r>
          </w:hyperlink>
        </w:p>
        <w:p w:rsidR="00D37F48" w:rsidRDefault="001159D5">
          <w:pPr>
            <w:pStyle w:val="TOC2"/>
            <w:rPr>
              <w:rFonts w:asciiTheme="minorHAnsi" w:eastAsiaTheme="minorEastAsia" w:hAnsiTheme="minorHAnsi"/>
              <w:b w:val="0"/>
              <w:color w:val="auto"/>
              <w:sz w:val="22"/>
              <w:lang w:eastAsia="en-AU"/>
            </w:rPr>
          </w:pPr>
          <w:hyperlink w:anchor="_Toc451285100" w:history="1">
            <w:r w:rsidR="00D37F48" w:rsidRPr="007A3072">
              <w:rPr>
                <w:rStyle w:val="Hyperlink"/>
              </w:rPr>
              <w:t>2.2</w:t>
            </w:r>
            <w:r w:rsidR="00D37F48">
              <w:rPr>
                <w:rFonts w:asciiTheme="minorHAnsi" w:eastAsiaTheme="minorEastAsia" w:hAnsiTheme="minorHAnsi"/>
                <w:b w:val="0"/>
                <w:color w:val="auto"/>
                <w:sz w:val="22"/>
                <w:lang w:eastAsia="en-AU"/>
              </w:rPr>
              <w:tab/>
            </w:r>
            <w:r w:rsidR="00D37F48" w:rsidRPr="007A3072">
              <w:rPr>
                <w:rStyle w:val="Hyperlink"/>
              </w:rPr>
              <w:t>CitiPower's revised proposal</w:t>
            </w:r>
            <w:r w:rsidR="00D37F48">
              <w:rPr>
                <w:webHidden/>
              </w:rPr>
              <w:tab/>
            </w:r>
            <w:r w:rsidR="00D37F48">
              <w:rPr>
                <w:webHidden/>
              </w:rPr>
              <w:fldChar w:fldCharType="begin"/>
            </w:r>
            <w:r w:rsidR="00D37F48">
              <w:rPr>
                <w:webHidden/>
              </w:rPr>
              <w:instrText xml:space="preserve"> PAGEREF _Toc451285100 \h </w:instrText>
            </w:r>
            <w:r w:rsidR="00D37F48">
              <w:rPr>
                <w:webHidden/>
              </w:rPr>
            </w:r>
            <w:r w:rsidR="00D37F48">
              <w:rPr>
                <w:webHidden/>
              </w:rPr>
              <w:fldChar w:fldCharType="separate"/>
            </w:r>
            <w:r w:rsidR="00D37F48">
              <w:rPr>
                <w:webHidden/>
              </w:rPr>
              <w:t>2-8</w:t>
            </w:r>
            <w:r w:rsidR="00D37F48">
              <w:rPr>
                <w:webHidden/>
              </w:rPr>
              <w:fldChar w:fldCharType="end"/>
            </w:r>
          </w:hyperlink>
        </w:p>
        <w:p w:rsidR="00D37F48" w:rsidRDefault="001159D5">
          <w:pPr>
            <w:pStyle w:val="TOC2"/>
            <w:rPr>
              <w:rFonts w:asciiTheme="minorHAnsi" w:eastAsiaTheme="minorEastAsia" w:hAnsiTheme="minorHAnsi"/>
              <w:b w:val="0"/>
              <w:color w:val="auto"/>
              <w:sz w:val="22"/>
              <w:lang w:eastAsia="en-AU"/>
            </w:rPr>
          </w:pPr>
          <w:hyperlink w:anchor="_Toc451285101" w:history="1">
            <w:r w:rsidR="00D37F48" w:rsidRPr="007A3072">
              <w:rPr>
                <w:rStyle w:val="Hyperlink"/>
              </w:rPr>
              <w:t>2.3</w:t>
            </w:r>
            <w:r w:rsidR="00D37F48">
              <w:rPr>
                <w:rFonts w:asciiTheme="minorHAnsi" w:eastAsiaTheme="minorEastAsia" w:hAnsiTheme="minorHAnsi"/>
                <w:b w:val="0"/>
                <w:color w:val="auto"/>
                <w:sz w:val="22"/>
                <w:lang w:eastAsia="en-AU"/>
              </w:rPr>
              <w:tab/>
            </w:r>
            <w:r w:rsidR="00D37F48" w:rsidRPr="007A3072">
              <w:rPr>
                <w:rStyle w:val="Hyperlink"/>
              </w:rPr>
              <w:t>Assessment approach</w:t>
            </w:r>
            <w:r w:rsidR="00D37F48">
              <w:rPr>
                <w:webHidden/>
              </w:rPr>
              <w:tab/>
            </w:r>
            <w:r w:rsidR="00D37F48">
              <w:rPr>
                <w:webHidden/>
              </w:rPr>
              <w:fldChar w:fldCharType="begin"/>
            </w:r>
            <w:r w:rsidR="00D37F48">
              <w:rPr>
                <w:webHidden/>
              </w:rPr>
              <w:instrText xml:space="preserve"> PAGEREF _Toc451285101 \h </w:instrText>
            </w:r>
            <w:r w:rsidR="00D37F48">
              <w:rPr>
                <w:webHidden/>
              </w:rPr>
            </w:r>
            <w:r w:rsidR="00D37F48">
              <w:rPr>
                <w:webHidden/>
              </w:rPr>
              <w:fldChar w:fldCharType="separate"/>
            </w:r>
            <w:r w:rsidR="00D37F48">
              <w:rPr>
                <w:webHidden/>
              </w:rPr>
              <w:t>2-9</w:t>
            </w:r>
            <w:r w:rsidR="00D37F48">
              <w:rPr>
                <w:webHidden/>
              </w:rPr>
              <w:fldChar w:fldCharType="end"/>
            </w:r>
          </w:hyperlink>
        </w:p>
        <w:p w:rsidR="00D37F48" w:rsidRDefault="001159D5">
          <w:pPr>
            <w:pStyle w:val="TOC2"/>
            <w:rPr>
              <w:rFonts w:asciiTheme="minorHAnsi" w:eastAsiaTheme="minorEastAsia" w:hAnsiTheme="minorHAnsi"/>
              <w:b w:val="0"/>
              <w:color w:val="auto"/>
              <w:sz w:val="22"/>
              <w:lang w:eastAsia="en-AU"/>
            </w:rPr>
          </w:pPr>
          <w:hyperlink w:anchor="_Toc451285102" w:history="1">
            <w:r w:rsidR="00D37F48" w:rsidRPr="007A3072">
              <w:rPr>
                <w:rStyle w:val="Hyperlink"/>
              </w:rPr>
              <w:t>2.4</w:t>
            </w:r>
            <w:r w:rsidR="00D37F48">
              <w:rPr>
                <w:rFonts w:asciiTheme="minorHAnsi" w:eastAsiaTheme="minorEastAsia" w:hAnsiTheme="minorHAnsi"/>
                <w:b w:val="0"/>
                <w:color w:val="auto"/>
                <w:sz w:val="22"/>
                <w:lang w:eastAsia="en-AU"/>
              </w:rPr>
              <w:tab/>
            </w:r>
            <w:r w:rsidR="00D37F48" w:rsidRPr="007A3072">
              <w:rPr>
                <w:rStyle w:val="Hyperlink"/>
              </w:rPr>
              <w:t>Reasons for final decision</w:t>
            </w:r>
            <w:r w:rsidR="00D37F48">
              <w:rPr>
                <w:webHidden/>
              </w:rPr>
              <w:tab/>
            </w:r>
            <w:r w:rsidR="00D37F48">
              <w:rPr>
                <w:webHidden/>
              </w:rPr>
              <w:fldChar w:fldCharType="begin"/>
            </w:r>
            <w:r w:rsidR="00D37F48">
              <w:rPr>
                <w:webHidden/>
              </w:rPr>
              <w:instrText xml:space="preserve"> PAGEREF _Toc451285102 \h </w:instrText>
            </w:r>
            <w:r w:rsidR="00D37F48">
              <w:rPr>
                <w:webHidden/>
              </w:rPr>
            </w:r>
            <w:r w:rsidR="00D37F48">
              <w:rPr>
                <w:webHidden/>
              </w:rPr>
              <w:fldChar w:fldCharType="separate"/>
            </w:r>
            <w:r w:rsidR="00D37F48">
              <w:rPr>
                <w:webHidden/>
              </w:rPr>
              <w:t>2-9</w:t>
            </w:r>
            <w:r w:rsidR="00D37F48">
              <w:rPr>
                <w:webHidden/>
              </w:rPr>
              <w:fldChar w:fldCharType="end"/>
            </w:r>
          </w:hyperlink>
        </w:p>
        <w:p w:rsidR="00D37F48" w:rsidRDefault="001159D5">
          <w:pPr>
            <w:pStyle w:val="TOC3"/>
            <w:rPr>
              <w:rFonts w:asciiTheme="minorHAnsi" w:eastAsiaTheme="minorEastAsia" w:hAnsiTheme="minorHAnsi"/>
              <w:lang w:eastAsia="en-AU"/>
            </w:rPr>
          </w:pPr>
          <w:hyperlink w:anchor="_Toc451285103" w:history="1">
            <w:r w:rsidR="00D37F48" w:rsidRPr="007A3072">
              <w:rPr>
                <w:rStyle w:val="Hyperlink"/>
              </w:rPr>
              <w:t>2.4.1</w:t>
            </w:r>
            <w:r w:rsidR="00D37F48">
              <w:rPr>
                <w:rFonts w:asciiTheme="minorHAnsi" w:eastAsiaTheme="minorEastAsia" w:hAnsiTheme="minorHAnsi"/>
                <w:lang w:eastAsia="en-AU"/>
              </w:rPr>
              <w:tab/>
            </w:r>
            <w:r w:rsidR="00D37F48" w:rsidRPr="007A3072">
              <w:rPr>
                <w:rStyle w:val="Hyperlink"/>
              </w:rPr>
              <w:t>Opening RAB as at 1 January 2016</w:t>
            </w:r>
            <w:r w:rsidR="00D37F48">
              <w:rPr>
                <w:webHidden/>
              </w:rPr>
              <w:tab/>
            </w:r>
            <w:r w:rsidR="00D37F48">
              <w:rPr>
                <w:webHidden/>
              </w:rPr>
              <w:fldChar w:fldCharType="begin"/>
            </w:r>
            <w:r w:rsidR="00D37F48">
              <w:rPr>
                <w:webHidden/>
              </w:rPr>
              <w:instrText xml:space="preserve"> PAGEREF _Toc451285103 \h </w:instrText>
            </w:r>
            <w:r w:rsidR="00D37F48">
              <w:rPr>
                <w:webHidden/>
              </w:rPr>
            </w:r>
            <w:r w:rsidR="00D37F48">
              <w:rPr>
                <w:webHidden/>
              </w:rPr>
              <w:fldChar w:fldCharType="separate"/>
            </w:r>
            <w:r w:rsidR="00D37F48">
              <w:rPr>
                <w:webHidden/>
              </w:rPr>
              <w:t>2-10</w:t>
            </w:r>
            <w:r w:rsidR="00D37F48">
              <w:rPr>
                <w:webHidden/>
              </w:rPr>
              <w:fldChar w:fldCharType="end"/>
            </w:r>
          </w:hyperlink>
        </w:p>
        <w:p w:rsidR="00D37F48" w:rsidRDefault="001159D5">
          <w:pPr>
            <w:pStyle w:val="TOC3"/>
            <w:rPr>
              <w:rFonts w:asciiTheme="minorHAnsi" w:eastAsiaTheme="minorEastAsia" w:hAnsiTheme="minorHAnsi"/>
              <w:lang w:eastAsia="en-AU"/>
            </w:rPr>
          </w:pPr>
          <w:hyperlink w:anchor="_Toc451285104" w:history="1">
            <w:r w:rsidR="00D37F48" w:rsidRPr="007A3072">
              <w:rPr>
                <w:rStyle w:val="Hyperlink"/>
              </w:rPr>
              <w:t>2.4.2</w:t>
            </w:r>
            <w:r w:rsidR="00D37F48">
              <w:rPr>
                <w:rFonts w:asciiTheme="minorHAnsi" w:eastAsiaTheme="minorEastAsia" w:hAnsiTheme="minorHAnsi"/>
                <w:lang w:eastAsia="en-AU"/>
              </w:rPr>
              <w:tab/>
            </w:r>
            <w:r w:rsidR="00D37F48" w:rsidRPr="007A3072">
              <w:rPr>
                <w:rStyle w:val="Hyperlink"/>
              </w:rPr>
              <w:t>Forecast closing RAB as at 31 December 2020</w:t>
            </w:r>
            <w:r w:rsidR="00D37F48">
              <w:rPr>
                <w:webHidden/>
              </w:rPr>
              <w:tab/>
            </w:r>
            <w:r w:rsidR="00D37F48">
              <w:rPr>
                <w:webHidden/>
              </w:rPr>
              <w:fldChar w:fldCharType="begin"/>
            </w:r>
            <w:r w:rsidR="00D37F48">
              <w:rPr>
                <w:webHidden/>
              </w:rPr>
              <w:instrText xml:space="preserve"> PAGEREF _Toc451285104 \h </w:instrText>
            </w:r>
            <w:r w:rsidR="00D37F48">
              <w:rPr>
                <w:webHidden/>
              </w:rPr>
            </w:r>
            <w:r w:rsidR="00D37F48">
              <w:rPr>
                <w:webHidden/>
              </w:rPr>
              <w:fldChar w:fldCharType="separate"/>
            </w:r>
            <w:r w:rsidR="00D37F48">
              <w:rPr>
                <w:webHidden/>
              </w:rPr>
              <w:t>2-13</w:t>
            </w:r>
            <w:r w:rsidR="00D37F48">
              <w:rPr>
                <w:webHidden/>
              </w:rPr>
              <w:fldChar w:fldCharType="end"/>
            </w:r>
          </w:hyperlink>
        </w:p>
        <w:p w:rsidR="00D37F48" w:rsidRDefault="001159D5">
          <w:pPr>
            <w:pStyle w:val="TOC3"/>
            <w:rPr>
              <w:rFonts w:asciiTheme="minorHAnsi" w:eastAsiaTheme="minorEastAsia" w:hAnsiTheme="minorHAnsi"/>
              <w:lang w:eastAsia="en-AU"/>
            </w:rPr>
          </w:pPr>
          <w:hyperlink w:anchor="_Toc451285105" w:history="1">
            <w:r w:rsidR="00D37F48" w:rsidRPr="007A3072">
              <w:rPr>
                <w:rStyle w:val="Hyperlink"/>
              </w:rPr>
              <w:t>2.4.3</w:t>
            </w:r>
            <w:r w:rsidR="00D37F48">
              <w:rPr>
                <w:rFonts w:asciiTheme="minorHAnsi" w:eastAsiaTheme="minorEastAsia" w:hAnsiTheme="minorHAnsi"/>
                <w:lang w:eastAsia="en-AU"/>
              </w:rPr>
              <w:tab/>
            </w:r>
            <w:r w:rsidR="00D37F48" w:rsidRPr="007A3072">
              <w:rPr>
                <w:rStyle w:val="Hyperlink"/>
              </w:rPr>
              <w:t>Application of depreciation approach in RAB roll forward for next reset</w:t>
            </w:r>
            <w:r w:rsidR="00D37F48">
              <w:rPr>
                <w:webHidden/>
              </w:rPr>
              <w:tab/>
            </w:r>
            <w:r w:rsidR="00D37F48">
              <w:rPr>
                <w:webHidden/>
              </w:rPr>
              <w:tab/>
            </w:r>
            <w:r w:rsidR="00D37F48">
              <w:rPr>
                <w:webHidden/>
              </w:rPr>
              <w:fldChar w:fldCharType="begin"/>
            </w:r>
            <w:r w:rsidR="00D37F48">
              <w:rPr>
                <w:webHidden/>
              </w:rPr>
              <w:instrText xml:space="preserve"> PAGEREF _Toc451285105 \h </w:instrText>
            </w:r>
            <w:r w:rsidR="00D37F48">
              <w:rPr>
                <w:webHidden/>
              </w:rPr>
            </w:r>
            <w:r w:rsidR="00D37F48">
              <w:rPr>
                <w:webHidden/>
              </w:rPr>
              <w:fldChar w:fldCharType="separate"/>
            </w:r>
            <w:r w:rsidR="00D37F48">
              <w:rPr>
                <w:webHidden/>
              </w:rPr>
              <w:t>2-13</w:t>
            </w:r>
            <w:r w:rsidR="00D37F48">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51285097"/>
      <w:r>
        <w:lastRenderedPageBreak/>
        <w:t>Shortened forms</w:t>
      </w:r>
      <w:bookmarkEnd w:id="11"/>
      <w:bookmarkEnd w:id="12"/>
    </w:p>
    <w:tbl>
      <w:tblPr>
        <w:tblStyle w:val="AERtable-text0"/>
        <w:tblW w:w="0" w:type="auto"/>
        <w:tblLook w:val="04A0" w:firstRow="1" w:lastRow="0" w:firstColumn="1" w:lastColumn="0" w:noHBand="0" w:noVBand="1"/>
      </w:tblPr>
      <w:tblGrid>
        <w:gridCol w:w="3369"/>
        <w:gridCol w:w="5324"/>
      </w:tblGrid>
      <w:tr w:rsidR="0053603C" w:rsidRPr="0087648F" w:rsidTr="000132DF">
        <w:trPr>
          <w:cnfStyle w:val="100000000000" w:firstRow="1" w:lastRow="0" w:firstColumn="0" w:lastColumn="0" w:oddVBand="0" w:evenVBand="0" w:oddHBand="0" w:evenHBand="0" w:firstRowFirstColumn="0" w:firstRowLastColumn="0" w:lastRowFirstColumn="0" w:lastRowLastColumn="0"/>
          <w:tblHeader/>
        </w:trPr>
        <w:tc>
          <w:tcPr>
            <w:tcW w:w="3369" w:type="dxa"/>
          </w:tcPr>
          <w:p w:rsidR="0053603C" w:rsidRPr="0087648F" w:rsidRDefault="0087648F" w:rsidP="0087648F">
            <w:r>
              <w:t>Shortened form</w:t>
            </w:r>
          </w:p>
        </w:tc>
        <w:tc>
          <w:tcPr>
            <w:tcW w:w="5324" w:type="dxa"/>
          </w:tcPr>
          <w:p w:rsidR="0053603C" w:rsidRPr="0087648F" w:rsidRDefault="0087648F" w:rsidP="0087648F">
            <w:r>
              <w:t>Extended form</w:t>
            </w:r>
          </w:p>
        </w:tc>
      </w:tr>
      <w:tr w:rsidR="004523B2" w:rsidTr="000132DF">
        <w:tc>
          <w:tcPr>
            <w:tcW w:w="3369" w:type="dxa"/>
          </w:tcPr>
          <w:p w:rsidR="004523B2" w:rsidRPr="004523B2" w:rsidRDefault="004523B2" w:rsidP="004523B2">
            <w:pPr>
              <w:pStyle w:val="AERtabletextleft"/>
              <w:rPr>
                <w:rStyle w:val="AERtextsize8"/>
              </w:rPr>
            </w:pPr>
            <w:r w:rsidRPr="00712239">
              <w:rPr>
                <w:rStyle w:val="AERtextsize8"/>
              </w:rPr>
              <w:t>AEMC</w:t>
            </w:r>
          </w:p>
        </w:tc>
        <w:tc>
          <w:tcPr>
            <w:tcW w:w="5324"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132DF">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AEMO</w:t>
            </w:r>
          </w:p>
        </w:tc>
        <w:tc>
          <w:tcPr>
            <w:tcW w:w="5324"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132DF">
        <w:tc>
          <w:tcPr>
            <w:tcW w:w="3369" w:type="dxa"/>
          </w:tcPr>
          <w:p w:rsidR="004523B2" w:rsidRPr="004523B2" w:rsidRDefault="004523B2" w:rsidP="004523B2">
            <w:pPr>
              <w:pStyle w:val="AERtabletextleft"/>
              <w:rPr>
                <w:rStyle w:val="AERtextsize8"/>
              </w:rPr>
            </w:pPr>
            <w:r w:rsidRPr="00712239">
              <w:rPr>
                <w:rStyle w:val="AERtextsize8"/>
              </w:rPr>
              <w:t>AER</w:t>
            </w:r>
          </w:p>
        </w:tc>
        <w:tc>
          <w:tcPr>
            <w:tcW w:w="5324"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0F0F0A" w:rsidTr="000132DF">
        <w:trPr>
          <w:cnfStyle w:val="000000010000" w:firstRow="0" w:lastRow="0" w:firstColumn="0" w:lastColumn="0" w:oddVBand="0" w:evenVBand="0" w:oddHBand="0" w:evenHBand="1" w:firstRowFirstColumn="0" w:firstRowLastColumn="0" w:lastRowFirstColumn="0" w:lastRowLastColumn="0"/>
        </w:trPr>
        <w:tc>
          <w:tcPr>
            <w:tcW w:w="3369" w:type="dxa"/>
          </w:tcPr>
          <w:p w:rsidR="000F0F0A" w:rsidRPr="00712239" w:rsidRDefault="000F0F0A" w:rsidP="004523B2">
            <w:pPr>
              <w:pStyle w:val="AERtabletextleft"/>
              <w:rPr>
                <w:rStyle w:val="AERtextsize8"/>
              </w:rPr>
            </w:pPr>
            <w:r>
              <w:rPr>
                <w:rStyle w:val="AERtextsize8"/>
              </w:rPr>
              <w:t>AMI</w:t>
            </w:r>
          </w:p>
        </w:tc>
        <w:tc>
          <w:tcPr>
            <w:tcW w:w="5324" w:type="dxa"/>
          </w:tcPr>
          <w:p w:rsidR="000F0F0A" w:rsidRPr="00712239" w:rsidRDefault="000F0F0A" w:rsidP="004523B2">
            <w:pPr>
              <w:pStyle w:val="AERtabletextleft"/>
              <w:rPr>
                <w:rStyle w:val="AERtextsize8"/>
              </w:rPr>
            </w:pPr>
            <w:r>
              <w:rPr>
                <w:rStyle w:val="AERtextsize8"/>
              </w:rPr>
              <w:t>Advanced metering infrastructure</w:t>
            </w:r>
          </w:p>
        </w:tc>
      </w:tr>
      <w:tr w:rsidR="004523B2" w:rsidTr="000132DF">
        <w:tc>
          <w:tcPr>
            <w:tcW w:w="3369" w:type="dxa"/>
          </w:tcPr>
          <w:p w:rsidR="004523B2" w:rsidRPr="004523B2" w:rsidRDefault="004523B2" w:rsidP="004523B2">
            <w:pPr>
              <w:pStyle w:val="AERtabletextleft"/>
              <w:rPr>
                <w:rStyle w:val="AERtextsize8"/>
              </w:rPr>
            </w:pPr>
            <w:r w:rsidRPr="00712239">
              <w:rPr>
                <w:rStyle w:val="AERtextsize8"/>
              </w:rPr>
              <w:t>augex</w:t>
            </w:r>
          </w:p>
        </w:tc>
        <w:tc>
          <w:tcPr>
            <w:tcW w:w="5324"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0132DF">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capex</w:t>
            </w:r>
          </w:p>
        </w:tc>
        <w:tc>
          <w:tcPr>
            <w:tcW w:w="5324"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132DF">
        <w:tc>
          <w:tcPr>
            <w:tcW w:w="3369" w:type="dxa"/>
          </w:tcPr>
          <w:p w:rsidR="004523B2" w:rsidRPr="004523B2" w:rsidRDefault="004523B2" w:rsidP="004523B2">
            <w:pPr>
              <w:pStyle w:val="AERtabletextleft"/>
              <w:rPr>
                <w:rStyle w:val="AERtextsize8"/>
              </w:rPr>
            </w:pPr>
            <w:r w:rsidRPr="00712239">
              <w:rPr>
                <w:rStyle w:val="AERtextsize8"/>
              </w:rPr>
              <w:t>CCP</w:t>
            </w:r>
          </w:p>
        </w:tc>
        <w:tc>
          <w:tcPr>
            <w:tcW w:w="5324"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132DF">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CESS</w:t>
            </w:r>
          </w:p>
        </w:tc>
        <w:tc>
          <w:tcPr>
            <w:tcW w:w="5324"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132DF">
        <w:tc>
          <w:tcPr>
            <w:tcW w:w="3369" w:type="dxa"/>
          </w:tcPr>
          <w:p w:rsidR="004523B2" w:rsidRPr="004523B2" w:rsidRDefault="004523B2" w:rsidP="004523B2">
            <w:pPr>
              <w:pStyle w:val="AERtabletextleft"/>
              <w:rPr>
                <w:rStyle w:val="AERtextsize8"/>
              </w:rPr>
            </w:pPr>
            <w:r w:rsidRPr="00712239">
              <w:rPr>
                <w:rStyle w:val="AERtextsize8"/>
              </w:rPr>
              <w:t>CPI</w:t>
            </w:r>
          </w:p>
        </w:tc>
        <w:tc>
          <w:tcPr>
            <w:tcW w:w="5324"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132DF">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DRP</w:t>
            </w:r>
          </w:p>
        </w:tc>
        <w:tc>
          <w:tcPr>
            <w:tcW w:w="5324"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132DF">
        <w:tc>
          <w:tcPr>
            <w:tcW w:w="3369" w:type="dxa"/>
          </w:tcPr>
          <w:p w:rsidR="004523B2" w:rsidRPr="004523B2" w:rsidRDefault="004523B2" w:rsidP="004523B2">
            <w:pPr>
              <w:pStyle w:val="AERtabletextleft"/>
              <w:rPr>
                <w:rStyle w:val="AERtextsize8"/>
              </w:rPr>
            </w:pPr>
            <w:r w:rsidRPr="00712239">
              <w:rPr>
                <w:rStyle w:val="AERtextsize8"/>
              </w:rPr>
              <w:t>DMIA</w:t>
            </w:r>
          </w:p>
        </w:tc>
        <w:tc>
          <w:tcPr>
            <w:tcW w:w="5324"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132DF">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DMIS</w:t>
            </w:r>
          </w:p>
        </w:tc>
        <w:tc>
          <w:tcPr>
            <w:tcW w:w="5324"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0132DF">
        <w:tc>
          <w:tcPr>
            <w:tcW w:w="3369" w:type="dxa"/>
          </w:tcPr>
          <w:p w:rsidR="004523B2" w:rsidRPr="004523B2" w:rsidRDefault="004523B2" w:rsidP="004523B2">
            <w:pPr>
              <w:pStyle w:val="AERtabletextleft"/>
              <w:rPr>
                <w:rStyle w:val="AERtextsize8"/>
              </w:rPr>
            </w:pPr>
            <w:r w:rsidRPr="00712239">
              <w:rPr>
                <w:rStyle w:val="AERtextsize8"/>
              </w:rPr>
              <w:t>distributor</w:t>
            </w:r>
          </w:p>
        </w:tc>
        <w:tc>
          <w:tcPr>
            <w:tcW w:w="5324"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132DF">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DUoS</w:t>
            </w:r>
          </w:p>
        </w:tc>
        <w:tc>
          <w:tcPr>
            <w:tcW w:w="5324"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132DF">
        <w:tc>
          <w:tcPr>
            <w:tcW w:w="3369" w:type="dxa"/>
          </w:tcPr>
          <w:p w:rsidR="004523B2" w:rsidRPr="004523B2" w:rsidRDefault="004523B2" w:rsidP="004523B2">
            <w:pPr>
              <w:pStyle w:val="AERtabletextleft"/>
              <w:rPr>
                <w:rStyle w:val="AERtextsize8"/>
              </w:rPr>
            </w:pPr>
            <w:r w:rsidRPr="00712239">
              <w:rPr>
                <w:rStyle w:val="AERtextsize8"/>
              </w:rPr>
              <w:t>EBSS</w:t>
            </w:r>
          </w:p>
        </w:tc>
        <w:tc>
          <w:tcPr>
            <w:tcW w:w="5324"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132DF">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ERP</w:t>
            </w:r>
          </w:p>
        </w:tc>
        <w:tc>
          <w:tcPr>
            <w:tcW w:w="5324"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132DF">
        <w:tc>
          <w:tcPr>
            <w:tcW w:w="3369"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5324"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132DF">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F&amp;A</w:t>
            </w:r>
          </w:p>
        </w:tc>
        <w:tc>
          <w:tcPr>
            <w:tcW w:w="5324"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0132DF">
        <w:tc>
          <w:tcPr>
            <w:tcW w:w="3369" w:type="dxa"/>
          </w:tcPr>
          <w:p w:rsidR="004523B2" w:rsidRPr="004523B2" w:rsidRDefault="004523B2" w:rsidP="004523B2">
            <w:pPr>
              <w:pStyle w:val="AERtabletextleft"/>
              <w:rPr>
                <w:rStyle w:val="AERtextsize8"/>
              </w:rPr>
            </w:pPr>
            <w:r w:rsidRPr="00712239">
              <w:rPr>
                <w:rStyle w:val="AERtextsize8"/>
              </w:rPr>
              <w:t>MRP</w:t>
            </w:r>
          </w:p>
        </w:tc>
        <w:tc>
          <w:tcPr>
            <w:tcW w:w="5324"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0132DF">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NEL</w:t>
            </w:r>
          </w:p>
        </w:tc>
        <w:tc>
          <w:tcPr>
            <w:tcW w:w="5324"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132DF">
        <w:tc>
          <w:tcPr>
            <w:tcW w:w="3369" w:type="dxa"/>
          </w:tcPr>
          <w:p w:rsidR="004523B2" w:rsidRPr="004523B2" w:rsidRDefault="004523B2" w:rsidP="004523B2">
            <w:pPr>
              <w:pStyle w:val="AERtabletextleft"/>
              <w:rPr>
                <w:rStyle w:val="AERtextsize8"/>
              </w:rPr>
            </w:pPr>
            <w:r w:rsidRPr="00712239">
              <w:rPr>
                <w:rStyle w:val="AERtextsize8"/>
              </w:rPr>
              <w:t>NEM</w:t>
            </w:r>
          </w:p>
        </w:tc>
        <w:tc>
          <w:tcPr>
            <w:tcW w:w="5324"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132DF">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NEO</w:t>
            </w:r>
          </w:p>
        </w:tc>
        <w:tc>
          <w:tcPr>
            <w:tcW w:w="5324"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132DF">
        <w:tc>
          <w:tcPr>
            <w:tcW w:w="3369" w:type="dxa"/>
          </w:tcPr>
          <w:p w:rsidR="004523B2" w:rsidRPr="004523B2" w:rsidRDefault="004523B2" w:rsidP="004523B2">
            <w:pPr>
              <w:pStyle w:val="AERtabletextleft"/>
              <w:rPr>
                <w:rStyle w:val="AERtextsize8"/>
              </w:rPr>
            </w:pPr>
            <w:r w:rsidRPr="00712239">
              <w:rPr>
                <w:rStyle w:val="AERtextsize8"/>
              </w:rPr>
              <w:t>NER</w:t>
            </w:r>
          </w:p>
        </w:tc>
        <w:tc>
          <w:tcPr>
            <w:tcW w:w="5324"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132DF">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NSP</w:t>
            </w:r>
          </w:p>
        </w:tc>
        <w:tc>
          <w:tcPr>
            <w:tcW w:w="5324"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132DF">
        <w:tc>
          <w:tcPr>
            <w:tcW w:w="3369" w:type="dxa"/>
          </w:tcPr>
          <w:p w:rsidR="004523B2" w:rsidRPr="004523B2" w:rsidRDefault="004523B2" w:rsidP="004523B2">
            <w:pPr>
              <w:pStyle w:val="AERtabletextleft"/>
              <w:rPr>
                <w:rStyle w:val="AERtextsize8"/>
              </w:rPr>
            </w:pPr>
            <w:r w:rsidRPr="00712239">
              <w:rPr>
                <w:rStyle w:val="AERtextsize8"/>
              </w:rPr>
              <w:t>opex</w:t>
            </w:r>
          </w:p>
        </w:tc>
        <w:tc>
          <w:tcPr>
            <w:tcW w:w="5324"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0132DF">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PPI</w:t>
            </w:r>
          </w:p>
        </w:tc>
        <w:tc>
          <w:tcPr>
            <w:tcW w:w="5324"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132DF">
        <w:tc>
          <w:tcPr>
            <w:tcW w:w="3369" w:type="dxa"/>
          </w:tcPr>
          <w:p w:rsidR="004523B2" w:rsidRPr="004523B2" w:rsidRDefault="004523B2" w:rsidP="004523B2">
            <w:pPr>
              <w:pStyle w:val="AERtabletextleft"/>
              <w:rPr>
                <w:rStyle w:val="AERtextsize8"/>
              </w:rPr>
            </w:pPr>
            <w:r w:rsidRPr="00712239">
              <w:rPr>
                <w:rStyle w:val="AERtextsize8"/>
              </w:rPr>
              <w:t>PTRM</w:t>
            </w:r>
          </w:p>
        </w:tc>
        <w:tc>
          <w:tcPr>
            <w:tcW w:w="5324"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132DF">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RAB</w:t>
            </w:r>
          </w:p>
        </w:tc>
        <w:tc>
          <w:tcPr>
            <w:tcW w:w="5324"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132DF">
        <w:tc>
          <w:tcPr>
            <w:tcW w:w="3369" w:type="dxa"/>
          </w:tcPr>
          <w:p w:rsidR="004523B2" w:rsidRPr="004523B2" w:rsidRDefault="004523B2" w:rsidP="004523B2">
            <w:pPr>
              <w:pStyle w:val="AERtabletextleft"/>
              <w:rPr>
                <w:rStyle w:val="AERtextsize8"/>
              </w:rPr>
            </w:pPr>
            <w:r w:rsidRPr="00712239">
              <w:rPr>
                <w:rStyle w:val="AERtextsize8"/>
              </w:rPr>
              <w:t>RBA</w:t>
            </w:r>
          </w:p>
        </w:tc>
        <w:tc>
          <w:tcPr>
            <w:tcW w:w="5324"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132DF">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repex</w:t>
            </w:r>
          </w:p>
        </w:tc>
        <w:tc>
          <w:tcPr>
            <w:tcW w:w="5324"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132DF">
        <w:tc>
          <w:tcPr>
            <w:tcW w:w="3369" w:type="dxa"/>
          </w:tcPr>
          <w:p w:rsidR="004523B2" w:rsidRPr="004523B2" w:rsidRDefault="004523B2" w:rsidP="004523B2">
            <w:pPr>
              <w:pStyle w:val="AERtabletextleft"/>
              <w:rPr>
                <w:rStyle w:val="AERtextsize8"/>
              </w:rPr>
            </w:pPr>
            <w:r w:rsidRPr="00712239">
              <w:rPr>
                <w:rStyle w:val="AERtextsize8"/>
              </w:rPr>
              <w:lastRenderedPageBreak/>
              <w:t>RFM</w:t>
            </w:r>
          </w:p>
        </w:tc>
        <w:tc>
          <w:tcPr>
            <w:tcW w:w="5324"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132DF">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RIN</w:t>
            </w:r>
          </w:p>
        </w:tc>
        <w:tc>
          <w:tcPr>
            <w:tcW w:w="5324"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132DF">
        <w:tc>
          <w:tcPr>
            <w:tcW w:w="3369" w:type="dxa"/>
          </w:tcPr>
          <w:p w:rsidR="004523B2" w:rsidRPr="004523B2" w:rsidRDefault="004523B2" w:rsidP="004523B2">
            <w:pPr>
              <w:pStyle w:val="AERtabletextleft"/>
              <w:rPr>
                <w:rStyle w:val="AERtextsize8"/>
              </w:rPr>
            </w:pPr>
            <w:r w:rsidRPr="00712239">
              <w:rPr>
                <w:rStyle w:val="AERtextsize8"/>
              </w:rPr>
              <w:t>RPP</w:t>
            </w:r>
          </w:p>
        </w:tc>
        <w:tc>
          <w:tcPr>
            <w:tcW w:w="5324"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132DF">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SAIDI</w:t>
            </w:r>
          </w:p>
        </w:tc>
        <w:tc>
          <w:tcPr>
            <w:tcW w:w="5324"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132DF">
        <w:tc>
          <w:tcPr>
            <w:tcW w:w="3369" w:type="dxa"/>
          </w:tcPr>
          <w:p w:rsidR="004523B2" w:rsidRPr="004523B2" w:rsidRDefault="004523B2" w:rsidP="004523B2">
            <w:pPr>
              <w:pStyle w:val="AERtabletextleft"/>
              <w:rPr>
                <w:rStyle w:val="AERtextsize8"/>
              </w:rPr>
            </w:pPr>
            <w:r w:rsidRPr="00712239">
              <w:rPr>
                <w:rStyle w:val="AERtextsize8"/>
              </w:rPr>
              <w:t>SAIFI</w:t>
            </w:r>
          </w:p>
        </w:tc>
        <w:tc>
          <w:tcPr>
            <w:tcW w:w="5324"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132DF">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SLCAPM</w:t>
            </w:r>
          </w:p>
        </w:tc>
        <w:tc>
          <w:tcPr>
            <w:tcW w:w="5324"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0132DF">
        <w:tc>
          <w:tcPr>
            <w:tcW w:w="3369" w:type="dxa"/>
          </w:tcPr>
          <w:p w:rsidR="004523B2" w:rsidRPr="004523B2" w:rsidRDefault="004523B2" w:rsidP="004523B2">
            <w:pPr>
              <w:pStyle w:val="AERtabletextleft"/>
              <w:rPr>
                <w:rStyle w:val="AERtextsize8"/>
              </w:rPr>
            </w:pPr>
            <w:r w:rsidRPr="00712239">
              <w:rPr>
                <w:rStyle w:val="AERtextsize8"/>
              </w:rPr>
              <w:t>STPIS</w:t>
            </w:r>
          </w:p>
        </w:tc>
        <w:tc>
          <w:tcPr>
            <w:tcW w:w="5324"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0132DF">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WACC</w:t>
            </w:r>
          </w:p>
        </w:tc>
        <w:tc>
          <w:tcPr>
            <w:tcW w:w="5324"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DE563D" w:rsidRDefault="003F2346" w:rsidP="003F2346">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51285098"/>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Regulatory asset base</w:t>
      </w:r>
      <w:bookmarkEnd w:id="71"/>
    </w:p>
    <w:p w:rsidR="00457B65" w:rsidRPr="00132D43" w:rsidRDefault="00457B65" w:rsidP="00457B65">
      <w:r w:rsidRPr="009D678A">
        <w:t xml:space="preserve">We are required to make a decision on </w:t>
      </w:r>
      <w:r>
        <w:t>CitiPower</w:t>
      </w:r>
      <w:r w:rsidRPr="009D678A">
        <w:t>'s opening regulatory asset base (RAB) as at 1 January 2016.</w:t>
      </w:r>
      <w:r>
        <w:rPr>
          <w:rStyle w:val="FootnoteReference"/>
        </w:rPr>
        <w:footnoteReference w:id="1"/>
      </w:r>
      <w:r w:rsidRPr="009D678A">
        <w:t xml:space="preserve">  We use the RAB at the start of each regulatory year to determine the return of capital (regulatory depreciation) and return on capital building block allowances. This attachment presents our </w:t>
      </w:r>
      <w:r>
        <w:t>final</w:t>
      </w:r>
      <w:r w:rsidRPr="009D678A">
        <w:t xml:space="preserve"> decision on the opening RAB value as at 1 January 2016 for </w:t>
      </w:r>
      <w:r>
        <w:t>CitiPower</w:t>
      </w:r>
      <w:r w:rsidRPr="009D678A">
        <w:t xml:space="preserve"> and roll forward of the forecast RAB over the 2016–20 regulatory control period.</w:t>
      </w:r>
    </w:p>
    <w:p w:rsidR="00132D43" w:rsidRDefault="00DB4E34" w:rsidP="00132D43">
      <w:pPr>
        <w:pStyle w:val="Heading2"/>
      </w:pPr>
      <w:bookmarkStart w:id="72" w:name="_Toc451285099"/>
      <w:r>
        <w:t>Final</w:t>
      </w:r>
      <w:r w:rsidR="00132D43">
        <w:t xml:space="preserve"> decision</w:t>
      </w:r>
      <w:bookmarkEnd w:id="72"/>
    </w:p>
    <w:p w:rsidR="00457B65" w:rsidRDefault="00457B65" w:rsidP="007D2907">
      <w:r>
        <w:t>We do not accept CitiPower's revised proposed opening RAB value of $</w:t>
      </w:r>
      <w:r w:rsidR="00063DD0">
        <w:t>1802</w:t>
      </w:r>
      <w:r>
        <w:t>.</w:t>
      </w:r>
      <w:r w:rsidR="00063DD0">
        <w:t>6</w:t>
      </w:r>
      <w:r>
        <w:t xml:space="preserve"> million ($ nominal). Instead, we determine an opening RAB value </w:t>
      </w:r>
      <w:r w:rsidRPr="007D2907">
        <w:t>of $</w:t>
      </w:r>
      <w:r w:rsidR="00063DD0" w:rsidRPr="007D2907">
        <w:t>176</w:t>
      </w:r>
      <w:r w:rsidR="003F0C94" w:rsidRPr="007D2907">
        <w:t>2</w:t>
      </w:r>
      <w:r w:rsidR="00063DD0" w:rsidRPr="007D2907">
        <w:t>.</w:t>
      </w:r>
      <w:r w:rsidR="003F0C94" w:rsidRPr="007D2907">
        <w:t>9</w:t>
      </w:r>
      <w:r w:rsidR="00063DD0" w:rsidRPr="007D2907">
        <w:t xml:space="preserve"> </w:t>
      </w:r>
      <w:r w:rsidRPr="007D2907">
        <w:t>million ($ nominal) as at 1 January 2016. Th</w:t>
      </w:r>
      <w:r w:rsidR="00063DD0" w:rsidRPr="007D2907">
        <w:t>is is a de</w:t>
      </w:r>
      <w:r w:rsidRPr="007D2907">
        <w:t>crease of $</w:t>
      </w:r>
      <w:r w:rsidR="007B4FF7" w:rsidRPr="007D2907">
        <w:t>39</w:t>
      </w:r>
      <w:r w:rsidRPr="007D2907">
        <w:t>.</w:t>
      </w:r>
      <w:r w:rsidR="007B4FF7" w:rsidRPr="007D2907">
        <w:t>7</w:t>
      </w:r>
      <w:r w:rsidRPr="007D2907">
        <w:t xml:space="preserve"> million (or </w:t>
      </w:r>
      <w:r w:rsidR="00063DD0" w:rsidRPr="007D2907">
        <w:t>2.</w:t>
      </w:r>
      <w:r w:rsidR="007B4FF7" w:rsidRPr="007D2907">
        <w:t>2</w:t>
      </w:r>
      <w:r w:rsidRPr="007D2907">
        <w:t> per cent)</w:t>
      </w:r>
      <w:r w:rsidRPr="009D678A">
        <w:t xml:space="preserve"> compared </w:t>
      </w:r>
      <w:r>
        <w:t>to CitiPower</w:t>
      </w:r>
      <w:r w:rsidRPr="009D678A">
        <w:t xml:space="preserve">'s </w:t>
      </w:r>
      <w:r>
        <w:t xml:space="preserve">revised </w:t>
      </w:r>
      <w:r w:rsidRPr="009D678A">
        <w:t xml:space="preserve">proposed opening RAB </w:t>
      </w:r>
      <w:r>
        <w:t>value</w:t>
      </w:r>
      <w:r w:rsidRPr="009D678A">
        <w:t>.</w:t>
      </w:r>
      <w:r>
        <w:t xml:space="preserve"> In coming to this decision:</w:t>
      </w:r>
    </w:p>
    <w:p w:rsidR="00457B65" w:rsidRDefault="00457B65" w:rsidP="00457B65">
      <w:pPr>
        <w:pStyle w:val="AERbulletlistfirststyle"/>
      </w:pPr>
      <w:r>
        <w:t xml:space="preserve">We accept CitiPower's revised proposed approach to RAB indexation using </w:t>
      </w:r>
      <w:r w:rsidRPr="00C44BC0">
        <w:t xml:space="preserve">annual actual </w:t>
      </w:r>
      <w:r>
        <w:t xml:space="preserve">(one-year lagged) </w:t>
      </w:r>
      <w:r w:rsidRPr="00C44BC0">
        <w:t>inflation inputs</w:t>
      </w:r>
      <w:r>
        <w:t>.</w:t>
      </w:r>
    </w:p>
    <w:p w:rsidR="00457B65" w:rsidRDefault="00457B65" w:rsidP="00457B65">
      <w:pPr>
        <w:pStyle w:val="AERbulletlistfirststyle"/>
      </w:pPr>
      <w:r>
        <w:t>We updated the 2015 capex estimate with a more recent estimate provided by CitiPower.</w:t>
      </w:r>
    </w:p>
    <w:p w:rsidR="00457B65" w:rsidRDefault="00441A06" w:rsidP="00457B65">
      <w:r>
        <w:fldChar w:fldCharType="begin"/>
      </w:r>
      <w:r>
        <w:instrText xml:space="preserve"> REF _Ref449614499 \h </w:instrText>
      </w:r>
      <w:r>
        <w:fldChar w:fldCharType="separate"/>
      </w:r>
      <w:r w:rsidR="00D37F48">
        <w:t xml:space="preserve">Table </w:t>
      </w:r>
      <w:r w:rsidR="00D37F48">
        <w:rPr>
          <w:noProof/>
        </w:rPr>
        <w:t>2</w:t>
      </w:r>
      <w:r w:rsidR="00D37F48">
        <w:t>.</w:t>
      </w:r>
      <w:r w:rsidR="00D37F48">
        <w:rPr>
          <w:noProof/>
        </w:rPr>
        <w:t>1</w:t>
      </w:r>
      <w:r>
        <w:fldChar w:fldCharType="end"/>
      </w:r>
      <w:r>
        <w:t xml:space="preserve"> </w:t>
      </w:r>
      <w:r w:rsidR="00457B65" w:rsidRPr="009D678A">
        <w:t xml:space="preserve">sets out our </w:t>
      </w:r>
      <w:r w:rsidR="00457B65">
        <w:t>final</w:t>
      </w:r>
      <w:r w:rsidR="00457B65" w:rsidRPr="009D678A">
        <w:t xml:space="preserve"> decision on the roll forward of the RAB values for the 2011–15 regulatory control period.</w:t>
      </w:r>
    </w:p>
    <w:p w:rsidR="00190BAC" w:rsidRDefault="00190BAC" w:rsidP="007D2907">
      <w:bookmarkStart w:id="73" w:name="_Ref441132885"/>
      <w:r w:rsidRPr="009D678A">
        <w:t xml:space="preserve">We determine a forecast closing RAB value at 31 December 2020 </w:t>
      </w:r>
      <w:r w:rsidRPr="007D2907">
        <w:t>of $</w:t>
      </w:r>
      <w:r w:rsidR="00454881" w:rsidRPr="007D2907">
        <w:t>2274.3</w:t>
      </w:r>
      <w:r w:rsidRPr="007D2907">
        <w:t> million ($ nominal). This is $</w:t>
      </w:r>
      <w:r w:rsidR="00454881" w:rsidRPr="007D2907">
        <w:t>117.0</w:t>
      </w:r>
      <w:r w:rsidRPr="007D2907">
        <w:t xml:space="preserve"> million (or </w:t>
      </w:r>
      <w:r w:rsidR="00454881" w:rsidRPr="007D2907">
        <w:t>4.9</w:t>
      </w:r>
      <w:r w:rsidRPr="007D2907">
        <w:t> per cent)</w:t>
      </w:r>
      <w:r w:rsidRPr="009D678A">
        <w:t xml:space="preserve"> lower than the amount of $</w:t>
      </w:r>
      <w:r>
        <w:t>2391.2 </w:t>
      </w:r>
      <w:r w:rsidRPr="009D678A">
        <w:t>million ($</w:t>
      </w:r>
      <w:r>
        <w:t> </w:t>
      </w:r>
      <w:r w:rsidRPr="009D678A">
        <w:t xml:space="preserve">nominal) </w:t>
      </w:r>
      <w:r>
        <w:t>in CitiPower's revised proposal</w:t>
      </w:r>
      <w:r w:rsidRPr="009D678A">
        <w:t>.</w:t>
      </w:r>
      <w:r w:rsidR="002877A3">
        <w:rPr>
          <w:rStyle w:val="FootnoteReference"/>
        </w:rPr>
        <w:footnoteReference w:id="2"/>
      </w:r>
      <w:r w:rsidRPr="009D678A">
        <w:t xml:space="preserve"> Our </w:t>
      </w:r>
      <w:r>
        <w:t>final</w:t>
      </w:r>
      <w:r w:rsidRPr="009D678A">
        <w:t xml:space="preserve"> decision on the forecast closing RAB reflects the amended opening RAB as at 1 January 2016, and our </w:t>
      </w:r>
      <w:r>
        <w:t>final</w:t>
      </w:r>
      <w:r w:rsidRPr="009D678A">
        <w:t xml:space="preserve"> decisions on</w:t>
      </w:r>
      <w:r>
        <w:t xml:space="preserve"> the </w:t>
      </w:r>
      <w:r w:rsidR="00E23A03">
        <w:t>expected</w:t>
      </w:r>
      <w:r>
        <w:t xml:space="preserve"> inflation rate (attachment 3), </w:t>
      </w:r>
      <w:r w:rsidRPr="009D678A">
        <w:t>forecast capex (attachment 6) and forecast regulatory depreciation (attachment 5).</w:t>
      </w:r>
    </w:p>
    <w:p w:rsidR="00190BAC" w:rsidRPr="009D678A" w:rsidRDefault="00190BAC" w:rsidP="00190BAC">
      <w:r>
        <w:rPr>
          <w:rStyle w:val="AERbody"/>
        </w:rPr>
        <w:t xml:space="preserve">Our final decision also </w:t>
      </w:r>
      <w:r w:rsidRPr="00D5100F">
        <w:rPr>
          <w:rStyle w:val="AERbody"/>
        </w:rPr>
        <w:t>maintain</w:t>
      </w:r>
      <w:r>
        <w:rPr>
          <w:rStyle w:val="AERbody"/>
        </w:rPr>
        <w:t>s</w:t>
      </w:r>
      <w:r w:rsidRPr="00D5100F">
        <w:rPr>
          <w:rStyle w:val="AERbody"/>
        </w:rPr>
        <w:t xml:space="preserve"> our preliminary decision position on the use of forecast depreciation for establishing the RAB at the commencement of the regulatory control period from 1 </w:t>
      </w:r>
      <w:r>
        <w:rPr>
          <w:rStyle w:val="AERbody"/>
        </w:rPr>
        <w:t>January</w:t>
      </w:r>
      <w:r w:rsidRPr="00D5100F">
        <w:rPr>
          <w:rStyle w:val="AERbody"/>
        </w:rPr>
        <w:t xml:space="preserve"> 202</w:t>
      </w:r>
      <w:r>
        <w:rPr>
          <w:rStyle w:val="AERbody"/>
        </w:rPr>
        <w:t>1</w:t>
      </w:r>
      <w:r w:rsidRPr="00D5100F">
        <w:rPr>
          <w:rStyle w:val="AERbody"/>
        </w:rPr>
        <w:t>.</w:t>
      </w:r>
      <w:r>
        <w:rPr>
          <w:rStyle w:val="FootnoteReference"/>
        </w:rPr>
        <w:footnoteReference w:id="3"/>
      </w:r>
      <w:r w:rsidRPr="00D5100F">
        <w:rPr>
          <w:rStyle w:val="AERbody"/>
        </w:rPr>
        <w:t xml:space="preserve"> </w:t>
      </w:r>
      <w:r>
        <w:rPr>
          <w:rStyle w:val="AERbody"/>
        </w:rPr>
        <w:t>CitiPower</w:t>
      </w:r>
      <w:r w:rsidRPr="00D5100F">
        <w:rPr>
          <w:rStyle w:val="AERbody"/>
        </w:rPr>
        <w:t xml:space="preserve">'s revised proposal </w:t>
      </w:r>
      <w:r>
        <w:rPr>
          <w:rStyle w:val="AERbody"/>
        </w:rPr>
        <w:t>adopted our preliminary decision on this issue</w:t>
      </w:r>
      <w:r w:rsidRPr="00D5100F">
        <w:rPr>
          <w:rStyle w:val="AERbody"/>
        </w:rPr>
        <w:t>.</w:t>
      </w:r>
      <w:r>
        <w:rPr>
          <w:rStyle w:val="FootnoteReference"/>
        </w:rPr>
        <w:footnoteReference w:id="4"/>
      </w:r>
    </w:p>
    <w:p w:rsidR="00190BAC" w:rsidRDefault="00190BAC" w:rsidP="00190BAC">
      <w:r>
        <w:lastRenderedPageBreak/>
        <w:fldChar w:fldCharType="begin"/>
      </w:r>
      <w:r>
        <w:instrText xml:space="preserve"> REF _Ref441132878 \h </w:instrText>
      </w:r>
      <w:r>
        <w:fldChar w:fldCharType="separate"/>
      </w:r>
      <w:r w:rsidR="00D37F48">
        <w:t xml:space="preserve">Table </w:t>
      </w:r>
      <w:r w:rsidR="00D37F48">
        <w:rPr>
          <w:noProof/>
        </w:rPr>
        <w:t>2</w:t>
      </w:r>
      <w:r w:rsidR="00D37F48">
        <w:t>.</w:t>
      </w:r>
      <w:r w:rsidR="00D37F48">
        <w:rPr>
          <w:noProof/>
        </w:rPr>
        <w:t>2</w:t>
      </w:r>
      <w:r>
        <w:fldChar w:fldCharType="end"/>
      </w:r>
      <w:r w:rsidRPr="009D678A">
        <w:t xml:space="preserve"> sets out our </w:t>
      </w:r>
      <w:r>
        <w:t>final</w:t>
      </w:r>
      <w:r w:rsidRPr="009D678A">
        <w:t xml:space="preserve"> decision on the forecast RAB values for </w:t>
      </w:r>
      <w:r>
        <w:t>CitiPower</w:t>
      </w:r>
      <w:r w:rsidRPr="009D678A">
        <w:t xml:space="preserve"> over the 2016–20 regulatory control period.</w:t>
      </w:r>
    </w:p>
    <w:p w:rsidR="00457B65" w:rsidRDefault="00457B65" w:rsidP="00457B65">
      <w:pPr>
        <w:pStyle w:val="Caption"/>
      </w:pPr>
      <w:bookmarkStart w:id="74" w:name="_Ref449614499"/>
      <w:r>
        <w:t xml:space="preserve">Table </w:t>
      </w:r>
      <w:r w:rsidRPr="00457B65">
        <w:fldChar w:fldCharType="begin"/>
      </w:r>
      <w:r>
        <w:instrText xml:space="preserve"> STYLEREF 1 \s </w:instrText>
      </w:r>
      <w:r w:rsidRPr="00457B65">
        <w:fldChar w:fldCharType="separate"/>
      </w:r>
      <w:r w:rsidR="00D37F48">
        <w:rPr>
          <w:noProof/>
        </w:rPr>
        <w:t>2</w:t>
      </w:r>
      <w:r w:rsidRPr="00457B65">
        <w:fldChar w:fldCharType="end"/>
      </w:r>
      <w:r>
        <w:t>.</w:t>
      </w:r>
      <w:r w:rsidRPr="00457B65">
        <w:fldChar w:fldCharType="begin"/>
      </w:r>
      <w:r>
        <w:instrText xml:space="preserve"> SEQ Table \* ARABIC \s 1 </w:instrText>
      </w:r>
      <w:r w:rsidRPr="00457B65">
        <w:fldChar w:fldCharType="separate"/>
      </w:r>
      <w:r w:rsidR="00D37F48">
        <w:rPr>
          <w:noProof/>
        </w:rPr>
        <w:t>1</w:t>
      </w:r>
      <w:r w:rsidRPr="00457B65">
        <w:fldChar w:fldCharType="end"/>
      </w:r>
      <w:bookmarkEnd w:id="73"/>
      <w:bookmarkEnd w:id="74"/>
      <w:r>
        <w:tab/>
      </w:r>
      <w:r w:rsidRPr="009D678A">
        <w:t xml:space="preserve">AER's </w:t>
      </w:r>
      <w:r>
        <w:t>final</w:t>
      </w:r>
      <w:r w:rsidRPr="009D678A">
        <w:t xml:space="preserve"> decision on </w:t>
      </w:r>
      <w:r>
        <w:t>CitiPower</w:t>
      </w:r>
      <w:r w:rsidRPr="009D678A">
        <w:t>'s RAB for the 2011–15 regulatory control period ($ million, nominal)</w:t>
      </w:r>
    </w:p>
    <w:tbl>
      <w:tblPr>
        <w:tblStyle w:val="AERtable-numbers"/>
        <w:tblW w:w="5036" w:type="pct"/>
        <w:tblLayout w:type="fixed"/>
        <w:tblLook w:val="04A0" w:firstRow="1" w:lastRow="0" w:firstColumn="1" w:lastColumn="0" w:noHBand="0" w:noVBand="1"/>
      </w:tblPr>
      <w:tblGrid>
        <w:gridCol w:w="3797"/>
        <w:gridCol w:w="991"/>
        <w:gridCol w:w="991"/>
        <w:gridCol w:w="993"/>
        <w:gridCol w:w="991"/>
        <w:gridCol w:w="993"/>
      </w:tblGrid>
      <w:tr w:rsidR="00457B65" w:rsidRPr="00237902" w:rsidTr="00457B65">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168" w:type="pct"/>
            <w:noWrap/>
            <w:hideMark/>
          </w:tcPr>
          <w:p w:rsidR="00457B65" w:rsidRPr="00457B65" w:rsidRDefault="00457B65" w:rsidP="00457B65">
            <w:r w:rsidRPr="00237902">
              <w:t> </w:t>
            </w:r>
          </w:p>
        </w:tc>
        <w:tc>
          <w:tcPr>
            <w:tcW w:w="566" w:type="pct"/>
            <w:noWrap/>
            <w:hideMark/>
          </w:tcPr>
          <w:p w:rsidR="00457B65" w:rsidRPr="00457B65" w:rsidRDefault="00457B65" w:rsidP="00457B65">
            <w:pPr>
              <w:cnfStyle w:val="100000000000" w:firstRow="1" w:lastRow="0" w:firstColumn="0" w:lastColumn="0" w:oddVBand="0" w:evenVBand="0" w:oddHBand="0" w:evenHBand="0" w:firstRowFirstColumn="0" w:firstRowLastColumn="0" w:lastRowFirstColumn="0" w:lastRowLastColumn="0"/>
            </w:pPr>
            <w:r>
              <w:t>2011</w:t>
            </w:r>
          </w:p>
        </w:tc>
        <w:tc>
          <w:tcPr>
            <w:tcW w:w="566" w:type="pct"/>
            <w:noWrap/>
            <w:hideMark/>
          </w:tcPr>
          <w:p w:rsidR="00457B65" w:rsidRPr="00457B65" w:rsidRDefault="00457B65" w:rsidP="00457B65">
            <w:pPr>
              <w:cnfStyle w:val="100000000000" w:firstRow="1" w:lastRow="0" w:firstColumn="0" w:lastColumn="0" w:oddVBand="0" w:evenVBand="0" w:oddHBand="0" w:evenHBand="0" w:firstRowFirstColumn="0" w:firstRowLastColumn="0" w:lastRowFirstColumn="0" w:lastRowLastColumn="0"/>
            </w:pPr>
            <w:r>
              <w:t>20</w:t>
            </w:r>
            <w:r w:rsidRPr="00457B65">
              <w:t>12</w:t>
            </w:r>
          </w:p>
        </w:tc>
        <w:tc>
          <w:tcPr>
            <w:tcW w:w="567" w:type="pct"/>
            <w:noWrap/>
            <w:hideMark/>
          </w:tcPr>
          <w:p w:rsidR="00457B65" w:rsidRPr="00457B65" w:rsidRDefault="00457B65" w:rsidP="00457B65">
            <w:pPr>
              <w:cnfStyle w:val="100000000000" w:firstRow="1" w:lastRow="0" w:firstColumn="0" w:lastColumn="0" w:oddVBand="0" w:evenVBand="0" w:oddHBand="0" w:evenHBand="0" w:firstRowFirstColumn="0" w:firstRowLastColumn="0" w:lastRowFirstColumn="0" w:lastRowLastColumn="0"/>
            </w:pPr>
            <w:r>
              <w:t>201</w:t>
            </w:r>
            <w:r w:rsidRPr="00457B65">
              <w:t>3</w:t>
            </w:r>
          </w:p>
        </w:tc>
        <w:tc>
          <w:tcPr>
            <w:tcW w:w="566" w:type="pct"/>
            <w:noWrap/>
            <w:hideMark/>
          </w:tcPr>
          <w:p w:rsidR="00457B65" w:rsidRPr="00457B65" w:rsidRDefault="00457B65" w:rsidP="00457B65">
            <w:pPr>
              <w:cnfStyle w:val="100000000000" w:firstRow="1" w:lastRow="0" w:firstColumn="0" w:lastColumn="0" w:oddVBand="0" w:evenVBand="0" w:oddHBand="0" w:evenHBand="0" w:firstRowFirstColumn="0" w:firstRowLastColumn="0" w:lastRowFirstColumn="0" w:lastRowLastColumn="0"/>
            </w:pPr>
            <w:r>
              <w:t>201</w:t>
            </w:r>
            <w:r w:rsidRPr="00457B65">
              <w:t>4</w:t>
            </w:r>
          </w:p>
        </w:tc>
        <w:tc>
          <w:tcPr>
            <w:tcW w:w="567" w:type="pct"/>
            <w:noWrap/>
            <w:hideMark/>
          </w:tcPr>
          <w:p w:rsidR="00457B65" w:rsidRPr="00457B65" w:rsidRDefault="00457B65" w:rsidP="00457B65">
            <w:pPr>
              <w:cnfStyle w:val="100000000000" w:firstRow="1" w:lastRow="0" w:firstColumn="0" w:lastColumn="0" w:oddVBand="0" w:evenVBand="0" w:oddHBand="0" w:evenHBand="0" w:firstRowFirstColumn="0" w:firstRowLastColumn="0" w:lastRowFirstColumn="0" w:lastRowLastColumn="0"/>
            </w:pPr>
            <w:r>
              <w:t>201</w:t>
            </w:r>
            <w:r w:rsidRPr="00457B65">
              <w:t>5</w:t>
            </w:r>
            <w:r w:rsidRPr="00457B65">
              <w:rPr>
                <w:rStyle w:val="AERsuperscript"/>
              </w:rPr>
              <w:t>a</w:t>
            </w:r>
          </w:p>
        </w:tc>
      </w:tr>
      <w:tr w:rsidR="007B4FF7" w:rsidRPr="000663D7" w:rsidTr="00457B65">
        <w:trPr>
          <w:trHeight w:val="303"/>
        </w:trPr>
        <w:tc>
          <w:tcPr>
            <w:cnfStyle w:val="001000000000" w:firstRow="0" w:lastRow="0" w:firstColumn="1" w:lastColumn="0" w:oddVBand="0" w:evenVBand="0" w:oddHBand="0" w:evenHBand="0" w:firstRowFirstColumn="0" w:firstRowLastColumn="0" w:lastRowFirstColumn="0" w:lastRowLastColumn="0"/>
            <w:tcW w:w="2168" w:type="pct"/>
            <w:noWrap/>
            <w:hideMark/>
          </w:tcPr>
          <w:p w:rsidR="007B4FF7" w:rsidRPr="007B4FF7" w:rsidRDefault="007B4FF7" w:rsidP="007B4FF7">
            <w:r w:rsidRPr="007B4FF7">
              <w:t>Opening RAB</w:t>
            </w:r>
          </w:p>
        </w:tc>
        <w:tc>
          <w:tcPr>
            <w:tcW w:w="566" w:type="pct"/>
            <w:noWrap/>
            <w:vAlign w:val="bottom"/>
          </w:tcPr>
          <w:p w:rsidR="007B4FF7" w:rsidRPr="007B4FF7" w:rsidRDefault="007B4FF7" w:rsidP="007B4FF7">
            <w:pPr>
              <w:cnfStyle w:val="000000000000" w:firstRow="0" w:lastRow="0" w:firstColumn="0" w:lastColumn="0" w:oddVBand="0" w:evenVBand="0" w:oddHBand="0" w:evenHBand="0" w:firstRowFirstColumn="0" w:firstRowLastColumn="0" w:lastRowFirstColumn="0" w:lastRowLastColumn="0"/>
            </w:pPr>
            <w:r w:rsidRPr="007B4FF7">
              <w:t>1287.3</w:t>
            </w:r>
          </w:p>
        </w:tc>
        <w:tc>
          <w:tcPr>
            <w:tcW w:w="566" w:type="pct"/>
            <w:noWrap/>
            <w:vAlign w:val="bottom"/>
          </w:tcPr>
          <w:p w:rsidR="007B4FF7" w:rsidRPr="007B4FF7" w:rsidRDefault="007B4FF7" w:rsidP="007B4FF7">
            <w:pPr>
              <w:cnfStyle w:val="000000000000" w:firstRow="0" w:lastRow="0" w:firstColumn="0" w:lastColumn="0" w:oddVBand="0" w:evenVBand="0" w:oddHBand="0" w:evenHBand="0" w:firstRowFirstColumn="0" w:firstRowLastColumn="0" w:lastRowFirstColumn="0" w:lastRowLastColumn="0"/>
            </w:pPr>
            <w:r w:rsidRPr="007B4FF7">
              <w:t>1395.7</w:t>
            </w:r>
          </w:p>
        </w:tc>
        <w:tc>
          <w:tcPr>
            <w:tcW w:w="567" w:type="pct"/>
            <w:noWrap/>
            <w:vAlign w:val="bottom"/>
          </w:tcPr>
          <w:p w:rsidR="007B4FF7" w:rsidRPr="007B4FF7" w:rsidRDefault="007B4FF7" w:rsidP="007B4FF7">
            <w:pPr>
              <w:cnfStyle w:val="000000000000" w:firstRow="0" w:lastRow="0" w:firstColumn="0" w:lastColumn="0" w:oddVBand="0" w:evenVBand="0" w:oddHBand="0" w:evenHBand="0" w:firstRowFirstColumn="0" w:firstRowLastColumn="0" w:lastRowFirstColumn="0" w:lastRowLastColumn="0"/>
            </w:pPr>
            <w:r w:rsidRPr="007B4FF7">
              <w:t>1488.8</w:t>
            </w:r>
          </w:p>
        </w:tc>
        <w:tc>
          <w:tcPr>
            <w:tcW w:w="566" w:type="pct"/>
            <w:noWrap/>
            <w:vAlign w:val="bottom"/>
          </w:tcPr>
          <w:p w:rsidR="007B4FF7" w:rsidRPr="007B4FF7" w:rsidRDefault="007B4FF7" w:rsidP="007B4FF7">
            <w:pPr>
              <w:cnfStyle w:val="000000000000" w:firstRow="0" w:lastRow="0" w:firstColumn="0" w:lastColumn="0" w:oddVBand="0" w:evenVBand="0" w:oddHBand="0" w:evenHBand="0" w:firstRowFirstColumn="0" w:firstRowLastColumn="0" w:lastRowFirstColumn="0" w:lastRowLastColumn="0"/>
            </w:pPr>
            <w:r w:rsidRPr="007B4FF7">
              <w:t>1580.9</w:t>
            </w:r>
          </w:p>
        </w:tc>
        <w:tc>
          <w:tcPr>
            <w:tcW w:w="567" w:type="pct"/>
            <w:noWrap/>
            <w:vAlign w:val="bottom"/>
          </w:tcPr>
          <w:p w:rsidR="007B4FF7" w:rsidRPr="007B4FF7" w:rsidRDefault="007B4FF7" w:rsidP="007B4FF7">
            <w:pPr>
              <w:cnfStyle w:val="000000000000" w:firstRow="0" w:lastRow="0" w:firstColumn="0" w:lastColumn="0" w:oddVBand="0" w:evenVBand="0" w:oddHBand="0" w:evenHBand="0" w:firstRowFirstColumn="0" w:firstRowLastColumn="0" w:lastRowFirstColumn="0" w:lastRowLastColumn="0"/>
            </w:pPr>
            <w:r w:rsidRPr="007B4FF7">
              <w:t>1686.4</w:t>
            </w:r>
          </w:p>
        </w:tc>
      </w:tr>
      <w:tr w:rsidR="007B4FF7" w:rsidRPr="00237902" w:rsidTr="00457B65">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168" w:type="pct"/>
            <w:noWrap/>
            <w:hideMark/>
          </w:tcPr>
          <w:p w:rsidR="007B4FF7" w:rsidRPr="007B4FF7" w:rsidRDefault="007B4FF7" w:rsidP="007B4FF7">
            <w:r w:rsidRPr="007B4FF7">
              <w:t>Capital expenditure</w:t>
            </w:r>
            <w:r w:rsidRPr="007B4FF7">
              <w:rPr>
                <w:rStyle w:val="AERsuperscript"/>
              </w:rPr>
              <w:t>b</w:t>
            </w:r>
          </w:p>
        </w:tc>
        <w:tc>
          <w:tcPr>
            <w:tcW w:w="566" w:type="pct"/>
            <w:noWrap/>
            <w:vAlign w:val="bottom"/>
          </w:tcPr>
          <w:p w:rsidR="007B4FF7" w:rsidRPr="007B4FF7" w:rsidRDefault="007B4FF7" w:rsidP="007B4FF7">
            <w:pPr>
              <w:cnfStyle w:val="000000010000" w:firstRow="0" w:lastRow="0" w:firstColumn="0" w:lastColumn="0" w:oddVBand="0" w:evenVBand="0" w:oddHBand="0" w:evenHBand="1" w:firstRowFirstColumn="0" w:firstRowLastColumn="0" w:lastRowFirstColumn="0" w:lastRowLastColumn="0"/>
            </w:pPr>
            <w:r w:rsidRPr="007B4FF7">
              <w:t>140.6</w:t>
            </w:r>
          </w:p>
        </w:tc>
        <w:tc>
          <w:tcPr>
            <w:tcW w:w="566" w:type="pct"/>
            <w:noWrap/>
            <w:vAlign w:val="bottom"/>
          </w:tcPr>
          <w:p w:rsidR="007B4FF7" w:rsidRPr="007B4FF7" w:rsidRDefault="007B4FF7" w:rsidP="007B4FF7">
            <w:pPr>
              <w:cnfStyle w:val="000000010000" w:firstRow="0" w:lastRow="0" w:firstColumn="0" w:lastColumn="0" w:oddVBand="0" w:evenVBand="0" w:oddHBand="0" w:evenHBand="1" w:firstRowFirstColumn="0" w:firstRowLastColumn="0" w:lastRowFirstColumn="0" w:lastRowLastColumn="0"/>
            </w:pPr>
            <w:r w:rsidRPr="007B4FF7">
              <w:t>118.0</w:t>
            </w:r>
          </w:p>
        </w:tc>
        <w:tc>
          <w:tcPr>
            <w:tcW w:w="567" w:type="pct"/>
            <w:noWrap/>
            <w:vAlign w:val="bottom"/>
          </w:tcPr>
          <w:p w:rsidR="007B4FF7" w:rsidRPr="007B4FF7" w:rsidRDefault="007B4FF7" w:rsidP="007B4FF7">
            <w:pPr>
              <w:cnfStyle w:val="000000010000" w:firstRow="0" w:lastRow="0" w:firstColumn="0" w:lastColumn="0" w:oddVBand="0" w:evenVBand="0" w:oddHBand="0" w:evenHBand="1" w:firstRowFirstColumn="0" w:firstRowLastColumn="0" w:lastRowFirstColumn="0" w:lastRowLastColumn="0"/>
            </w:pPr>
            <w:r w:rsidRPr="007B4FF7">
              <w:t>141.4</w:t>
            </w:r>
          </w:p>
        </w:tc>
        <w:tc>
          <w:tcPr>
            <w:tcW w:w="566" w:type="pct"/>
            <w:noWrap/>
            <w:vAlign w:val="bottom"/>
          </w:tcPr>
          <w:p w:rsidR="007B4FF7" w:rsidRPr="007B4FF7" w:rsidRDefault="007B4FF7" w:rsidP="007B4FF7">
            <w:pPr>
              <w:cnfStyle w:val="000000010000" w:firstRow="0" w:lastRow="0" w:firstColumn="0" w:lastColumn="0" w:oddVBand="0" w:evenVBand="0" w:oddHBand="0" w:evenHBand="1" w:firstRowFirstColumn="0" w:firstRowLastColumn="0" w:lastRowFirstColumn="0" w:lastRowLastColumn="0"/>
            </w:pPr>
            <w:r w:rsidRPr="007B4FF7">
              <w:t>156.2</w:t>
            </w:r>
          </w:p>
        </w:tc>
        <w:tc>
          <w:tcPr>
            <w:tcW w:w="567" w:type="pct"/>
            <w:noWrap/>
            <w:vAlign w:val="bottom"/>
          </w:tcPr>
          <w:p w:rsidR="007B4FF7" w:rsidRPr="007B4FF7" w:rsidRDefault="007B4FF7" w:rsidP="007B4FF7">
            <w:pPr>
              <w:cnfStyle w:val="000000010000" w:firstRow="0" w:lastRow="0" w:firstColumn="0" w:lastColumn="0" w:oddVBand="0" w:evenVBand="0" w:oddHBand="0" w:evenHBand="1" w:firstRowFirstColumn="0" w:firstRowLastColumn="0" w:lastRowFirstColumn="0" w:lastRowLastColumn="0"/>
            </w:pPr>
            <w:r w:rsidRPr="007B4FF7">
              <w:t>147.6</w:t>
            </w:r>
          </w:p>
        </w:tc>
      </w:tr>
      <w:tr w:rsidR="007B4FF7" w:rsidRPr="00237902" w:rsidTr="00457B65">
        <w:trPr>
          <w:trHeight w:val="303"/>
        </w:trPr>
        <w:tc>
          <w:tcPr>
            <w:cnfStyle w:val="001000000000" w:firstRow="0" w:lastRow="0" w:firstColumn="1" w:lastColumn="0" w:oddVBand="0" w:evenVBand="0" w:oddHBand="0" w:evenHBand="0" w:firstRowFirstColumn="0" w:firstRowLastColumn="0" w:lastRowFirstColumn="0" w:lastRowLastColumn="0"/>
            <w:tcW w:w="2168" w:type="pct"/>
            <w:noWrap/>
            <w:hideMark/>
          </w:tcPr>
          <w:p w:rsidR="007B4FF7" w:rsidRPr="007B4FF7" w:rsidRDefault="007B4FF7" w:rsidP="007B4FF7">
            <w:r w:rsidRPr="007B4FF7">
              <w:t>Inflation indexation on opening RAB</w:t>
            </w:r>
          </w:p>
        </w:tc>
        <w:tc>
          <w:tcPr>
            <w:tcW w:w="566" w:type="pct"/>
            <w:noWrap/>
            <w:vAlign w:val="bottom"/>
          </w:tcPr>
          <w:p w:rsidR="007B4FF7" w:rsidRPr="007B4FF7" w:rsidRDefault="007B4FF7" w:rsidP="007B4FF7">
            <w:pPr>
              <w:cnfStyle w:val="000000000000" w:firstRow="0" w:lastRow="0" w:firstColumn="0" w:lastColumn="0" w:oddVBand="0" w:evenVBand="0" w:oddHBand="0" w:evenHBand="0" w:firstRowFirstColumn="0" w:firstRowLastColumn="0" w:lastRowFirstColumn="0" w:lastRowLastColumn="0"/>
            </w:pPr>
            <w:r w:rsidRPr="007B4FF7">
              <w:t>35.9</w:t>
            </w:r>
          </w:p>
        </w:tc>
        <w:tc>
          <w:tcPr>
            <w:tcW w:w="566" w:type="pct"/>
            <w:noWrap/>
            <w:vAlign w:val="bottom"/>
          </w:tcPr>
          <w:p w:rsidR="007B4FF7" w:rsidRPr="007B4FF7" w:rsidRDefault="007B4FF7" w:rsidP="007B4FF7">
            <w:pPr>
              <w:cnfStyle w:val="000000000000" w:firstRow="0" w:lastRow="0" w:firstColumn="0" w:lastColumn="0" w:oddVBand="0" w:evenVBand="0" w:oddHBand="0" w:evenHBand="0" w:firstRowFirstColumn="0" w:firstRowLastColumn="0" w:lastRowFirstColumn="0" w:lastRowLastColumn="0"/>
            </w:pPr>
            <w:r w:rsidRPr="007B4FF7">
              <w:t>49.1</w:t>
            </w:r>
          </w:p>
        </w:tc>
        <w:tc>
          <w:tcPr>
            <w:tcW w:w="567" w:type="pct"/>
            <w:noWrap/>
            <w:vAlign w:val="bottom"/>
          </w:tcPr>
          <w:p w:rsidR="007B4FF7" w:rsidRPr="007B4FF7" w:rsidRDefault="007B4FF7" w:rsidP="007B4FF7">
            <w:pPr>
              <w:cnfStyle w:val="000000000000" w:firstRow="0" w:lastRow="0" w:firstColumn="0" w:lastColumn="0" w:oddVBand="0" w:evenVBand="0" w:oddHBand="0" w:evenHBand="0" w:firstRowFirstColumn="0" w:firstRowLastColumn="0" w:lastRowFirstColumn="0" w:lastRowLastColumn="0"/>
            </w:pPr>
            <w:r w:rsidRPr="007B4FF7">
              <w:t>29.8</w:t>
            </w:r>
          </w:p>
        </w:tc>
        <w:tc>
          <w:tcPr>
            <w:tcW w:w="566" w:type="pct"/>
            <w:noWrap/>
            <w:vAlign w:val="bottom"/>
          </w:tcPr>
          <w:p w:rsidR="007B4FF7" w:rsidRPr="007B4FF7" w:rsidRDefault="007B4FF7" w:rsidP="007B4FF7">
            <w:pPr>
              <w:cnfStyle w:val="000000000000" w:firstRow="0" w:lastRow="0" w:firstColumn="0" w:lastColumn="0" w:oddVBand="0" w:evenVBand="0" w:oddHBand="0" w:evenHBand="0" w:firstRowFirstColumn="0" w:firstRowLastColumn="0" w:lastRowFirstColumn="0" w:lastRowLastColumn="0"/>
            </w:pPr>
            <w:r w:rsidRPr="007B4FF7">
              <w:t>34.2</w:t>
            </w:r>
          </w:p>
        </w:tc>
        <w:tc>
          <w:tcPr>
            <w:tcW w:w="567" w:type="pct"/>
            <w:noWrap/>
            <w:vAlign w:val="bottom"/>
          </w:tcPr>
          <w:p w:rsidR="007B4FF7" w:rsidRPr="007B4FF7" w:rsidRDefault="007B4FF7" w:rsidP="007B4FF7">
            <w:pPr>
              <w:cnfStyle w:val="000000000000" w:firstRow="0" w:lastRow="0" w:firstColumn="0" w:lastColumn="0" w:oddVBand="0" w:evenVBand="0" w:oddHBand="0" w:evenHBand="0" w:firstRowFirstColumn="0" w:firstRowLastColumn="0" w:lastRowFirstColumn="0" w:lastRowLastColumn="0"/>
            </w:pPr>
            <w:r w:rsidRPr="007B4FF7">
              <w:t>38.9</w:t>
            </w:r>
          </w:p>
        </w:tc>
      </w:tr>
      <w:tr w:rsidR="007B4FF7" w:rsidRPr="00237902" w:rsidTr="00457B65">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168" w:type="pct"/>
            <w:noWrap/>
            <w:hideMark/>
          </w:tcPr>
          <w:p w:rsidR="007B4FF7" w:rsidRPr="007B4FF7" w:rsidRDefault="007B4FF7" w:rsidP="007B4FF7">
            <w:r w:rsidRPr="007B4FF7">
              <w:rPr>
                <w:rStyle w:val="AERtextitalic"/>
              </w:rPr>
              <w:t>Less</w:t>
            </w:r>
            <w:r w:rsidRPr="007B4FF7">
              <w:t>: straight-line depreciation</w:t>
            </w:r>
          </w:p>
        </w:tc>
        <w:tc>
          <w:tcPr>
            <w:tcW w:w="566" w:type="pct"/>
            <w:noWrap/>
            <w:vAlign w:val="bottom"/>
          </w:tcPr>
          <w:p w:rsidR="007B4FF7" w:rsidRPr="007B4FF7" w:rsidRDefault="007B4FF7" w:rsidP="007B4FF7">
            <w:pPr>
              <w:cnfStyle w:val="000000010000" w:firstRow="0" w:lastRow="0" w:firstColumn="0" w:lastColumn="0" w:oddVBand="0" w:evenVBand="0" w:oddHBand="0" w:evenHBand="1" w:firstRowFirstColumn="0" w:firstRowLastColumn="0" w:lastRowFirstColumn="0" w:lastRowLastColumn="0"/>
            </w:pPr>
            <w:r w:rsidRPr="007B4FF7">
              <w:t>68.0</w:t>
            </w:r>
          </w:p>
        </w:tc>
        <w:tc>
          <w:tcPr>
            <w:tcW w:w="566" w:type="pct"/>
            <w:noWrap/>
            <w:vAlign w:val="bottom"/>
          </w:tcPr>
          <w:p w:rsidR="007B4FF7" w:rsidRPr="007B4FF7" w:rsidRDefault="007B4FF7" w:rsidP="007B4FF7">
            <w:pPr>
              <w:cnfStyle w:val="000000010000" w:firstRow="0" w:lastRow="0" w:firstColumn="0" w:lastColumn="0" w:oddVBand="0" w:evenVBand="0" w:oddHBand="0" w:evenHBand="1" w:firstRowFirstColumn="0" w:firstRowLastColumn="0" w:lastRowFirstColumn="0" w:lastRowLastColumn="0"/>
            </w:pPr>
            <w:r w:rsidRPr="007B4FF7">
              <w:t>74.0</w:t>
            </w:r>
          </w:p>
        </w:tc>
        <w:tc>
          <w:tcPr>
            <w:tcW w:w="567" w:type="pct"/>
            <w:noWrap/>
            <w:vAlign w:val="bottom"/>
          </w:tcPr>
          <w:p w:rsidR="007B4FF7" w:rsidRPr="007B4FF7" w:rsidRDefault="007B4FF7" w:rsidP="007B4FF7">
            <w:pPr>
              <w:cnfStyle w:val="000000010000" w:firstRow="0" w:lastRow="0" w:firstColumn="0" w:lastColumn="0" w:oddVBand="0" w:evenVBand="0" w:oddHBand="0" w:evenHBand="1" w:firstRowFirstColumn="0" w:firstRowLastColumn="0" w:lastRowFirstColumn="0" w:lastRowLastColumn="0"/>
            </w:pPr>
            <w:r w:rsidRPr="007B4FF7">
              <w:t>79.1</w:t>
            </w:r>
          </w:p>
        </w:tc>
        <w:tc>
          <w:tcPr>
            <w:tcW w:w="566" w:type="pct"/>
            <w:noWrap/>
            <w:vAlign w:val="bottom"/>
          </w:tcPr>
          <w:p w:rsidR="007B4FF7" w:rsidRPr="007B4FF7" w:rsidRDefault="007B4FF7" w:rsidP="007B4FF7">
            <w:pPr>
              <w:cnfStyle w:val="000000010000" w:firstRow="0" w:lastRow="0" w:firstColumn="0" w:lastColumn="0" w:oddVBand="0" w:evenVBand="0" w:oddHBand="0" w:evenHBand="1" w:firstRowFirstColumn="0" w:firstRowLastColumn="0" w:lastRowFirstColumn="0" w:lastRowLastColumn="0"/>
            </w:pPr>
            <w:r w:rsidRPr="007B4FF7">
              <w:t>84.9</w:t>
            </w:r>
          </w:p>
        </w:tc>
        <w:tc>
          <w:tcPr>
            <w:tcW w:w="567" w:type="pct"/>
            <w:noWrap/>
            <w:vAlign w:val="bottom"/>
          </w:tcPr>
          <w:p w:rsidR="007B4FF7" w:rsidRPr="007B4FF7" w:rsidRDefault="007B4FF7" w:rsidP="007B4FF7">
            <w:pPr>
              <w:cnfStyle w:val="000000010000" w:firstRow="0" w:lastRow="0" w:firstColumn="0" w:lastColumn="0" w:oddVBand="0" w:evenVBand="0" w:oddHBand="0" w:evenHBand="1" w:firstRowFirstColumn="0" w:firstRowLastColumn="0" w:lastRowFirstColumn="0" w:lastRowLastColumn="0"/>
            </w:pPr>
            <w:r w:rsidRPr="007B4FF7">
              <w:t>92.1</w:t>
            </w:r>
          </w:p>
        </w:tc>
      </w:tr>
      <w:tr w:rsidR="007B4FF7" w:rsidRPr="008978BA" w:rsidTr="00457B65">
        <w:trPr>
          <w:trHeight w:val="303"/>
        </w:trPr>
        <w:tc>
          <w:tcPr>
            <w:cnfStyle w:val="001000000000" w:firstRow="0" w:lastRow="0" w:firstColumn="1" w:lastColumn="0" w:oddVBand="0" w:evenVBand="0" w:oddHBand="0" w:evenHBand="0" w:firstRowFirstColumn="0" w:firstRowLastColumn="0" w:lastRowFirstColumn="0" w:lastRowLastColumn="0"/>
            <w:tcW w:w="2168" w:type="pct"/>
            <w:noWrap/>
            <w:hideMark/>
          </w:tcPr>
          <w:p w:rsidR="007B4FF7" w:rsidRPr="007B4FF7" w:rsidRDefault="007B4FF7" w:rsidP="007B4FF7">
            <w:r w:rsidRPr="007B4FF7">
              <w:t>Closing RAB</w:t>
            </w:r>
          </w:p>
        </w:tc>
        <w:tc>
          <w:tcPr>
            <w:tcW w:w="566" w:type="pct"/>
            <w:noWrap/>
            <w:vAlign w:val="bottom"/>
          </w:tcPr>
          <w:p w:rsidR="007B4FF7" w:rsidRPr="007B4FF7" w:rsidRDefault="007B4FF7" w:rsidP="007B4FF7">
            <w:pPr>
              <w:cnfStyle w:val="000000000000" w:firstRow="0" w:lastRow="0" w:firstColumn="0" w:lastColumn="0" w:oddVBand="0" w:evenVBand="0" w:oddHBand="0" w:evenHBand="0" w:firstRowFirstColumn="0" w:firstRowLastColumn="0" w:lastRowFirstColumn="0" w:lastRowLastColumn="0"/>
            </w:pPr>
            <w:r w:rsidRPr="007B4FF7">
              <w:t>1395.7</w:t>
            </w:r>
          </w:p>
        </w:tc>
        <w:tc>
          <w:tcPr>
            <w:tcW w:w="566" w:type="pct"/>
            <w:noWrap/>
            <w:vAlign w:val="bottom"/>
          </w:tcPr>
          <w:p w:rsidR="007B4FF7" w:rsidRPr="007B4FF7" w:rsidRDefault="007B4FF7" w:rsidP="007B4FF7">
            <w:pPr>
              <w:cnfStyle w:val="000000000000" w:firstRow="0" w:lastRow="0" w:firstColumn="0" w:lastColumn="0" w:oddVBand="0" w:evenVBand="0" w:oddHBand="0" w:evenHBand="0" w:firstRowFirstColumn="0" w:firstRowLastColumn="0" w:lastRowFirstColumn="0" w:lastRowLastColumn="0"/>
            </w:pPr>
            <w:r w:rsidRPr="007B4FF7">
              <w:t>1488.8</w:t>
            </w:r>
          </w:p>
        </w:tc>
        <w:tc>
          <w:tcPr>
            <w:tcW w:w="567" w:type="pct"/>
            <w:noWrap/>
            <w:vAlign w:val="bottom"/>
          </w:tcPr>
          <w:p w:rsidR="007B4FF7" w:rsidRPr="007B4FF7" w:rsidRDefault="007B4FF7" w:rsidP="007B4FF7">
            <w:pPr>
              <w:cnfStyle w:val="000000000000" w:firstRow="0" w:lastRow="0" w:firstColumn="0" w:lastColumn="0" w:oddVBand="0" w:evenVBand="0" w:oddHBand="0" w:evenHBand="0" w:firstRowFirstColumn="0" w:firstRowLastColumn="0" w:lastRowFirstColumn="0" w:lastRowLastColumn="0"/>
            </w:pPr>
            <w:r w:rsidRPr="007B4FF7">
              <w:t>1580.9</w:t>
            </w:r>
          </w:p>
        </w:tc>
        <w:tc>
          <w:tcPr>
            <w:tcW w:w="566" w:type="pct"/>
            <w:noWrap/>
            <w:vAlign w:val="bottom"/>
          </w:tcPr>
          <w:p w:rsidR="007B4FF7" w:rsidRPr="007B4FF7" w:rsidRDefault="007B4FF7" w:rsidP="007B4FF7">
            <w:pPr>
              <w:cnfStyle w:val="000000000000" w:firstRow="0" w:lastRow="0" w:firstColumn="0" w:lastColumn="0" w:oddVBand="0" w:evenVBand="0" w:oddHBand="0" w:evenHBand="0" w:firstRowFirstColumn="0" w:firstRowLastColumn="0" w:lastRowFirstColumn="0" w:lastRowLastColumn="0"/>
            </w:pPr>
            <w:r w:rsidRPr="007B4FF7">
              <w:t>1686.4</w:t>
            </w:r>
          </w:p>
        </w:tc>
        <w:tc>
          <w:tcPr>
            <w:tcW w:w="567" w:type="pct"/>
            <w:noWrap/>
            <w:vAlign w:val="bottom"/>
          </w:tcPr>
          <w:p w:rsidR="007B4FF7" w:rsidRPr="007B4FF7" w:rsidRDefault="007B4FF7" w:rsidP="007B4FF7">
            <w:pPr>
              <w:cnfStyle w:val="000000000000" w:firstRow="0" w:lastRow="0" w:firstColumn="0" w:lastColumn="0" w:oddVBand="0" w:evenVBand="0" w:oddHBand="0" w:evenHBand="0" w:firstRowFirstColumn="0" w:firstRowLastColumn="0" w:lastRowFirstColumn="0" w:lastRowLastColumn="0"/>
            </w:pPr>
            <w:r w:rsidRPr="007B4FF7">
              <w:t>1780.8</w:t>
            </w:r>
          </w:p>
        </w:tc>
      </w:tr>
      <w:tr w:rsidR="007B4FF7" w:rsidRPr="00237902" w:rsidTr="00457B65">
        <w:trPr>
          <w:cnfStyle w:val="000000010000" w:firstRow="0" w:lastRow="0" w:firstColumn="0" w:lastColumn="0" w:oddVBand="0" w:evenVBand="0" w:oddHBand="0" w:evenHBand="1"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2168" w:type="pct"/>
            <w:hideMark/>
          </w:tcPr>
          <w:p w:rsidR="007B4FF7" w:rsidRPr="007B4FF7" w:rsidRDefault="007B4FF7" w:rsidP="007B4FF7">
            <w:r w:rsidRPr="007B4FF7">
              <w:t>Difference between estimated and actual 2010 capex (1 January 2010 to 31 December 2010)</w:t>
            </w:r>
          </w:p>
        </w:tc>
        <w:tc>
          <w:tcPr>
            <w:tcW w:w="566" w:type="pct"/>
            <w:noWrap/>
            <w:vAlign w:val="bottom"/>
          </w:tcPr>
          <w:p w:rsidR="007B4FF7" w:rsidRPr="007B4FF7" w:rsidRDefault="007B4FF7">
            <w:pPr>
              <w:cnfStyle w:val="000000010000" w:firstRow="0" w:lastRow="0" w:firstColumn="0" w:lastColumn="0" w:oddVBand="0" w:evenVBand="0" w:oddHBand="0" w:evenHBand="1" w:firstRowFirstColumn="0" w:firstRowLastColumn="0" w:lastRowFirstColumn="0" w:lastRowLastColumn="0"/>
            </w:pPr>
            <w:r w:rsidRPr="007B4FF7">
              <w:t> </w:t>
            </w:r>
          </w:p>
        </w:tc>
        <w:tc>
          <w:tcPr>
            <w:tcW w:w="566" w:type="pct"/>
            <w:noWrap/>
            <w:vAlign w:val="bottom"/>
          </w:tcPr>
          <w:p w:rsidR="007B4FF7" w:rsidRPr="007B4FF7" w:rsidRDefault="007B4FF7">
            <w:pPr>
              <w:cnfStyle w:val="000000010000" w:firstRow="0" w:lastRow="0" w:firstColumn="0" w:lastColumn="0" w:oddVBand="0" w:evenVBand="0" w:oddHBand="0" w:evenHBand="1" w:firstRowFirstColumn="0" w:firstRowLastColumn="0" w:lastRowFirstColumn="0" w:lastRowLastColumn="0"/>
            </w:pPr>
            <w:r w:rsidRPr="007B4FF7">
              <w:t> </w:t>
            </w:r>
          </w:p>
        </w:tc>
        <w:tc>
          <w:tcPr>
            <w:tcW w:w="567" w:type="pct"/>
            <w:noWrap/>
            <w:vAlign w:val="bottom"/>
          </w:tcPr>
          <w:p w:rsidR="007B4FF7" w:rsidRPr="007B4FF7" w:rsidRDefault="007B4FF7">
            <w:pPr>
              <w:cnfStyle w:val="000000010000" w:firstRow="0" w:lastRow="0" w:firstColumn="0" w:lastColumn="0" w:oddVBand="0" w:evenVBand="0" w:oddHBand="0" w:evenHBand="1" w:firstRowFirstColumn="0" w:firstRowLastColumn="0" w:lastRowFirstColumn="0" w:lastRowLastColumn="0"/>
            </w:pPr>
            <w:r w:rsidRPr="007B4FF7">
              <w:t> </w:t>
            </w:r>
          </w:p>
        </w:tc>
        <w:tc>
          <w:tcPr>
            <w:tcW w:w="566" w:type="pct"/>
            <w:noWrap/>
            <w:vAlign w:val="bottom"/>
          </w:tcPr>
          <w:p w:rsidR="007B4FF7" w:rsidRPr="007B4FF7" w:rsidRDefault="007B4FF7">
            <w:pPr>
              <w:cnfStyle w:val="000000010000" w:firstRow="0" w:lastRow="0" w:firstColumn="0" w:lastColumn="0" w:oddVBand="0" w:evenVBand="0" w:oddHBand="0" w:evenHBand="1" w:firstRowFirstColumn="0" w:firstRowLastColumn="0" w:lastRowFirstColumn="0" w:lastRowLastColumn="0"/>
            </w:pPr>
            <w:r w:rsidRPr="007B4FF7">
              <w:t> </w:t>
            </w:r>
          </w:p>
        </w:tc>
        <w:tc>
          <w:tcPr>
            <w:tcW w:w="567" w:type="pct"/>
            <w:noWrap/>
            <w:vAlign w:val="bottom"/>
          </w:tcPr>
          <w:p w:rsidR="007B4FF7" w:rsidRPr="007B4FF7" w:rsidRDefault="009719B1" w:rsidP="007B4FF7">
            <w:pPr>
              <w:cnfStyle w:val="000000010000" w:firstRow="0" w:lastRow="0" w:firstColumn="0" w:lastColumn="0" w:oddVBand="0" w:evenVBand="0" w:oddHBand="0" w:evenHBand="1" w:firstRowFirstColumn="0" w:firstRowLastColumn="0" w:lastRowFirstColumn="0" w:lastRowLastColumn="0"/>
            </w:pPr>
            <w:r>
              <w:t>–</w:t>
            </w:r>
            <w:r w:rsidR="007B4FF7" w:rsidRPr="007B4FF7">
              <w:t>21.4</w:t>
            </w:r>
          </w:p>
        </w:tc>
      </w:tr>
      <w:tr w:rsidR="007B4FF7" w:rsidRPr="00237902" w:rsidTr="00457B65">
        <w:trPr>
          <w:trHeight w:val="303"/>
        </w:trPr>
        <w:tc>
          <w:tcPr>
            <w:cnfStyle w:val="001000000000" w:firstRow="0" w:lastRow="0" w:firstColumn="1" w:lastColumn="0" w:oddVBand="0" w:evenVBand="0" w:oddHBand="0" w:evenHBand="0" w:firstRowFirstColumn="0" w:firstRowLastColumn="0" w:lastRowFirstColumn="0" w:lastRowLastColumn="0"/>
            <w:tcW w:w="2168" w:type="pct"/>
            <w:hideMark/>
          </w:tcPr>
          <w:p w:rsidR="007B4FF7" w:rsidRPr="007B4FF7" w:rsidRDefault="007B4FF7" w:rsidP="007B4FF7">
            <w:r w:rsidRPr="007B4FF7">
              <w:t>Return on difference for 2010 capex</w:t>
            </w:r>
          </w:p>
        </w:tc>
        <w:tc>
          <w:tcPr>
            <w:tcW w:w="566" w:type="pct"/>
            <w:noWrap/>
            <w:vAlign w:val="bottom"/>
          </w:tcPr>
          <w:p w:rsidR="007B4FF7" w:rsidRPr="007B4FF7" w:rsidRDefault="007B4FF7">
            <w:pPr>
              <w:cnfStyle w:val="000000000000" w:firstRow="0" w:lastRow="0" w:firstColumn="0" w:lastColumn="0" w:oddVBand="0" w:evenVBand="0" w:oddHBand="0" w:evenHBand="0" w:firstRowFirstColumn="0" w:firstRowLastColumn="0" w:lastRowFirstColumn="0" w:lastRowLastColumn="0"/>
            </w:pPr>
            <w:r w:rsidRPr="007B4FF7">
              <w:t> </w:t>
            </w:r>
          </w:p>
        </w:tc>
        <w:tc>
          <w:tcPr>
            <w:tcW w:w="566" w:type="pct"/>
            <w:noWrap/>
            <w:vAlign w:val="bottom"/>
          </w:tcPr>
          <w:p w:rsidR="007B4FF7" w:rsidRPr="007B4FF7" w:rsidRDefault="007B4FF7">
            <w:pPr>
              <w:cnfStyle w:val="000000000000" w:firstRow="0" w:lastRow="0" w:firstColumn="0" w:lastColumn="0" w:oddVBand="0" w:evenVBand="0" w:oddHBand="0" w:evenHBand="0" w:firstRowFirstColumn="0" w:firstRowLastColumn="0" w:lastRowFirstColumn="0" w:lastRowLastColumn="0"/>
            </w:pPr>
            <w:r w:rsidRPr="007B4FF7">
              <w:t> </w:t>
            </w:r>
          </w:p>
        </w:tc>
        <w:tc>
          <w:tcPr>
            <w:tcW w:w="567" w:type="pct"/>
            <w:noWrap/>
            <w:vAlign w:val="bottom"/>
          </w:tcPr>
          <w:p w:rsidR="007B4FF7" w:rsidRPr="007B4FF7" w:rsidRDefault="007B4FF7">
            <w:pPr>
              <w:cnfStyle w:val="000000000000" w:firstRow="0" w:lastRow="0" w:firstColumn="0" w:lastColumn="0" w:oddVBand="0" w:evenVBand="0" w:oddHBand="0" w:evenHBand="0" w:firstRowFirstColumn="0" w:firstRowLastColumn="0" w:lastRowFirstColumn="0" w:lastRowLastColumn="0"/>
            </w:pPr>
            <w:r w:rsidRPr="007B4FF7">
              <w:t> </w:t>
            </w:r>
          </w:p>
        </w:tc>
        <w:tc>
          <w:tcPr>
            <w:tcW w:w="566" w:type="pct"/>
            <w:noWrap/>
            <w:vAlign w:val="bottom"/>
          </w:tcPr>
          <w:p w:rsidR="007B4FF7" w:rsidRPr="007B4FF7" w:rsidRDefault="007B4FF7">
            <w:pPr>
              <w:cnfStyle w:val="000000000000" w:firstRow="0" w:lastRow="0" w:firstColumn="0" w:lastColumn="0" w:oddVBand="0" w:evenVBand="0" w:oddHBand="0" w:evenHBand="0" w:firstRowFirstColumn="0" w:firstRowLastColumn="0" w:lastRowFirstColumn="0" w:lastRowLastColumn="0"/>
            </w:pPr>
            <w:r w:rsidRPr="007B4FF7">
              <w:t> </w:t>
            </w:r>
          </w:p>
        </w:tc>
        <w:tc>
          <w:tcPr>
            <w:tcW w:w="567" w:type="pct"/>
            <w:noWrap/>
            <w:vAlign w:val="bottom"/>
          </w:tcPr>
          <w:p w:rsidR="007B4FF7" w:rsidRPr="007B4FF7" w:rsidRDefault="009719B1" w:rsidP="007B4FF7">
            <w:pPr>
              <w:cnfStyle w:val="000000000000" w:firstRow="0" w:lastRow="0" w:firstColumn="0" w:lastColumn="0" w:oddVBand="0" w:evenVBand="0" w:oddHBand="0" w:evenHBand="0" w:firstRowFirstColumn="0" w:firstRowLastColumn="0" w:lastRowFirstColumn="0" w:lastRowLastColumn="0"/>
            </w:pPr>
            <w:r>
              <w:t>–</w:t>
            </w:r>
            <w:r w:rsidR="007B4FF7" w:rsidRPr="007B4FF7">
              <w:t>12.2</w:t>
            </w:r>
          </w:p>
        </w:tc>
      </w:tr>
      <w:tr w:rsidR="007B4FF7" w:rsidRPr="003D02A8" w:rsidTr="00457B65">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168" w:type="pct"/>
            <w:noWrap/>
          </w:tcPr>
          <w:p w:rsidR="007B4FF7" w:rsidRPr="007B4FF7" w:rsidRDefault="007B4FF7" w:rsidP="007B4FF7">
            <w:r w:rsidRPr="007B4FF7">
              <w:t>Six months CPI adjustment</w:t>
            </w:r>
          </w:p>
        </w:tc>
        <w:tc>
          <w:tcPr>
            <w:tcW w:w="566" w:type="pct"/>
            <w:noWrap/>
            <w:vAlign w:val="bottom"/>
          </w:tcPr>
          <w:p w:rsidR="007B4FF7" w:rsidRPr="007B4FF7" w:rsidRDefault="007B4FF7" w:rsidP="007B4FF7">
            <w:pPr>
              <w:cnfStyle w:val="000000010000" w:firstRow="0" w:lastRow="0" w:firstColumn="0" w:lastColumn="0" w:oddVBand="0" w:evenVBand="0" w:oddHBand="0" w:evenHBand="1" w:firstRowFirstColumn="0" w:firstRowLastColumn="0" w:lastRowFirstColumn="0" w:lastRowLastColumn="0"/>
            </w:pPr>
          </w:p>
        </w:tc>
        <w:tc>
          <w:tcPr>
            <w:tcW w:w="566" w:type="pct"/>
            <w:noWrap/>
            <w:vAlign w:val="bottom"/>
          </w:tcPr>
          <w:p w:rsidR="007B4FF7" w:rsidRPr="007B4FF7" w:rsidRDefault="007B4FF7" w:rsidP="007B4FF7">
            <w:pPr>
              <w:cnfStyle w:val="000000010000" w:firstRow="0" w:lastRow="0" w:firstColumn="0" w:lastColumn="0" w:oddVBand="0" w:evenVBand="0" w:oddHBand="0" w:evenHBand="1" w:firstRowFirstColumn="0" w:firstRowLastColumn="0" w:lastRowFirstColumn="0" w:lastRowLastColumn="0"/>
            </w:pPr>
          </w:p>
        </w:tc>
        <w:tc>
          <w:tcPr>
            <w:tcW w:w="567" w:type="pct"/>
            <w:noWrap/>
            <w:vAlign w:val="bottom"/>
          </w:tcPr>
          <w:p w:rsidR="007B4FF7" w:rsidRPr="007B4FF7" w:rsidRDefault="007B4FF7" w:rsidP="007B4FF7">
            <w:pPr>
              <w:cnfStyle w:val="000000010000" w:firstRow="0" w:lastRow="0" w:firstColumn="0" w:lastColumn="0" w:oddVBand="0" w:evenVBand="0" w:oddHBand="0" w:evenHBand="1" w:firstRowFirstColumn="0" w:firstRowLastColumn="0" w:lastRowFirstColumn="0" w:lastRowLastColumn="0"/>
            </w:pPr>
          </w:p>
        </w:tc>
        <w:tc>
          <w:tcPr>
            <w:tcW w:w="566" w:type="pct"/>
            <w:noWrap/>
            <w:vAlign w:val="bottom"/>
          </w:tcPr>
          <w:p w:rsidR="007B4FF7" w:rsidRPr="007B4FF7" w:rsidRDefault="007B4FF7" w:rsidP="007B4FF7">
            <w:pPr>
              <w:cnfStyle w:val="000000010000" w:firstRow="0" w:lastRow="0" w:firstColumn="0" w:lastColumn="0" w:oddVBand="0" w:evenVBand="0" w:oddHBand="0" w:evenHBand="1" w:firstRowFirstColumn="0" w:firstRowLastColumn="0" w:lastRowFirstColumn="0" w:lastRowLastColumn="0"/>
            </w:pPr>
          </w:p>
        </w:tc>
        <w:tc>
          <w:tcPr>
            <w:tcW w:w="567" w:type="pct"/>
            <w:noWrap/>
            <w:vAlign w:val="bottom"/>
          </w:tcPr>
          <w:p w:rsidR="007B4FF7" w:rsidRPr="007B4FF7" w:rsidRDefault="007B4FF7" w:rsidP="007B4FF7">
            <w:pPr>
              <w:cnfStyle w:val="000000010000" w:firstRow="0" w:lastRow="0" w:firstColumn="0" w:lastColumn="0" w:oddVBand="0" w:evenVBand="0" w:oddHBand="0" w:evenHBand="1" w:firstRowFirstColumn="0" w:firstRowLastColumn="0" w:lastRowFirstColumn="0" w:lastRowLastColumn="0"/>
            </w:pPr>
            <w:r w:rsidRPr="007B4FF7">
              <w:t>15.7</w:t>
            </w:r>
          </w:p>
        </w:tc>
      </w:tr>
      <w:tr w:rsidR="007B4FF7" w:rsidRPr="007B4FF7" w:rsidTr="00457B65">
        <w:trPr>
          <w:trHeight w:val="303"/>
        </w:trPr>
        <w:tc>
          <w:tcPr>
            <w:cnfStyle w:val="001000000000" w:firstRow="0" w:lastRow="0" w:firstColumn="1" w:lastColumn="0" w:oddVBand="0" w:evenVBand="0" w:oddHBand="0" w:evenHBand="0" w:firstRowFirstColumn="0" w:firstRowLastColumn="0" w:lastRowFirstColumn="0" w:lastRowLastColumn="0"/>
            <w:tcW w:w="2168" w:type="pct"/>
            <w:noWrap/>
            <w:hideMark/>
          </w:tcPr>
          <w:p w:rsidR="007B4FF7" w:rsidRPr="007B4FF7" w:rsidRDefault="007B4FF7" w:rsidP="007B4FF7">
            <w:pPr>
              <w:rPr>
                <w:rStyle w:val="Strong"/>
              </w:rPr>
            </w:pPr>
            <w:r w:rsidRPr="007B4FF7">
              <w:rPr>
                <w:rStyle w:val="Strong"/>
              </w:rPr>
              <w:t>Closing RAB as at 31 December 2015</w:t>
            </w:r>
          </w:p>
        </w:tc>
        <w:tc>
          <w:tcPr>
            <w:tcW w:w="566" w:type="pct"/>
            <w:noWrap/>
            <w:vAlign w:val="bottom"/>
          </w:tcPr>
          <w:p w:rsidR="007B4FF7" w:rsidRPr="007B4FF7" w:rsidRDefault="007B4FF7" w:rsidP="007B4FF7">
            <w:pPr>
              <w:cnfStyle w:val="000000000000" w:firstRow="0" w:lastRow="0" w:firstColumn="0" w:lastColumn="0" w:oddVBand="0" w:evenVBand="0" w:oddHBand="0" w:evenHBand="0" w:firstRowFirstColumn="0" w:firstRowLastColumn="0" w:lastRowFirstColumn="0" w:lastRowLastColumn="0"/>
              <w:rPr>
                <w:rStyle w:val="Strong"/>
              </w:rPr>
            </w:pPr>
          </w:p>
        </w:tc>
        <w:tc>
          <w:tcPr>
            <w:tcW w:w="566" w:type="pct"/>
            <w:noWrap/>
            <w:vAlign w:val="bottom"/>
          </w:tcPr>
          <w:p w:rsidR="007B4FF7" w:rsidRPr="007B4FF7" w:rsidRDefault="007B4FF7" w:rsidP="007B4FF7">
            <w:pPr>
              <w:cnfStyle w:val="000000000000" w:firstRow="0" w:lastRow="0" w:firstColumn="0" w:lastColumn="0" w:oddVBand="0" w:evenVBand="0" w:oddHBand="0" w:evenHBand="0" w:firstRowFirstColumn="0" w:firstRowLastColumn="0" w:lastRowFirstColumn="0" w:lastRowLastColumn="0"/>
              <w:rPr>
                <w:rStyle w:val="Strong"/>
              </w:rPr>
            </w:pPr>
          </w:p>
        </w:tc>
        <w:tc>
          <w:tcPr>
            <w:tcW w:w="567" w:type="pct"/>
            <w:noWrap/>
            <w:vAlign w:val="bottom"/>
          </w:tcPr>
          <w:p w:rsidR="007B4FF7" w:rsidRPr="007B4FF7" w:rsidRDefault="007B4FF7" w:rsidP="007B4FF7">
            <w:pPr>
              <w:cnfStyle w:val="000000000000" w:firstRow="0" w:lastRow="0" w:firstColumn="0" w:lastColumn="0" w:oddVBand="0" w:evenVBand="0" w:oddHBand="0" w:evenHBand="0" w:firstRowFirstColumn="0" w:firstRowLastColumn="0" w:lastRowFirstColumn="0" w:lastRowLastColumn="0"/>
              <w:rPr>
                <w:rStyle w:val="Strong"/>
              </w:rPr>
            </w:pPr>
          </w:p>
        </w:tc>
        <w:tc>
          <w:tcPr>
            <w:tcW w:w="566" w:type="pct"/>
            <w:noWrap/>
            <w:vAlign w:val="bottom"/>
          </w:tcPr>
          <w:p w:rsidR="007B4FF7" w:rsidRPr="007B4FF7" w:rsidRDefault="007B4FF7" w:rsidP="007B4FF7">
            <w:pPr>
              <w:cnfStyle w:val="000000000000" w:firstRow="0" w:lastRow="0" w:firstColumn="0" w:lastColumn="0" w:oddVBand="0" w:evenVBand="0" w:oddHBand="0" w:evenHBand="0" w:firstRowFirstColumn="0" w:firstRowLastColumn="0" w:lastRowFirstColumn="0" w:lastRowLastColumn="0"/>
              <w:rPr>
                <w:rStyle w:val="Strong"/>
              </w:rPr>
            </w:pPr>
          </w:p>
        </w:tc>
        <w:tc>
          <w:tcPr>
            <w:tcW w:w="567" w:type="pct"/>
            <w:noWrap/>
            <w:vAlign w:val="bottom"/>
          </w:tcPr>
          <w:p w:rsidR="007B4FF7" w:rsidRPr="007B4FF7" w:rsidRDefault="007B4FF7" w:rsidP="007B4FF7">
            <w:pPr>
              <w:cnfStyle w:val="000000000000" w:firstRow="0" w:lastRow="0" w:firstColumn="0" w:lastColumn="0" w:oddVBand="0" w:evenVBand="0" w:oddHBand="0" w:evenHBand="0" w:firstRowFirstColumn="0" w:firstRowLastColumn="0" w:lastRowFirstColumn="0" w:lastRowLastColumn="0"/>
              <w:rPr>
                <w:rStyle w:val="Strong"/>
              </w:rPr>
            </w:pPr>
            <w:r w:rsidRPr="007B4FF7">
              <w:rPr>
                <w:rStyle w:val="Strong"/>
              </w:rPr>
              <w:t>1762.9</w:t>
            </w:r>
          </w:p>
        </w:tc>
      </w:tr>
    </w:tbl>
    <w:p w:rsidR="00457B65" w:rsidRPr="009D678A" w:rsidRDefault="00457B65" w:rsidP="00457B65">
      <w:pPr>
        <w:pStyle w:val="AERtablesource"/>
      </w:pPr>
      <w:r w:rsidRPr="009D678A">
        <w:t>Source:</w:t>
      </w:r>
      <w:r w:rsidRPr="009D678A">
        <w:tab/>
        <w:t>AER analysis.</w:t>
      </w:r>
    </w:p>
    <w:p w:rsidR="00457B65" w:rsidRPr="009D678A" w:rsidRDefault="00457B65" w:rsidP="00457B65">
      <w:pPr>
        <w:pStyle w:val="AERtablesource"/>
      </w:pPr>
      <w:r w:rsidRPr="009D678A">
        <w:t>(a)</w:t>
      </w:r>
      <w:r w:rsidRPr="009D678A">
        <w:tab/>
        <w:t xml:space="preserve">Based on estimated capex. </w:t>
      </w:r>
    </w:p>
    <w:p w:rsidR="00457B65" w:rsidRDefault="00457B65" w:rsidP="00457B65">
      <w:pPr>
        <w:pStyle w:val="AERtablesource"/>
      </w:pPr>
      <w:r w:rsidRPr="009D678A">
        <w:t>(b)</w:t>
      </w:r>
      <w:r w:rsidRPr="009D678A">
        <w:tab/>
        <w:t>Net of disposals and capital contributions, and adjusted for CPI.</w:t>
      </w:r>
    </w:p>
    <w:p w:rsidR="00457B65" w:rsidRDefault="00457B65" w:rsidP="00457B65">
      <w:pPr>
        <w:pStyle w:val="Caption"/>
      </w:pPr>
      <w:bookmarkStart w:id="75" w:name="_Ref441132878"/>
      <w:r>
        <w:t xml:space="preserve">Table </w:t>
      </w:r>
      <w:r w:rsidRPr="00457B65">
        <w:fldChar w:fldCharType="begin"/>
      </w:r>
      <w:r>
        <w:instrText xml:space="preserve"> STYLEREF 1 \s </w:instrText>
      </w:r>
      <w:r w:rsidRPr="00457B65">
        <w:fldChar w:fldCharType="separate"/>
      </w:r>
      <w:r w:rsidR="00D37F48">
        <w:rPr>
          <w:noProof/>
        </w:rPr>
        <w:t>2</w:t>
      </w:r>
      <w:r w:rsidRPr="00457B65">
        <w:fldChar w:fldCharType="end"/>
      </w:r>
      <w:r>
        <w:t>.</w:t>
      </w:r>
      <w:r w:rsidRPr="00457B65">
        <w:fldChar w:fldCharType="begin"/>
      </w:r>
      <w:r>
        <w:instrText xml:space="preserve"> SEQ Table \* ARABIC \s 1 </w:instrText>
      </w:r>
      <w:r w:rsidRPr="00457B65">
        <w:fldChar w:fldCharType="separate"/>
      </w:r>
      <w:r w:rsidR="00D37F48">
        <w:rPr>
          <w:noProof/>
        </w:rPr>
        <w:t>2</w:t>
      </w:r>
      <w:r w:rsidRPr="00457B65">
        <w:fldChar w:fldCharType="end"/>
      </w:r>
      <w:bookmarkEnd w:id="75"/>
      <w:r>
        <w:tab/>
      </w:r>
      <w:r w:rsidRPr="009D678A">
        <w:t xml:space="preserve">AER's </w:t>
      </w:r>
      <w:r>
        <w:t>final</w:t>
      </w:r>
      <w:r w:rsidRPr="009D678A">
        <w:t xml:space="preserve"> decision on </w:t>
      </w:r>
      <w:r>
        <w:t>CitiPower</w:t>
      </w:r>
      <w:r w:rsidRPr="009D678A">
        <w:t>'s RAB for the 2016–20 regulatory control period ($ million, nominal)</w:t>
      </w:r>
    </w:p>
    <w:tbl>
      <w:tblPr>
        <w:tblStyle w:val="AERtable-numbers"/>
        <w:tblW w:w="5000" w:type="pct"/>
        <w:tblLayout w:type="fixed"/>
        <w:tblLook w:val="04A0" w:firstRow="1" w:lastRow="0" w:firstColumn="1" w:lastColumn="0" w:noHBand="0" w:noVBand="1"/>
      </w:tblPr>
      <w:tblGrid>
        <w:gridCol w:w="3088"/>
        <w:gridCol w:w="1094"/>
        <w:gridCol w:w="1128"/>
        <w:gridCol w:w="1128"/>
        <w:gridCol w:w="1128"/>
        <w:gridCol w:w="1127"/>
      </w:tblGrid>
      <w:tr w:rsidR="00457B65" w:rsidRPr="00237902" w:rsidTr="009505A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6" w:type="pct"/>
            <w:noWrap/>
            <w:hideMark/>
          </w:tcPr>
          <w:p w:rsidR="00457B65" w:rsidRPr="00457B65" w:rsidRDefault="00457B65" w:rsidP="00457B65">
            <w:r w:rsidRPr="00237902">
              <w:t> </w:t>
            </w:r>
          </w:p>
        </w:tc>
        <w:tc>
          <w:tcPr>
            <w:tcW w:w="629" w:type="pct"/>
            <w:noWrap/>
            <w:hideMark/>
          </w:tcPr>
          <w:p w:rsidR="00457B65" w:rsidRPr="00457B65" w:rsidRDefault="00457B65" w:rsidP="00457B65">
            <w:pPr>
              <w:cnfStyle w:val="100000000000" w:firstRow="1" w:lastRow="0" w:firstColumn="0" w:lastColumn="0" w:oddVBand="0" w:evenVBand="0" w:oddHBand="0" w:evenHBand="0" w:firstRowFirstColumn="0" w:firstRowLastColumn="0" w:lastRowFirstColumn="0" w:lastRowLastColumn="0"/>
            </w:pPr>
            <w:r>
              <w:t>201</w:t>
            </w:r>
            <w:r w:rsidRPr="00457B65">
              <w:t>6</w:t>
            </w:r>
          </w:p>
        </w:tc>
        <w:tc>
          <w:tcPr>
            <w:tcW w:w="649" w:type="pct"/>
            <w:noWrap/>
            <w:hideMark/>
          </w:tcPr>
          <w:p w:rsidR="00457B65" w:rsidRPr="00457B65" w:rsidRDefault="00457B65" w:rsidP="00457B65">
            <w:pPr>
              <w:cnfStyle w:val="100000000000" w:firstRow="1" w:lastRow="0" w:firstColumn="0" w:lastColumn="0" w:oddVBand="0" w:evenVBand="0" w:oddHBand="0" w:evenHBand="0" w:firstRowFirstColumn="0" w:firstRowLastColumn="0" w:lastRowFirstColumn="0" w:lastRowLastColumn="0"/>
            </w:pPr>
            <w:r w:rsidRPr="00237902">
              <w:t>2017</w:t>
            </w:r>
          </w:p>
        </w:tc>
        <w:tc>
          <w:tcPr>
            <w:tcW w:w="649" w:type="pct"/>
            <w:noWrap/>
            <w:hideMark/>
          </w:tcPr>
          <w:p w:rsidR="00457B65" w:rsidRPr="00457B65" w:rsidRDefault="00457B65" w:rsidP="00457B65">
            <w:pPr>
              <w:cnfStyle w:val="100000000000" w:firstRow="1" w:lastRow="0" w:firstColumn="0" w:lastColumn="0" w:oddVBand="0" w:evenVBand="0" w:oddHBand="0" w:evenHBand="0" w:firstRowFirstColumn="0" w:firstRowLastColumn="0" w:lastRowFirstColumn="0" w:lastRowLastColumn="0"/>
            </w:pPr>
            <w:r w:rsidRPr="00237902">
              <w:t>2018</w:t>
            </w:r>
          </w:p>
        </w:tc>
        <w:tc>
          <w:tcPr>
            <w:tcW w:w="649" w:type="pct"/>
            <w:noWrap/>
            <w:hideMark/>
          </w:tcPr>
          <w:p w:rsidR="00457B65" w:rsidRPr="00457B65" w:rsidRDefault="00457B65" w:rsidP="00457B65">
            <w:pPr>
              <w:cnfStyle w:val="100000000000" w:firstRow="1" w:lastRow="0" w:firstColumn="0" w:lastColumn="0" w:oddVBand="0" w:evenVBand="0" w:oddHBand="0" w:evenHBand="0" w:firstRowFirstColumn="0" w:firstRowLastColumn="0" w:lastRowFirstColumn="0" w:lastRowLastColumn="0"/>
            </w:pPr>
            <w:r w:rsidRPr="00237902">
              <w:t>2019</w:t>
            </w:r>
          </w:p>
        </w:tc>
        <w:tc>
          <w:tcPr>
            <w:tcW w:w="648" w:type="pct"/>
            <w:noWrap/>
            <w:hideMark/>
          </w:tcPr>
          <w:p w:rsidR="00457B65" w:rsidRPr="00457B65" w:rsidRDefault="00457B65" w:rsidP="00457B65">
            <w:pPr>
              <w:cnfStyle w:val="100000000000" w:firstRow="1" w:lastRow="0" w:firstColumn="0" w:lastColumn="0" w:oddVBand="0" w:evenVBand="0" w:oddHBand="0" w:evenHBand="0" w:firstRowFirstColumn="0" w:firstRowLastColumn="0" w:lastRowFirstColumn="0" w:lastRowLastColumn="0"/>
            </w:pPr>
            <w:r w:rsidRPr="00237902">
              <w:t>2020</w:t>
            </w:r>
          </w:p>
        </w:tc>
      </w:tr>
      <w:tr w:rsidR="00454881" w:rsidRPr="00237902" w:rsidTr="009505A8">
        <w:trPr>
          <w:trHeight w:val="300"/>
        </w:trPr>
        <w:tc>
          <w:tcPr>
            <w:cnfStyle w:val="001000000000" w:firstRow="0" w:lastRow="0" w:firstColumn="1" w:lastColumn="0" w:oddVBand="0" w:evenVBand="0" w:oddHBand="0" w:evenHBand="0" w:firstRowFirstColumn="0" w:firstRowLastColumn="0" w:lastRowFirstColumn="0" w:lastRowLastColumn="0"/>
            <w:tcW w:w="1776" w:type="pct"/>
            <w:noWrap/>
            <w:hideMark/>
          </w:tcPr>
          <w:p w:rsidR="00454881" w:rsidRPr="00454881" w:rsidRDefault="00454881" w:rsidP="00454881">
            <w:r w:rsidRPr="00454881">
              <w:t>Opening RAB</w:t>
            </w:r>
          </w:p>
        </w:tc>
        <w:tc>
          <w:tcPr>
            <w:tcW w:w="629" w:type="pct"/>
            <w:noWrap/>
            <w:vAlign w:val="bottom"/>
          </w:tcPr>
          <w:p w:rsidR="00454881" w:rsidRPr="00454881" w:rsidRDefault="00454881" w:rsidP="00454881">
            <w:pPr>
              <w:cnfStyle w:val="000000000000" w:firstRow="0" w:lastRow="0" w:firstColumn="0" w:lastColumn="0" w:oddVBand="0" w:evenVBand="0" w:oddHBand="0" w:evenHBand="0" w:firstRowFirstColumn="0" w:firstRowLastColumn="0" w:lastRowFirstColumn="0" w:lastRowLastColumn="0"/>
            </w:pPr>
            <w:r w:rsidRPr="00454881">
              <w:t>1762.9</w:t>
            </w:r>
          </w:p>
        </w:tc>
        <w:tc>
          <w:tcPr>
            <w:tcW w:w="649" w:type="pct"/>
            <w:noWrap/>
            <w:vAlign w:val="bottom"/>
          </w:tcPr>
          <w:p w:rsidR="00454881" w:rsidRPr="00454881" w:rsidRDefault="00454881" w:rsidP="00454881">
            <w:pPr>
              <w:cnfStyle w:val="000000000000" w:firstRow="0" w:lastRow="0" w:firstColumn="0" w:lastColumn="0" w:oddVBand="0" w:evenVBand="0" w:oddHBand="0" w:evenHBand="0" w:firstRowFirstColumn="0" w:firstRowLastColumn="0" w:lastRowFirstColumn="0" w:lastRowLastColumn="0"/>
            </w:pPr>
            <w:r w:rsidRPr="00454881">
              <w:t>1872.9</w:t>
            </w:r>
          </w:p>
        </w:tc>
        <w:tc>
          <w:tcPr>
            <w:tcW w:w="649" w:type="pct"/>
            <w:noWrap/>
            <w:vAlign w:val="bottom"/>
          </w:tcPr>
          <w:p w:rsidR="00454881" w:rsidRPr="00454881" w:rsidRDefault="00454881" w:rsidP="00454881">
            <w:pPr>
              <w:cnfStyle w:val="000000000000" w:firstRow="0" w:lastRow="0" w:firstColumn="0" w:lastColumn="0" w:oddVBand="0" w:evenVBand="0" w:oddHBand="0" w:evenHBand="0" w:firstRowFirstColumn="0" w:firstRowLastColumn="0" w:lastRowFirstColumn="0" w:lastRowLastColumn="0"/>
            </w:pPr>
            <w:r w:rsidRPr="00454881">
              <w:t>2014.4</w:t>
            </w:r>
          </w:p>
        </w:tc>
        <w:tc>
          <w:tcPr>
            <w:tcW w:w="649" w:type="pct"/>
            <w:noWrap/>
            <w:vAlign w:val="bottom"/>
          </w:tcPr>
          <w:p w:rsidR="00454881" w:rsidRPr="00454881" w:rsidRDefault="00454881" w:rsidP="00454881">
            <w:pPr>
              <w:cnfStyle w:val="000000000000" w:firstRow="0" w:lastRow="0" w:firstColumn="0" w:lastColumn="0" w:oddVBand="0" w:evenVBand="0" w:oddHBand="0" w:evenHBand="0" w:firstRowFirstColumn="0" w:firstRowLastColumn="0" w:lastRowFirstColumn="0" w:lastRowLastColumn="0"/>
            </w:pPr>
            <w:r w:rsidRPr="00454881">
              <w:t>2132.7</w:t>
            </w:r>
          </w:p>
        </w:tc>
        <w:tc>
          <w:tcPr>
            <w:tcW w:w="648" w:type="pct"/>
            <w:noWrap/>
            <w:vAlign w:val="bottom"/>
          </w:tcPr>
          <w:p w:rsidR="00454881" w:rsidRPr="00454881" w:rsidRDefault="00454881" w:rsidP="00454881">
            <w:pPr>
              <w:cnfStyle w:val="000000000000" w:firstRow="0" w:lastRow="0" w:firstColumn="0" w:lastColumn="0" w:oddVBand="0" w:evenVBand="0" w:oddHBand="0" w:evenHBand="0" w:firstRowFirstColumn="0" w:firstRowLastColumn="0" w:lastRowFirstColumn="0" w:lastRowLastColumn="0"/>
            </w:pPr>
            <w:r w:rsidRPr="00454881">
              <w:t>2222.1</w:t>
            </w:r>
          </w:p>
        </w:tc>
      </w:tr>
      <w:tr w:rsidR="00454881" w:rsidRPr="00237902" w:rsidTr="009505A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6" w:type="pct"/>
            <w:noWrap/>
            <w:hideMark/>
          </w:tcPr>
          <w:p w:rsidR="00454881" w:rsidRPr="00454881" w:rsidRDefault="00454881" w:rsidP="00454881">
            <w:r w:rsidRPr="00454881">
              <w:t>Capital expenditure</w:t>
            </w:r>
            <w:r w:rsidRPr="00454881">
              <w:rPr>
                <w:rStyle w:val="AERsuperscript"/>
              </w:rPr>
              <w:t>a</w:t>
            </w:r>
          </w:p>
        </w:tc>
        <w:tc>
          <w:tcPr>
            <w:tcW w:w="629" w:type="pct"/>
            <w:noWrap/>
            <w:vAlign w:val="bottom"/>
          </w:tcPr>
          <w:p w:rsidR="00454881" w:rsidRPr="00454881" w:rsidRDefault="00454881" w:rsidP="00454881">
            <w:pPr>
              <w:cnfStyle w:val="000000010000" w:firstRow="0" w:lastRow="0" w:firstColumn="0" w:lastColumn="0" w:oddVBand="0" w:evenVBand="0" w:oddHBand="0" w:evenHBand="1" w:firstRowFirstColumn="0" w:firstRowLastColumn="0" w:lastRowFirstColumn="0" w:lastRowLastColumn="0"/>
            </w:pPr>
            <w:r w:rsidRPr="00454881">
              <w:t>172.0</w:t>
            </w:r>
          </w:p>
        </w:tc>
        <w:tc>
          <w:tcPr>
            <w:tcW w:w="649" w:type="pct"/>
            <w:noWrap/>
            <w:vAlign w:val="bottom"/>
          </w:tcPr>
          <w:p w:rsidR="00454881" w:rsidRPr="00454881" w:rsidRDefault="00454881" w:rsidP="00454881">
            <w:pPr>
              <w:cnfStyle w:val="000000010000" w:firstRow="0" w:lastRow="0" w:firstColumn="0" w:lastColumn="0" w:oddVBand="0" w:evenVBand="0" w:oddHBand="0" w:evenHBand="1" w:firstRowFirstColumn="0" w:firstRowLastColumn="0" w:lastRowFirstColumn="0" w:lastRowLastColumn="0"/>
            </w:pPr>
            <w:r w:rsidRPr="00454881">
              <w:t>203.0</w:t>
            </w:r>
          </w:p>
        </w:tc>
        <w:tc>
          <w:tcPr>
            <w:tcW w:w="649" w:type="pct"/>
            <w:noWrap/>
            <w:vAlign w:val="bottom"/>
          </w:tcPr>
          <w:p w:rsidR="00454881" w:rsidRPr="00454881" w:rsidRDefault="00454881" w:rsidP="00454881">
            <w:pPr>
              <w:cnfStyle w:val="000000010000" w:firstRow="0" w:lastRow="0" w:firstColumn="0" w:lastColumn="0" w:oddVBand="0" w:evenVBand="0" w:oddHBand="0" w:evenHBand="1" w:firstRowFirstColumn="0" w:firstRowLastColumn="0" w:lastRowFirstColumn="0" w:lastRowLastColumn="0"/>
            </w:pPr>
            <w:r w:rsidRPr="00454881">
              <w:t>184.1</w:t>
            </w:r>
          </w:p>
        </w:tc>
        <w:tc>
          <w:tcPr>
            <w:tcW w:w="649" w:type="pct"/>
            <w:noWrap/>
            <w:vAlign w:val="bottom"/>
          </w:tcPr>
          <w:p w:rsidR="00454881" w:rsidRPr="00454881" w:rsidRDefault="00454881" w:rsidP="00454881">
            <w:pPr>
              <w:cnfStyle w:val="000000010000" w:firstRow="0" w:lastRow="0" w:firstColumn="0" w:lastColumn="0" w:oddVBand="0" w:evenVBand="0" w:oddHBand="0" w:evenHBand="1" w:firstRowFirstColumn="0" w:firstRowLastColumn="0" w:lastRowFirstColumn="0" w:lastRowLastColumn="0"/>
            </w:pPr>
            <w:r w:rsidRPr="00454881">
              <w:t>159.2</w:t>
            </w:r>
          </w:p>
        </w:tc>
        <w:tc>
          <w:tcPr>
            <w:tcW w:w="648" w:type="pct"/>
            <w:noWrap/>
            <w:vAlign w:val="bottom"/>
          </w:tcPr>
          <w:p w:rsidR="00454881" w:rsidRPr="00454881" w:rsidRDefault="00454881" w:rsidP="00454881">
            <w:pPr>
              <w:cnfStyle w:val="000000010000" w:firstRow="0" w:lastRow="0" w:firstColumn="0" w:lastColumn="0" w:oddVBand="0" w:evenVBand="0" w:oddHBand="0" w:evenHBand="1" w:firstRowFirstColumn="0" w:firstRowLastColumn="0" w:lastRowFirstColumn="0" w:lastRowLastColumn="0"/>
            </w:pPr>
            <w:r w:rsidRPr="00454881">
              <w:t>127.6</w:t>
            </w:r>
          </w:p>
        </w:tc>
      </w:tr>
      <w:tr w:rsidR="009505A8" w:rsidRPr="00237902" w:rsidTr="009505A8">
        <w:trPr>
          <w:trHeight w:val="300"/>
        </w:trPr>
        <w:tc>
          <w:tcPr>
            <w:cnfStyle w:val="001000000000" w:firstRow="0" w:lastRow="0" w:firstColumn="1" w:lastColumn="0" w:oddVBand="0" w:evenVBand="0" w:oddHBand="0" w:evenHBand="0" w:firstRowFirstColumn="0" w:firstRowLastColumn="0" w:lastRowFirstColumn="0" w:lastRowLastColumn="0"/>
            <w:tcW w:w="1776" w:type="pct"/>
            <w:noWrap/>
            <w:hideMark/>
          </w:tcPr>
          <w:p w:rsidR="009505A8" w:rsidRPr="009505A8" w:rsidRDefault="009505A8" w:rsidP="009505A8">
            <w:r w:rsidRPr="009505A8">
              <w:t>Inflation indexation on opening RAB</w:t>
            </w:r>
          </w:p>
        </w:tc>
        <w:tc>
          <w:tcPr>
            <w:tcW w:w="629" w:type="pct"/>
            <w:noWrap/>
            <w:vAlign w:val="bottom"/>
          </w:tcPr>
          <w:p w:rsidR="009505A8" w:rsidRPr="009505A8" w:rsidRDefault="009505A8">
            <w:pPr>
              <w:cnfStyle w:val="000000000000" w:firstRow="0" w:lastRow="0" w:firstColumn="0" w:lastColumn="0" w:oddVBand="0" w:evenVBand="0" w:oddHBand="0" w:evenHBand="0" w:firstRowFirstColumn="0" w:firstRowLastColumn="0" w:lastRowFirstColumn="0" w:lastRowLastColumn="0"/>
            </w:pPr>
            <w:r w:rsidRPr="009505A8">
              <w:t xml:space="preserve">        41.0 </w:t>
            </w:r>
          </w:p>
        </w:tc>
        <w:tc>
          <w:tcPr>
            <w:tcW w:w="649" w:type="pct"/>
            <w:noWrap/>
            <w:vAlign w:val="bottom"/>
          </w:tcPr>
          <w:p w:rsidR="009505A8" w:rsidRPr="009505A8" w:rsidRDefault="009505A8">
            <w:pPr>
              <w:cnfStyle w:val="000000000000" w:firstRow="0" w:lastRow="0" w:firstColumn="0" w:lastColumn="0" w:oddVBand="0" w:evenVBand="0" w:oddHBand="0" w:evenHBand="0" w:firstRowFirstColumn="0" w:firstRowLastColumn="0" w:lastRowFirstColumn="0" w:lastRowLastColumn="0"/>
            </w:pPr>
            <w:r w:rsidRPr="009505A8">
              <w:t xml:space="preserve">        43.5 </w:t>
            </w:r>
          </w:p>
        </w:tc>
        <w:tc>
          <w:tcPr>
            <w:tcW w:w="649" w:type="pct"/>
            <w:noWrap/>
            <w:vAlign w:val="bottom"/>
          </w:tcPr>
          <w:p w:rsidR="009505A8" w:rsidRPr="009505A8" w:rsidRDefault="009505A8">
            <w:pPr>
              <w:cnfStyle w:val="000000000000" w:firstRow="0" w:lastRow="0" w:firstColumn="0" w:lastColumn="0" w:oddVBand="0" w:evenVBand="0" w:oddHBand="0" w:evenHBand="0" w:firstRowFirstColumn="0" w:firstRowLastColumn="0" w:lastRowFirstColumn="0" w:lastRowLastColumn="0"/>
            </w:pPr>
            <w:r w:rsidRPr="009505A8">
              <w:t xml:space="preserve">        46.8 </w:t>
            </w:r>
          </w:p>
        </w:tc>
        <w:tc>
          <w:tcPr>
            <w:tcW w:w="649" w:type="pct"/>
            <w:noWrap/>
            <w:vAlign w:val="bottom"/>
          </w:tcPr>
          <w:p w:rsidR="009505A8" w:rsidRPr="009505A8" w:rsidRDefault="009505A8">
            <w:pPr>
              <w:cnfStyle w:val="000000000000" w:firstRow="0" w:lastRow="0" w:firstColumn="0" w:lastColumn="0" w:oddVBand="0" w:evenVBand="0" w:oddHBand="0" w:evenHBand="0" w:firstRowFirstColumn="0" w:firstRowLastColumn="0" w:lastRowFirstColumn="0" w:lastRowLastColumn="0"/>
            </w:pPr>
            <w:r w:rsidRPr="009505A8">
              <w:t xml:space="preserve">        49.5 </w:t>
            </w:r>
          </w:p>
        </w:tc>
        <w:tc>
          <w:tcPr>
            <w:tcW w:w="648" w:type="pct"/>
            <w:noWrap/>
            <w:vAlign w:val="bottom"/>
          </w:tcPr>
          <w:p w:rsidR="009505A8" w:rsidRPr="009505A8" w:rsidRDefault="009505A8">
            <w:pPr>
              <w:cnfStyle w:val="000000000000" w:firstRow="0" w:lastRow="0" w:firstColumn="0" w:lastColumn="0" w:oddVBand="0" w:evenVBand="0" w:oddHBand="0" w:evenHBand="0" w:firstRowFirstColumn="0" w:firstRowLastColumn="0" w:lastRowFirstColumn="0" w:lastRowLastColumn="0"/>
            </w:pPr>
            <w:r w:rsidRPr="009505A8">
              <w:t xml:space="preserve">        51.6 </w:t>
            </w:r>
          </w:p>
        </w:tc>
      </w:tr>
      <w:tr w:rsidR="009505A8" w:rsidRPr="00237902" w:rsidTr="009505A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6" w:type="pct"/>
            <w:noWrap/>
            <w:hideMark/>
          </w:tcPr>
          <w:p w:rsidR="009505A8" w:rsidRPr="009505A8" w:rsidRDefault="009505A8" w:rsidP="009505A8">
            <w:r w:rsidRPr="00454881">
              <w:rPr>
                <w:rStyle w:val="AERtextitalic"/>
              </w:rPr>
              <w:t>Less</w:t>
            </w:r>
            <w:r w:rsidRPr="009505A8">
              <w:t>: straight-line depreciation</w:t>
            </w:r>
          </w:p>
        </w:tc>
        <w:tc>
          <w:tcPr>
            <w:tcW w:w="629" w:type="pct"/>
            <w:noWrap/>
            <w:vAlign w:val="bottom"/>
          </w:tcPr>
          <w:p w:rsidR="009505A8" w:rsidRPr="009505A8" w:rsidRDefault="009505A8" w:rsidP="009505A8">
            <w:pPr>
              <w:cnfStyle w:val="000000010000" w:firstRow="0" w:lastRow="0" w:firstColumn="0" w:lastColumn="0" w:oddVBand="0" w:evenVBand="0" w:oddHBand="0" w:evenHBand="1" w:firstRowFirstColumn="0" w:firstRowLastColumn="0" w:lastRowFirstColumn="0" w:lastRowLastColumn="0"/>
            </w:pPr>
            <w:r w:rsidRPr="00454881">
              <w:t>103.0</w:t>
            </w:r>
          </w:p>
        </w:tc>
        <w:tc>
          <w:tcPr>
            <w:tcW w:w="649" w:type="pct"/>
            <w:noWrap/>
            <w:vAlign w:val="bottom"/>
          </w:tcPr>
          <w:p w:rsidR="009505A8" w:rsidRPr="009505A8" w:rsidRDefault="009505A8" w:rsidP="009505A8">
            <w:pPr>
              <w:cnfStyle w:val="000000010000" w:firstRow="0" w:lastRow="0" w:firstColumn="0" w:lastColumn="0" w:oddVBand="0" w:evenVBand="0" w:oddHBand="0" w:evenHBand="1" w:firstRowFirstColumn="0" w:firstRowLastColumn="0" w:lastRowFirstColumn="0" w:lastRowLastColumn="0"/>
            </w:pPr>
            <w:r w:rsidRPr="00454881">
              <w:t>105.0</w:t>
            </w:r>
          </w:p>
        </w:tc>
        <w:tc>
          <w:tcPr>
            <w:tcW w:w="649" w:type="pct"/>
            <w:noWrap/>
            <w:vAlign w:val="bottom"/>
          </w:tcPr>
          <w:p w:rsidR="009505A8" w:rsidRPr="009505A8" w:rsidRDefault="009505A8" w:rsidP="009505A8">
            <w:pPr>
              <w:cnfStyle w:val="000000010000" w:firstRow="0" w:lastRow="0" w:firstColumn="0" w:lastColumn="0" w:oddVBand="0" w:evenVBand="0" w:oddHBand="0" w:evenHBand="1" w:firstRowFirstColumn="0" w:firstRowLastColumn="0" w:lastRowFirstColumn="0" w:lastRowLastColumn="0"/>
            </w:pPr>
            <w:r w:rsidRPr="00454881">
              <w:t>112.6</w:t>
            </w:r>
          </w:p>
        </w:tc>
        <w:tc>
          <w:tcPr>
            <w:tcW w:w="649" w:type="pct"/>
            <w:noWrap/>
            <w:vAlign w:val="bottom"/>
          </w:tcPr>
          <w:p w:rsidR="009505A8" w:rsidRPr="009505A8" w:rsidRDefault="009505A8" w:rsidP="009505A8">
            <w:pPr>
              <w:cnfStyle w:val="000000010000" w:firstRow="0" w:lastRow="0" w:firstColumn="0" w:lastColumn="0" w:oddVBand="0" w:evenVBand="0" w:oddHBand="0" w:evenHBand="1" w:firstRowFirstColumn="0" w:firstRowLastColumn="0" w:lastRowFirstColumn="0" w:lastRowLastColumn="0"/>
            </w:pPr>
            <w:r w:rsidRPr="00454881">
              <w:t>119.4</w:t>
            </w:r>
          </w:p>
        </w:tc>
        <w:tc>
          <w:tcPr>
            <w:tcW w:w="648" w:type="pct"/>
            <w:noWrap/>
            <w:vAlign w:val="bottom"/>
          </w:tcPr>
          <w:p w:rsidR="009505A8" w:rsidRPr="009505A8" w:rsidRDefault="009505A8" w:rsidP="009505A8">
            <w:pPr>
              <w:cnfStyle w:val="000000010000" w:firstRow="0" w:lastRow="0" w:firstColumn="0" w:lastColumn="0" w:oddVBand="0" w:evenVBand="0" w:oddHBand="0" w:evenHBand="1" w:firstRowFirstColumn="0" w:firstRowLastColumn="0" w:lastRowFirstColumn="0" w:lastRowLastColumn="0"/>
            </w:pPr>
            <w:r w:rsidRPr="00454881">
              <w:t>127.0</w:t>
            </w:r>
          </w:p>
        </w:tc>
      </w:tr>
      <w:tr w:rsidR="00454881" w:rsidRPr="00454881" w:rsidTr="009505A8">
        <w:trPr>
          <w:trHeight w:val="300"/>
        </w:trPr>
        <w:tc>
          <w:tcPr>
            <w:cnfStyle w:val="001000000000" w:firstRow="0" w:lastRow="0" w:firstColumn="1" w:lastColumn="0" w:oddVBand="0" w:evenVBand="0" w:oddHBand="0" w:evenHBand="0" w:firstRowFirstColumn="0" w:firstRowLastColumn="0" w:lastRowFirstColumn="0" w:lastRowLastColumn="0"/>
            <w:tcW w:w="1776" w:type="pct"/>
            <w:noWrap/>
            <w:hideMark/>
          </w:tcPr>
          <w:p w:rsidR="00454881" w:rsidRPr="00464019" w:rsidRDefault="00454881" w:rsidP="00454881">
            <w:pPr>
              <w:rPr>
                <w:rStyle w:val="Strong"/>
              </w:rPr>
            </w:pPr>
            <w:r w:rsidRPr="00464019">
              <w:rPr>
                <w:rStyle w:val="Strong"/>
              </w:rPr>
              <w:t>Closing RAB</w:t>
            </w:r>
          </w:p>
        </w:tc>
        <w:tc>
          <w:tcPr>
            <w:tcW w:w="629" w:type="pct"/>
            <w:noWrap/>
            <w:vAlign w:val="bottom"/>
          </w:tcPr>
          <w:p w:rsidR="00454881" w:rsidRPr="00464019" w:rsidRDefault="00454881" w:rsidP="00454881">
            <w:pPr>
              <w:cnfStyle w:val="000000000000" w:firstRow="0" w:lastRow="0" w:firstColumn="0" w:lastColumn="0" w:oddVBand="0" w:evenVBand="0" w:oddHBand="0" w:evenHBand="0" w:firstRowFirstColumn="0" w:firstRowLastColumn="0" w:lastRowFirstColumn="0" w:lastRowLastColumn="0"/>
              <w:rPr>
                <w:rStyle w:val="Strong"/>
              </w:rPr>
            </w:pPr>
            <w:r w:rsidRPr="00464019">
              <w:rPr>
                <w:rStyle w:val="Strong"/>
              </w:rPr>
              <w:t>1872.9</w:t>
            </w:r>
          </w:p>
        </w:tc>
        <w:tc>
          <w:tcPr>
            <w:tcW w:w="649" w:type="pct"/>
            <w:noWrap/>
            <w:vAlign w:val="bottom"/>
          </w:tcPr>
          <w:p w:rsidR="00454881" w:rsidRPr="00464019" w:rsidRDefault="00454881" w:rsidP="00454881">
            <w:pPr>
              <w:cnfStyle w:val="000000000000" w:firstRow="0" w:lastRow="0" w:firstColumn="0" w:lastColumn="0" w:oddVBand="0" w:evenVBand="0" w:oddHBand="0" w:evenHBand="0" w:firstRowFirstColumn="0" w:firstRowLastColumn="0" w:lastRowFirstColumn="0" w:lastRowLastColumn="0"/>
              <w:rPr>
                <w:rStyle w:val="Strong"/>
              </w:rPr>
            </w:pPr>
            <w:r w:rsidRPr="00464019">
              <w:rPr>
                <w:rStyle w:val="Strong"/>
              </w:rPr>
              <w:t>2014.4</w:t>
            </w:r>
          </w:p>
        </w:tc>
        <w:tc>
          <w:tcPr>
            <w:tcW w:w="649" w:type="pct"/>
            <w:noWrap/>
            <w:vAlign w:val="bottom"/>
          </w:tcPr>
          <w:p w:rsidR="00454881" w:rsidRPr="00464019" w:rsidRDefault="00454881" w:rsidP="00454881">
            <w:pPr>
              <w:cnfStyle w:val="000000000000" w:firstRow="0" w:lastRow="0" w:firstColumn="0" w:lastColumn="0" w:oddVBand="0" w:evenVBand="0" w:oddHBand="0" w:evenHBand="0" w:firstRowFirstColumn="0" w:firstRowLastColumn="0" w:lastRowFirstColumn="0" w:lastRowLastColumn="0"/>
              <w:rPr>
                <w:rStyle w:val="Strong"/>
              </w:rPr>
            </w:pPr>
            <w:r w:rsidRPr="00464019">
              <w:rPr>
                <w:rStyle w:val="Strong"/>
              </w:rPr>
              <w:t>2132.7</w:t>
            </w:r>
          </w:p>
        </w:tc>
        <w:tc>
          <w:tcPr>
            <w:tcW w:w="649" w:type="pct"/>
            <w:noWrap/>
            <w:vAlign w:val="bottom"/>
          </w:tcPr>
          <w:p w:rsidR="00454881" w:rsidRPr="00464019" w:rsidRDefault="00454881" w:rsidP="00454881">
            <w:pPr>
              <w:cnfStyle w:val="000000000000" w:firstRow="0" w:lastRow="0" w:firstColumn="0" w:lastColumn="0" w:oddVBand="0" w:evenVBand="0" w:oddHBand="0" w:evenHBand="0" w:firstRowFirstColumn="0" w:firstRowLastColumn="0" w:lastRowFirstColumn="0" w:lastRowLastColumn="0"/>
              <w:rPr>
                <w:rStyle w:val="Strong"/>
              </w:rPr>
            </w:pPr>
            <w:r w:rsidRPr="00464019">
              <w:rPr>
                <w:rStyle w:val="Strong"/>
              </w:rPr>
              <w:t>2222.1</w:t>
            </w:r>
          </w:p>
        </w:tc>
        <w:tc>
          <w:tcPr>
            <w:tcW w:w="648" w:type="pct"/>
            <w:noWrap/>
            <w:vAlign w:val="bottom"/>
          </w:tcPr>
          <w:p w:rsidR="00454881" w:rsidRPr="00464019" w:rsidRDefault="00454881" w:rsidP="00454881">
            <w:pPr>
              <w:cnfStyle w:val="000000000000" w:firstRow="0" w:lastRow="0" w:firstColumn="0" w:lastColumn="0" w:oddVBand="0" w:evenVBand="0" w:oddHBand="0" w:evenHBand="0" w:firstRowFirstColumn="0" w:firstRowLastColumn="0" w:lastRowFirstColumn="0" w:lastRowLastColumn="0"/>
              <w:rPr>
                <w:rStyle w:val="Strong"/>
              </w:rPr>
            </w:pPr>
            <w:r w:rsidRPr="00464019">
              <w:rPr>
                <w:rStyle w:val="Strong"/>
              </w:rPr>
              <w:t>2274.3</w:t>
            </w:r>
          </w:p>
        </w:tc>
      </w:tr>
    </w:tbl>
    <w:p w:rsidR="00457B65" w:rsidRPr="00C37607" w:rsidRDefault="00457B65" w:rsidP="00457B65">
      <w:pPr>
        <w:pStyle w:val="AERtablesource"/>
      </w:pPr>
      <w:r w:rsidRPr="00C37607">
        <w:t>Source:</w:t>
      </w:r>
      <w:r w:rsidRPr="00C37607">
        <w:tab/>
        <w:t>AER analysis.</w:t>
      </w:r>
    </w:p>
    <w:p w:rsidR="00457B65" w:rsidRDefault="00457B65" w:rsidP="00457B65">
      <w:pPr>
        <w:pStyle w:val="AERtablesource"/>
      </w:pPr>
      <w:r w:rsidRPr="00C37607">
        <w:t>(a)</w:t>
      </w:r>
      <w:r w:rsidRPr="00C37607">
        <w:tab/>
      </w:r>
      <w:r w:rsidR="00BC2587" w:rsidRPr="009A523C">
        <w:t>Net of disposals and capital contributions.</w:t>
      </w:r>
      <w:r w:rsidR="00BC2587">
        <w:t xml:space="preserve"> Inclusive of </w:t>
      </w:r>
      <w:r w:rsidR="00BC2587" w:rsidRPr="00356705">
        <w:t>equity raising costs and the half-WACC to account for the timing assumptions in the PTRM.</w:t>
      </w:r>
    </w:p>
    <w:p w:rsidR="00132D43" w:rsidRDefault="005B25D2" w:rsidP="000E3517">
      <w:pPr>
        <w:pStyle w:val="Heading2"/>
        <w:keepNext/>
      </w:pPr>
      <w:bookmarkStart w:id="76" w:name="_Toc451285100"/>
      <w:r>
        <w:lastRenderedPageBreak/>
        <w:t>CitiPower's</w:t>
      </w:r>
      <w:r w:rsidR="00132D43">
        <w:t xml:space="preserve"> </w:t>
      </w:r>
      <w:r w:rsidR="000F0F0A">
        <w:t xml:space="preserve">revised </w:t>
      </w:r>
      <w:r w:rsidR="00132D43">
        <w:t>proposal</w:t>
      </w:r>
      <w:bookmarkEnd w:id="76"/>
    </w:p>
    <w:p w:rsidR="00DB7994" w:rsidRDefault="00457B65" w:rsidP="000E3517">
      <w:pPr>
        <w:keepNext/>
      </w:pPr>
      <w:r>
        <w:t>CitiPower's revised proposal</w:t>
      </w:r>
      <w:r w:rsidRPr="00F97CE2">
        <w:t xml:space="preserve"> used our RFM to establish an opening RAB as at 1 January 2016 and our PTRM to roll forward the RAB over the 2016–20 regulatory control period.</w:t>
      </w:r>
      <w:r>
        <w:t xml:space="preserve"> Its revised proposal submitted an opening RAB value a</w:t>
      </w:r>
      <w:r w:rsidRPr="00F97CE2">
        <w:t>s at 1 January 201</w:t>
      </w:r>
      <w:r>
        <w:t>6</w:t>
      </w:r>
      <w:r w:rsidRPr="00F97CE2">
        <w:t xml:space="preserve"> of $</w:t>
      </w:r>
      <w:r w:rsidR="00923AF2">
        <w:t xml:space="preserve">1802.6 </w:t>
      </w:r>
      <w:r w:rsidRPr="00F97CE2">
        <w:t>million ($ nominal)</w:t>
      </w:r>
      <w:r>
        <w:t>.</w:t>
      </w:r>
      <w:r>
        <w:rPr>
          <w:rStyle w:val="FootnoteReference"/>
        </w:rPr>
        <w:footnoteReference w:id="5"/>
      </w:r>
      <w:r w:rsidRPr="00F97CE2">
        <w:t xml:space="preserve"> </w:t>
      </w:r>
      <w:r>
        <w:t>It adopted the preliminary decision</w:t>
      </w:r>
      <w:r w:rsidR="00390650">
        <w:t>’s</w:t>
      </w:r>
      <w:r w:rsidR="00DB7994">
        <w:t>:</w:t>
      </w:r>
      <w:r w:rsidR="00DB7994">
        <w:rPr>
          <w:rStyle w:val="FootnoteReference"/>
        </w:rPr>
        <w:footnoteReference w:id="6"/>
      </w:r>
      <w:r w:rsidR="00F12798">
        <w:t xml:space="preserve"> </w:t>
      </w:r>
    </w:p>
    <w:p w:rsidR="002B4688" w:rsidRDefault="002B4688" w:rsidP="002B4688">
      <w:pPr>
        <w:pStyle w:val="AERbulletlistfirststyle"/>
      </w:pPr>
      <w:r>
        <w:t xml:space="preserve">amendment to the allowed equity raising costs value </w:t>
      </w:r>
    </w:p>
    <w:p w:rsidR="002B4688" w:rsidRDefault="002B4688" w:rsidP="002B4688">
      <w:pPr>
        <w:pStyle w:val="AERbulletlistfirststyle"/>
      </w:pPr>
      <w:r>
        <w:t>approac</w:t>
      </w:r>
      <w:r w:rsidR="003E03DD">
        <w:t>h to calculating the required 6-</w:t>
      </w:r>
      <w:r>
        <w:t xml:space="preserve">month indexation adjustment to the RAB. </w:t>
      </w:r>
    </w:p>
    <w:p w:rsidR="00457B65" w:rsidRPr="00457B65" w:rsidRDefault="00457B65" w:rsidP="00DB7994">
      <w:pPr>
        <w:pStyle w:val="AERbulletlistfirststyle"/>
        <w:numPr>
          <w:ilvl w:val="0"/>
          <w:numId w:val="0"/>
        </w:numPr>
      </w:pPr>
      <w:r>
        <w:t xml:space="preserve">However, </w:t>
      </w:r>
      <w:r w:rsidR="00880657">
        <w:t>it</w:t>
      </w:r>
      <w:r w:rsidRPr="00457B65">
        <w:t xml:space="preserve"> did not adopt the preliminary decision approach to indexing the RAB for actual inflation. </w:t>
      </w:r>
      <w:r>
        <w:t>CitiPower</w:t>
      </w:r>
      <w:r w:rsidRPr="00457B65">
        <w:t>'s revised proposal applies a one-year lagged actual inflation rate across all components of the RAB roll forward.</w:t>
      </w:r>
      <w:r w:rsidRPr="00457B65">
        <w:rPr>
          <w:rStyle w:val="FootnoteReference"/>
        </w:rPr>
        <w:footnoteReference w:id="7"/>
      </w:r>
      <w:r w:rsidR="00DA6D45">
        <w:t xml:space="preserve"> </w:t>
      </w:r>
    </w:p>
    <w:p w:rsidR="00457B65" w:rsidRDefault="00457B65" w:rsidP="00457B65">
      <w:r>
        <w:fldChar w:fldCharType="begin"/>
      </w:r>
      <w:r>
        <w:instrText xml:space="preserve"> REF _Ref441133981 \h </w:instrText>
      </w:r>
      <w:r>
        <w:fldChar w:fldCharType="separate"/>
      </w:r>
      <w:r w:rsidR="00D37F48">
        <w:t xml:space="preserve">Table </w:t>
      </w:r>
      <w:r w:rsidR="00D37F48">
        <w:rPr>
          <w:noProof/>
        </w:rPr>
        <w:t>2</w:t>
      </w:r>
      <w:r w:rsidR="00D37F48">
        <w:t>.</w:t>
      </w:r>
      <w:r w:rsidR="00D37F48">
        <w:rPr>
          <w:noProof/>
        </w:rPr>
        <w:t>3</w:t>
      </w:r>
      <w:r>
        <w:fldChar w:fldCharType="end"/>
      </w:r>
      <w:r w:rsidRPr="00F97CE2">
        <w:t xml:space="preserve"> presents </w:t>
      </w:r>
      <w:r>
        <w:t>CitiPower</w:t>
      </w:r>
      <w:r w:rsidRPr="00F97CE2">
        <w:t xml:space="preserve">'s </w:t>
      </w:r>
      <w:r>
        <w:t xml:space="preserve">revised </w:t>
      </w:r>
      <w:r w:rsidRPr="00F97CE2">
        <w:t>proposed roll forward of its RAB during the 2011–15 regulatory control period.</w:t>
      </w:r>
    </w:p>
    <w:p w:rsidR="00457B65" w:rsidRDefault="00457B65" w:rsidP="00457B65">
      <w:pPr>
        <w:pStyle w:val="Caption"/>
      </w:pPr>
      <w:bookmarkStart w:id="77" w:name="_Ref441133981"/>
      <w:r>
        <w:t xml:space="preserve">Table </w:t>
      </w:r>
      <w:r w:rsidRPr="00457B65">
        <w:fldChar w:fldCharType="begin"/>
      </w:r>
      <w:r>
        <w:instrText xml:space="preserve"> STYLEREF 1 \s </w:instrText>
      </w:r>
      <w:r w:rsidRPr="00457B65">
        <w:fldChar w:fldCharType="separate"/>
      </w:r>
      <w:r w:rsidR="00D37F48">
        <w:rPr>
          <w:noProof/>
        </w:rPr>
        <w:t>2</w:t>
      </w:r>
      <w:r w:rsidRPr="00457B65">
        <w:fldChar w:fldCharType="end"/>
      </w:r>
      <w:r>
        <w:t>.</w:t>
      </w:r>
      <w:r w:rsidRPr="00457B65">
        <w:fldChar w:fldCharType="begin"/>
      </w:r>
      <w:r>
        <w:instrText xml:space="preserve"> SEQ Table \* ARABIC \s 1 </w:instrText>
      </w:r>
      <w:r w:rsidRPr="00457B65">
        <w:fldChar w:fldCharType="separate"/>
      </w:r>
      <w:r w:rsidR="00D37F48">
        <w:rPr>
          <w:noProof/>
        </w:rPr>
        <w:t>3</w:t>
      </w:r>
      <w:r w:rsidRPr="00457B65">
        <w:fldChar w:fldCharType="end"/>
      </w:r>
      <w:bookmarkEnd w:id="77"/>
      <w:r>
        <w:tab/>
        <w:t>CitiPower</w:t>
      </w:r>
      <w:r w:rsidRPr="00F97CE2">
        <w:t xml:space="preserve">'s </w:t>
      </w:r>
      <w:r>
        <w:t xml:space="preserve">revised </w:t>
      </w:r>
      <w:r w:rsidRPr="00F97CE2">
        <w:t>proposed RAB for the 2011–15 regulatory control period ($million, nominal)</w:t>
      </w:r>
    </w:p>
    <w:tbl>
      <w:tblPr>
        <w:tblStyle w:val="AERtable-numbers"/>
        <w:tblW w:w="8755" w:type="dxa"/>
        <w:tblLayout w:type="fixed"/>
        <w:tblLook w:val="04A0" w:firstRow="1" w:lastRow="0" w:firstColumn="1" w:lastColumn="0" w:noHBand="0" w:noVBand="1"/>
      </w:tblPr>
      <w:tblGrid>
        <w:gridCol w:w="3586"/>
        <w:gridCol w:w="1033"/>
        <w:gridCol w:w="1034"/>
        <w:gridCol w:w="1034"/>
        <w:gridCol w:w="1034"/>
        <w:gridCol w:w="1034"/>
      </w:tblGrid>
      <w:tr w:rsidR="00457B65" w:rsidRPr="0011410F" w:rsidTr="00457B65">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457B65" w:rsidRPr="00457B65" w:rsidRDefault="00457B65" w:rsidP="00457B65">
            <w:r w:rsidRPr="00924046">
              <w:t> </w:t>
            </w:r>
          </w:p>
        </w:tc>
        <w:tc>
          <w:tcPr>
            <w:tcW w:w="1033" w:type="dxa"/>
            <w:noWrap/>
            <w:hideMark/>
          </w:tcPr>
          <w:p w:rsidR="00457B65" w:rsidRPr="00457B65" w:rsidRDefault="00457B65" w:rsidP="00457B65">
            <w:pPr>
              <w:cnfStyle w:val="100000000000" w:firstRow="1" w:lastRow="0" w:firstColumn="0" w:lastColumn="0" w:oddVBand="0" w:evenVBand="0" w:oddHBand="0" w:evenHBand="0" w:firstRowFirstColumn="0" w:firstRowLastColumn="0" w:lastRowFirstColumn="0" w:lastRowLastColumn="0"/>
            </w:pPr>
            <w:r w:rsidRPr="00924046">
              <w:t>2011</w:t>
            </w:r>
          </w:p>
        </w:tc>
        <w:tc>
          <w:tcPr>
            <w:tcW w:w="1034" w:type="dxa"/>
            <w:noWrap/>
            <w:hideMark/>
          </w:tcPr>
          <w:p w:rsidR="00457B65" w:rsidRPr="00457B65" w:rsidRDefault="00457B65" w:rsidP="00457B65">
            <w:pPr>
              <w:cnfStyle w:val="100000000000" w:firstRow="1" w:lastRow="0" w:firstColumn="0" w:lastColumn="0" w:oddVBand="0" w:evenVBand="0" w:oddHBand="0" w:evenHBand="0" w:firstRowFirstColumn="0" w:firstRowLastColumn="0" w:lastRowFirstColumn="0" w:lastRowLastColumn="0"/>
            </w:pPr>
            <w:r w:rsidRPr="00924046">
              <w:t>2012</w:t>
            </w:r>
          </w:p>
        </w:tc>
        <w:tc>
          <w:tcPr>
            <w:tcW w:w="1034" w:type="dxa"/>
            <w:noWrap/>
            <w:hideMark/>
          </w:tcPr>
          <w:p w:rsidR="00457B65" w:rsidRPr="00457B65" w:rsidRDefault="00457B65" w:rsidP="00457B65">
            <w:pPr>
              <w:cnfStyle w:val="100000000000" w:firstRow="1" w:lastRow="0" w:firstColumn="0" w:lastColumn="0" w:oddVBand="0" w:evenVBand="0" w:oddHBand="0" w:evenHBand="0" w:firstRowFirstColumn="0" w:firstRowLastColumn="0" w:lastRowFirstColumn="0" w:lastRowLastColumn="0"/>
            </w:pPr>
            <w:r w:rsidRPr="00924046">
              <w:t>2013</w:t>
            </w:r>
          </w:p>
        </w:tc>
        <w:tc>
          <w:tcPr>
            <w:tcW w:w="1034" w:type="dxa"/>
            <w:noWrap/>
            <w:hideMark/>
          </w:tcPr>
          <w:p w:rsidR="00457B65" w:rsidRPr="00457B65" w:rsidRDefault="00457B65" w:rsidP="00457B65">
            <w:pPr>
              <w:cnfStyle w:val="100000000000" w:firstRow="1" w:lastRow="0" w:firstColumn="0" w:lastColumn="0" w:oddVBand="0" w:evenVBand="0" w:oddHBand="0" w:evenHBand="0" w:firstRowFirstColumn="0" w:firstRowLastColumn="0" w:lastRowFirstColumn="0" w:lastRowLastColumn="0"/>
            </w:pPr>
            <w:r w:rsidRPr="00924046">
              <w:t>2014</w:t>
            </w:r>
          </w:p>
        </w:tc>
        <w:tc>
          <w:tcPr>
            <w:tcW w:w="1034" w:type="dxa"/>
            <w:noWrap/>
            <w:hideMark/>
          </w:tcPr>
          <w:p w:rsidR="00457B65" w:rsidRPr="00457B65" w:rsidRDefault="00457B65" w:rsidP="00457B65">
            <w:pPr>
              <w:cnfStyle w:val="100000000000" w:firstRow="1" w:lastRow="0" w:firstColumn="0" w:lastColumn="0" w:oddVBand="0" w:evenVBand="0" w:oddHBand="0" w:evenHBand="0" w:firstRowFirstColumn="0" w:firstRowLastColumn="0" w:lastRowFirstColumn="0" w:lastRowLastColumn="0"/>
            </w:pPr>
            <w:r w:rsidRPr="00924046">
              <w:t>2015</w:t>
            </w:r>
            <w:r w:rsidRPr="00457B65">
              <w:rPr>
                <w:rStyle w:val="AERsuperscript"/>
              </w:rPr>
              <w:t>a</w:t>
            </w:r>
          </w:p>
        </w:tc>
      </w:tr>
      <w:tr w:rsidR="00063DD0" w:rsidRPr="00F30662" w:rsidTr="00457B65">
        <w:trPr>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063DD0" w:rsidRPr="00063DD0" w:rsidRDefault="00063DD0" w:rsidP="00063DD0">
            <w:r w:rsidRPr="00063DD0">
              <w:t>Opening RAB</w:t>
            </w:r>
          </w:p>
        </w:tc>
        <w:tc>
          <w:tcPr>
            <w:tcW w:w="1033" w:type="dxa"/>
            <w:noWrap/>
            <w:vAlign w:val="bottom"/>
          </w:tcPr>
          <w:p w:rsidR="00063DD0" w:rsidRPr="00063DD0" w:rsidRDefault="00063DD0" w:rsidP="00063DD0">
            <w:pPr>
              <w:cnfStyle w:val="000000000000" w:firstRow="0" w:lastRow="0" w:firstColumn="0" w:lastColumn="0" w:oddVBand="0" w:evenVBand="0" w:oddHBand="0" w:evenHBand="0" w:firstRowFirstColumn="0" w:firstRowLastColumn="0" w:lastRowFirstColumn="0" w:lastRowLastColumn="0"/>
            </w:pPr>
            <w:r w:rsidRPr="00063DD0">
              <w:t>1287.3</w:t>
            </w:r>
          </w:p>
        </w:tc>
        <w:tc>
          <w:tcPr>
            <w:tcW w:w="1034" w:type="dxa"/>
            <w:noWrap/>
            <w:vAlign w:val="bottom"/>
          </w:tcPr>
          <w:p w:rsidR="00063DD0" w:rsidRPr="00063DD0" w:rsidRDefault="00063DD0" w:rsidP="00063DD0">
            <w:pPr>
              <w:cnfStyle w:val="000000000000" w:firstRow="0" w:lastRow="0" w:firstColumn="0" w:lastColumn="0" w:oddVBand="0" w:evenVBand="0" w:oddHBand="0" w:evenHBand="0" w:firstRowFirstColumn="0" w:firstRowLastColumn="0" w:lastRowFirstColumn="0" w:lastRowLastColumn="0"/>
            </w:pPr>
            <w:r w:rsidRPr="00063DD0">
              <w:t>1395.7</w:t>
            </w:r>
          </w:p>
        </w:tc>
        <w:tc>
          <w:tcPr>
            <w:tcW w:w="1034" w:type="dxa"/>
            <w:noWrap/>
            <w:vAlign w:val="bottom"/>
          </w:tcPr>
          <w:p w:rsidR="00063DD0" w:rsidRPr="00063DD0" w:rsidRDefault="00063DD0" w:rsidP="00063DD0">
            <w:pPr>
              <w:cnfStyle w:val="000000000000" w:firstRow="0" w:lastRow="0" w:firstColumn="0" w:lastColumn="0" w:oddVBand="0" w:evenVBand="0" w:oddHBand="0" w:evenHBand="0" w:firstRowFirstColumn="0" w:firstRowLastColumn="0" w:lastRowFirstColumn="0" w:lastRowLastColumn="0"/>
            </w:pPr>
            <w:r w:rsidRPr="00063DD0">
              <w:t>1488.8</w:t>
            </w:r>
          </w:p>
        </w:tc>
        <w:tc>
          <w:tcPr>
            <w:tcW w:w="1034" w:type="dxa"/>
            <w:noWrap/>
            <w:vAlign w:val="bottom"/>
          </w:tcPr>
          <w:p w:rsidR="00063DD0" w:rsidRPr="00063DD0" w:rsidRDefault="00063DD0" w:rsidP="00063DD0">
            <w:pPr>
              <w:cnfStyle w:val="000000000000" w:firstRow="0" w:lastRow="0" w:firstColumn="0" w:lastColumn="0" w:oddVBand="0" w:evenVBand="0" w:oddHBand="0" w:evenHBand="0" w:firstRowFirstColumn="0" w:firstRowLastColumn="0" w:lastRowFirstColumn="0" w:lastRowLastColumn="0"/>
            </w:pPr>
            <w:r w:rsidRPr="00063DD0">
              <w:t>1580.9</w:t>
            </w:r>
          </w:p>
        </w:tc>
        <w:tc>
          <w:tcPr>
            <w:tcW w:w="1034" w:type="dxa"/>
            <w:noWrap/>
            <w:vAlign w:val="bottom"/>
          </w:tcPr>
          <w:p w:rsidR="00063DD0" w:rsidRPr="00063DD0" w:rsidRDefault="00063DD0" w:rsidP="00063DD0">
            <w:pPr>
              <w:cnfStyle w:val="000000000000" w:firstRow="0" w:lastRow="0" w:firstColumn="0" w:lastColumn="0" w:oddVBand="0" w:evenVBand="0" w:oddHBand="0" w:evenHBand="0" w:firstRowFirstColumn="0" w:firstRowLastColumn="0" w:lastRowFirstColumn="0" w:lastRowLastColumn="0"/>
            </w:pPr>
            <w:r w:rsidRPr="00063DD0">
              <w:t>1686.4</w:t>
            </w:r>
          </w:p>
        </w:tc>
      </w:tr>
      <w:tr w:rsidR="00063DD0" w:rsidRPr="00F30662" w:rsidTr="00457B65">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063DD0" w:rsidRPr="00063DD0" w:rsidRDefault="00063DD0" w:rsidP="00063DD0">
            <w:r w:rsidRPr="00063DD0">
              <w:t>Capital expenditure</w:t>
            </w:r>
            <w:r w:rsidRPr="00063DD0">
              <w:rPr>
                <w:rStyle w:val="AERsuperscript"/>
              </w:rPr>
              <w:t>b</w:t>
            </w:r>
          </w:p>
        </w:tc>
        <w:tc>
          <w:tcPr>
            <w:tcW w:w="1033" w:type="dxa"/>
            <w:noWrap/>
            <w:vAlign w:val="bottom"/>
          </w:tcPr>
          <w:p w:rsidR="00063DD0" w:rsidRPr="00063DD0" w:rsidRDefault="00063DD0" w:rsidP="00063DD0">
            <w:pPr>
              <w:cnfStyle w:val="000000010000" w:firstRow="0" w:lastRow="0" w:firstColumn="0" w:lastColumn="0" w:oddVBand="0" w:evenVBand="0" w:oddHBand="0" w:evenHBand="1" w:firstRowFirstColumn="0" w:firstRowLastColumn="0" w:lastRowFirstColumn="0" w:lastRowLastColumn="0"/>
            </w:pPr>
            <w:r w:rsidRPr="00063DD0">
              <w:t>140.6</w:t>
            </w:r>
          </w:p>
        </w:tc>
        <w:tc>
          <w:tcPr>
            <w:tcW w:w="1034" w:type="dxa"/>
            <w:noWrap/>
            <w:vAlign w:val="bottom"/>
          </w:tcPr>
          <w:p w:rsidR="00063DD0" w:rsidRPr="00063DD0" w:rsidRDefault="00063DD0" w:rsidP="00063DD0">
            <w:pPr>
              <w:cnfStyle w:val="000000010000" w:firstRow="0" w:lastRow="0" w:firstColumn="0" w:lastColumn="0" w:oddVBand="0" w:evenVBand="0" w:oddHBand="0" w:evenHBand="1" w:firstRowFirstColumn="0" w:firstRowLastColumn="0" w:lastRowFirstColumn="0" w:lastRowLastColumn="0"/>
            </w:pPr>
            <w:r w:rsidRPr="00063DD0">
              <w:t>118.0</w:t>
            </w:r>
          </w:p>
        </w:tc>
        <w:tc>
          <w:tcPr>
            <w:tcW w:w="1034" w:type="dxa"/>
            <w:noWrap/>
            <w:vAlign w:val="bottom"/>
          </w:tcPr>
          <w:p w:rsidR="00063DD0" w:rsidRPr="00063DD0" w:rsidRDefault="00063DD0" w:rsidP="00063DD0">
            <w:pPr>
              <w:cnfStyle w:val="000000010000" w:firstRow="0" w:lastRow="0" w:firstColumn="0" w:lastColumn="0" w:oddVBand="0" w:evenVBand="0" w:oddHBand="0" w:evenHBand="1" w:firstRowFirstColumn="0" w:firstRowLastColumn="0" w:lastRowFirstColumn="0" w:lastRowLastColumn="0"/>
            </w:pPr>
            <w:r w:rsidRPr="00063DD0">
              <w:t>141.4</w:t>
            </w:r>
          </w:p>
        </w:tc>
        <w:tc>
          <w:tcPr>
            <w:tcW w:w="1034" w:type="dxa"/>
            <w:noWrap/>
            <w:vAlign w:val="bottom"/>
          </w:tcPr>
          <w:p w:rsidR="00063DD0" w:rsidRPr="00063DD0" w:rsidRDefault="00063DD0" w:rsidP="00063DD0">
            <w:pPr>
              <w:cnfStyle w:val="000000010000" w:firstRow="0" w:lastRow="0" w:firstColumn="0" w:lastColumn="0" w:oddVBand="0" w:evenVBand="0" w:oddHBand="0" w:evenHBand="1" w:firstRowFirstColumn="0" w:firstRowLastColumn="0" w:lastRowFirstColumn="0" w:lastRowLastColumn="0"/>
            </w:pPr>
            <w:r w:rsidRPr="00063DD0">
              <w:t>156.2</w:t>
            </w:r>
          </w:p>
        </w:tc>
        <w:tc>
          <w:tcPr>
            <w:tcW w:w="1034" w:type="dxa"/>
            <w:noWrap/>
            <w:vAlign w:val="bottom"/>
          </w:tcPr>
          <w:p w:rsidR="00063DD0" w:rsidRPr="00063DD0" w:rsidRDefault="00063DD0" w:rsidP="00063DD0">
            <w:pPr>
              <w:cnfStyle w:val="000000010000" w:firstRow="0" w:lastRow="0" w:firstColumn="0" w:lastColumn="0" w:oddVBand="0" w:evenVBand="0" w:oddHBand="0" w:evenHBand="1" w:firstRowFirstColumn="0" w:firstRowLastColumn="0" w:lastRowFirstColumn="0" w:lastRowLastColumn="0"/>
            </w:pPr>
            <w:r w:rsidRPr="00063DD0">
              <w:t>187.3</w:t>
            </w:r>
          </w:p>
        </w:tc>
      </w:tr>
      <w:tr w:rsidR="00063DD0" w:rsidRPr="00F30662" w:rsidTr="00457B65">
        <w:trPr>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063DD0" w:rsidRPr="00063DD0" w:rsidRDefault="00063DD0" w:rsidP="00063DD0">
            <w:r w:rsidRPr="00063DD0">
              <w:t>Inflation indexation on opening RAB</w:t>
            </w:r>
          </w:p>
        </w:tc>
        <w:tc>
          <w:tcPr>
            <w:tcW w:w="1033" w:type="dxa"/>
            <w:noWrap/>
            <w:vAlign w:val="bottom"/>
          </w:tcPr>
          <w:p w:rsidR="00063DD0" w:rsidRPr="00063DD0" w:rsidRDefault="00063DD0" w:rsidP="00063DD0">
            <w:pPr>
              <w:cnfStyle w:val="000000000000" w:firstRow="0" w:lastRow="0" w:firstColumn="0" w:lastColumn="0" w:oddVBand="0" w:evenVBand="0" w:oddHBand="0" w:evenHBand="0" w:firstRowFirstColumn="0" w:firstRowLastColumn="0" w:lastRowFirstColumn="0" w:lastRowLastColumn="0"/>
            </w:pPr>
            <w:r w:rsidRPr="00063DD0">
              <w:t>35.9</w:t>
            </w:r>
          </w:p>
        </w:tc>
        <w:tc>
          <w:tcPr>
            <w:tcW w:w="1034" w:type="dxa"/>
            <w:noWrap/>
            <w:vAlign w:val="bottom"/>
          </w:tcPr>
          <w:p w:rsidR="00063DD0" w:rsidRPr="00063DD0" w:rsidRDefault="00063DD0" w:rsidP="00063DD0">
            <w:pPr>
              <w:cnfStyle w:val="000000000000" w:firstRow="0" w:lastRow="0" w:firstColumn="0" w:lastColumn="0" w:oddVBand="0" w:evenVBand="0" w:oddHBand="0" w:evenHBand="0" w:firstRowFirstColumn="0" w:firstRowLastColumn="0" w:lastRowFirstColumn="0" w:lastRowLastColumn="0"/>
            </w:pPr>
            <w:r w:rsidRPr="00063DD0">
              <w:t>49.1</w:t>
            </w:r>
          </w:p>
        </w:tc>
        <w:tc>
          <w:tcPr>
            <w:tcW w:w="1034" w:type="dxa"/>
            <w:noWrap/>
            <w:vAlign w:val="bottom"/>
          </w:tcPr>
          <w:p w:rsidR="00063DD0" w:rsidRPr="00063DD0" w:rsidRDefault="00063DD0" w:rsidP="00063DD0">
            <w:pPr>
              <w:cnfStyle w:val="000000000000" w:firstRow="0" w:lastRow="0" w:firstColumn="0" w:lastColumn="0" w:oddVBand="0" w:evenVBand="0" w:oddHBand="0" w:evenHBand="0" w:firstRowFirstColumn="0" w:firstRowLastColumn="0" w:lastRowFirstColumn="0" w:lastRowLastColumn="0"/>
            </w:pPr>
            <w:r w:rsidRPr="00063DD0">
              <w:t>29.8</w:t>
            </w:r>
          </w:p>
        </w:tc>
        <w:tc>
          <w:tcPr>
            <w:tcW w:w="1034" w:type="dxa"/>
            <w:noWrap/>
            <w:vAlign w:val="bottom"/>
          </w:tcPr>
          <w:p w:rsidR="00063DD0" w:rsidRPr="00063DD0" w:rsidRDefault="00063DD0" w:rsidP="00063DD0">
            <w:pPr>
              <w:cnfStyle w:val="000000000000" w:firstRow="0" w:lastRow="0" w:firstColumn="0" w:lastColumn="0" w:oddVBand="0" w:evenVBand="0" w:oddHBand="0" w:evenHBand="0" w:firstRowFirstColumn="0" w:firstRowLastColumn="0" w:lastRowFirstColumn="0" w:lastRowLastColumn="0"/>
            </w:pPr>
            <w:r w:rsidRPr="00063DD0">
              <w:t>34.2</w:t>
            </w:r>
          </w:p>
        </w:tc>
        <w:tc>
          <w:tcPr>
            <w:tcW w:w="1034" w:type="dxa"/>
            <w:noWrap/>
            <w:vAlign w:val="bottom"/>
          </w:tcPr>
          <w:p w:rsidR="00063DD0" w:rsidRPr="00063DD0" w:rsidRDefault="00063DD0" w:rsidP="00063DD0">
            <w:pPr>
              <w:cnfStyle w:val="000000000000" w:firstRow="0" w:lastRow="0" w:firstColumn="0" w:lastColumn="0" w:oddVBand="0" w:evenVBand="0" w:oddHBand="0" w:evenHBand="0" w:firstRowFirstColumn="0" w:firstRowLastColumn="0" w:lastRowFirstColumn="0" w:lastRowLastColumn="0"/>
            </w:pPr>
            <w:r w:rsidRPr="00063DD0">
              <w:t>38.9</w:t>
            </w:r>
          </w:p>
        </w:tc>
      </w:tr>
      <w:tr w:rsidR="00063DD0" w:rsidRPr="00F30662" w:rsidTr="00457B65">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063DD0" w:rsidRPr="00063DD0" w:rsidRDefault="00063DD0" w:rsidP="00063DD0">
            <w:r w:rsidRPr="00063DD0">
              <w:rPr>
                <w:rStyle w:val="AERtextitalic"/>
              </w:rPr>
              <w:t>Less</w:t>
            </w:r>
            <w:r w:rsidRPr="00063DD0">
              <w:t>: straight-line depreciation</w:t>
            </w:r>
          </w:p>
        </w:tc>
        <w:tc>
          <w:tcPr>
            <w:tcW w:w="1033" w:type="dxa"/>
            <w:noWrap/>
            <w:vAlign w:val="bottom"/>
          </w:tcPr>
          <w:p w:rsidR="00063DD0" w:rsidRPr="00063DD0" w:rsidRDefault="00063DD0" w:rsidP="00063DD0">
            <w:pPr>
              <w:cnfStyle w:val="000000010000" w:firstRow="0" w:lastRow="0" w:firstColumn="0" w:lastColumn="0" w:oddVBand="0" w:evenVBand="0" w:oddHBand="0" w:evenHBand="1" w:firstRowFirstColumn="0" w:firstRowLastColumn="0" w:lastRowFirstColumn="0" w:lastRowLastColumn="0"/>
            </w:pPr>
            <w:r w:rsidRPr="00063DD0">
              <w:t>68.0</w:t>
            </w:r>
          </w:p>
        </w:tc>
        <w:tc>
          <w:tcPr>
            <w:tcW w:w="1034" w:type="dxa"/>
            <w:noWrap/>
            <w:vAlign w:val="bottom"/>
          </w:tcPr>
          <w:p w:rsidR="00063DD0" w:rsidRPr="00063DD0" w:rsidRDefault="00063DD0" w:rsidP="00063DD0">
            <w:pPr>
              <w:cnfStyle w:val="000000010000" w:firstRow="0" w:lastRow="0" w:firstColumn="0" w:lastColumn="0" w:oddVBand="0" w:evenVBand="0" w:oddHBand="0" w:evenHBand="1" w:firstRowFirstColumn="0" w:firstRowLastColumn="0" w:lastRowFirstColumn="0" w:lastRowLastColumn="0"/>
            </w:pPr>
            <w:r w:rsidRPr="00063DD0">
              <w:t>74.0</w:t>
            </w:r>
          </w:p>
        </w:tc>
        <w:tc>
          <w:tcPr>
            <w:tcW w:w="1034" w:type="dxa"/>
            <w:noWrap/>
            <w:vAlign w:val="bottom"/>
          </w:tcPr>
          <w:p w:rsidR="00063DD0" w:rsidRPr="00063DD0" w:rsidRDefault="00063DD0" w:rsidP="00063DD0">
            <w:pPr>
              <w:cnfStyle w:val="000000010000" w:firstRow="0" w:lastRow="0" w:firstColumn="0" w:lastColumn="0" w:oddVBand="0" w:evenVBand="0" w:oddHBand="0" w:evenHBand="1" w:firstRowFirstColumn="0" w:firstRowLastColumn="0" w:lastRowFirstColumn="0" w:lastRowLastColumn="0"/>
            </w:pPr>
            <w:r w:rsidRPr="00063DD0">
              <w:t>79.1</w:t>
            </w:r>
          </w:p>
        </w:tc>
        <w:tc>
          <w:tcPr>
            <w:tcW w:w="1034" w:type="dxa"/>
            <w:noWrap/>
            <w:vAlign w:val="bottom"/>
          </w:tcPr>
          <w:p w:rsidR="00063DD0" w:rsidRPr="00063DD0" w:rsidRDefault="00063DD0" w:rsidP="00063DD0">
            <w:pPr>
              <w:cnfStyle w:val="000000010000" w:firstRow="0" w:lastRow="0" w:firstColumn="0" w:lastColumn="0" w:oddVBand="0" w:evenVBand="0" w:oddHBand="0" w:evenHBand="1" w:firstRowFirstColumn="0" w:firstRowLastColumn="0" w:lastRowFirstColumn="0" w:lastRowLastColumn="0"/>
            </w:pPr>
            <w:r w:rsidRPr="00063DD0">
              <w:t>84.9</w:t>
            </w:r>
          </w:p>
        </w:tc>
        <w:tc>
          <w:tcPr>
            <w:tcW w:w="1034" w:type="dxa"/>
            <w:noWrap/>
            <w:vAlign w:val="bottom"/>
          </w:tcPr>
          <w:p w:rsidR="00063DD0" w:rsidRPr="00063DD0" w:rsidRDefault="00063DD0" w:rsidP="00063DD0">
            <w:pPr>
              <w:cnfStyle w:val="000000010000" w:firstRow="0" w:lastRow="0" w:firstColumn="0" w:lastColumn="0" w:oddVBand="0" w:evenVBand="0" w:oddHBand="0" w:evenHBand="1" w:firstRowFirstColumn="0" w:firstRowLastColumn="0" w:lastRowFirstColumn="0" w:lastRowLastColumn="0"/>
            </w:pPr>
            <w:r w:rsidRPr="00063DD0">
              <w:t>92.1</w:t>
            </w:r>
          </w:p>
        </w:tc>
      </w:tr>
      <w:tr w:rsidR="00063DD0" w:rsidRPr="008978BA" w:rsidTr="00457B65">
        <w:trPr>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063DD0" w:rsidRPr="00063DD0" w:rsidRDefault="00063DD0" w:rsidP="00063DD0">
            <w:r w:rsidRPr="00063DD0">
              <w:t>Closing RAB</w:t>
            </w:r>
          </w:p>
        </w:tc>
        <w:tc>
          <w:tcPr>
            <w:tcW w:w="1033" w:type="dxa"/>
            <w:noWrap/>
            <w:vAlign w:val="bottom"/>
          </w:tcPr>
          <w:p w:rsidR="00063DD0" w:rsidRPr="00063DD0" w:rsidRDefault="00063DD0" w:rsidP="00063DD0">
            <w:pPr>
              <w:cnfStyle w:val="000000000000" w:firstRow="0" w:lastRow="0" w:firstColumn="0" w:lastColumn="0" w:oddVBand="0" w:evenVBand="0" w:oddHBand="0" w:evenHBand="0" w:firstRowFirstColumn="0" w:firstRowLastColumn="0" w:lastRowFirstColumn="0" w:lastRowLastColumn="0"/>
            </w:pPr>
            <w:r w:rsidRPr="00063DD0">
              <w:t>1395.7</w:t>
            </w:r>
          </w:p>
        </w:tc>
        <w:tc>
          <w:tcPr>
            <w:tcW w:w="1034" w:type="dxa"/>
            <w:noWrap/>
            <w:vAlign w:val="bottom"/>
          </w:tcPr>
          <w:p w:rsidR="00063DD0" w:rsidRPr="00063DD0" w:rsidRDefault="00063DD0" w:rsidP="00063DD0">
            <w:pPr>
              <w:cnfStyle w:val="000000000000" w:firstRow="0" w:lastRow="0" w:firstColumn="0" w:lastColumn="0" w:oddVBand="0" w:evenVBand="0" w:oddHBand="0" w:evenHBand="0" w:firstRowFirstColumn="0" w:firstRowLastColumn="0" w:lastRowFirstColumn="0" w:lastRowLastColumn="0"/>
            </w:pPr>
            <w:r w:rsidRPr="00063DD0">
              <w:t>1488.8</w:t>
            </w:r>
          </w:p>
        </w:tc>
        <w:tc>
          <w:tcPr>
            <w:tcW w:w="1034" w:type="dxa"/>
            <w:noWrap/>
            <w:vAlign w:val="bottom"/>
          </w:tcPr>
          <w:p w:rsidR="00063DD0" w:rsidRPr="00063DD0" w:rsidRDefault="00063DD0" w:rsidP="00063DD0">
            <w:pPr>
              <w:cnfStyle w:val="000000000000" w:firstRow="0" w:lastRow="0" w:firstColumn="0" w:lastColumn="0" w:oddVBand="0" w:evenVBand="0" w:oddHBand="0" w:evenHBand="0" w:firstRowFirstColumn="0" w:firstRowLastColumn="0" w:lastRowFirstColumn="0" w:lastRowLastColumn="0"/>
            </w:pPr>
            <w:r w:rsidRPr="00063DD0">
              <w:t>1580.9</w:t>
            </w:r>
          </w:p>
        </w:tc>
        <w:tc>
          <w:tcPr>
            <w:tcW w:w="1034" w:type="dxa"/>
            <w:noWrap/>
            <w:vAlign w:val="bottom"/>
          </w:tcPr>
          <w:p w:rsidR="00063DD0" w:rsidRPr="00063DD0" w:rsidRDefault="00063DD0" w:rsidP="00063DD0">
            <w:pPr>
              <w:cnfStyle w:val="000000000000" w:firstRow="0" w:lastRow="0" w:firstColumn="0" w:lastColumn="0" w:oddVBand="0" w:evenVBand="0" w:oddHBand="0" w:evenHBand="0" w:firstRowFirstColumn="0" w:firstRowLastColumn="0" w:lastRowFirstColumn="0" w:lastRowLastColumn="0"/>
            </w:pPr>
            <w:r w:rsidRPr="00063DD0">
              <w:t>1686.4</w:t>
            </w:r>
          </w:p>
        </w:tc>
        <w:tc>
          <w:tcPr>
            <w:tcW w:w="1034" w:type="dxa"/>
            <w:noWrap/>
            <w:vAlign w:val="bottom"/>
          </w:tcPr>
          <w:p w:rsidR="00063DD0" w:rsidRPr="00063DD0" w:rsidRDefault="00063DD0" w:rsidP="00063DD0">
            <w:pPr>
              <w:cnfStyle w:val="000000000000" w:firstRow="0" w:lastRow="0" w:firstColumn="0" w:lastColumn="0" w:oddVBand="0" w:evenVBand="0" w:oddHBand="0" w:evenHBand="0" w:firstRowFirstColumn="0" w:firstRowLastColumn="0" w:lastRowFirstColumn="0" w:lastRowLastColumn="0"/>
            </w:pPr>
            <w:r w:rsidRPr="00063DD0">
              <w:t>1820.5</w:t>
            </w:r>
          </w:p>
        </w:tc>
      </w:tr>
      <w:tr w:rsidR="00063DD0" w:rsidRPr="00F30662" w:rsidTr="00457B65">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063DD0" w:rsidRPr="00063DD0" w:rsidRDefault="00063DD0" w:rsidP="00063DD0">
            <w:r w:rsidRPr="00063DD0">
              <w:t>Difference between estimated and actual 2010 capex (1 January 2010 to 31 December 2010)</w:t>
            </w:r>
          </w:p>
        </w:tc>
        <w:tc>
          <w:tcPr>
            <w:tcW w:w="1033" w:type="dxa"/>
            <w:vAlign w:val="bottom"/>
          </w:tcPr>
          <w:p w:rsidR="00063DD0" w:rsidRPr="00063DD0" w:rsidRDefault="00063DD0">
            <w:pPr>
              <w:cnfStyle w:val="000000010000" w:firstRow="0" w:lastRow="0" w:firstColumn="0" w:lastColumn="0" w:oddVBand="0" w:evenVBand="0" w:oddHBand="0" w:evenHBand="1" w:firstRowFirstColumn="0" w:firstRowLastColumn="0" w:lastRowFirstColumn="0" w:lastRowLastColumn="0"/>
            </w:pPr>
            <w:r w:rsidRPr="00063DD0">
              <w:t> </w:t>
            </w:r>
          </w:p>
        </w:tc>
        <w:tc>
          <w:tcPr>
            <w:tcW w:w="1034" w:type="dxa"/>
            <w:vAlign w:val="bottom"/>
          </w:tcPr>
          <w:p w:rsidR="00063DD0" w:rsidRPr="00063DD0" w:rsidRDefault="00063DD0">
            <w:pPr>
              <w:cnfStyle w:val="000000010000" w:firstRow="0" w:lastRow="0" w:firstColumn="0" w:lastColumn="0" w:oddVBand="0" w:evenVBand="0" w:oddHBand="0" w:evenHBand="1" w:firstRowFirstColumn="0" w:firstRowLastColumn="0" w:lastRowFirstColumn="0" w:lastRowLastColumn="0"/>
            </w:pPr>
            <w:r w:rsidRPr="00063DD0">
              <w:t> </w:t>
            </w:r>
          </w:p>
        </w:tc>
        <w:tc>
          <w:tcPr>
            <w:tcW w:w="1034" w:type="dxa"/>
            <w:vAlign w:val="bottom"/>
          </w:tcPr>
          <w:p w:rsidR="00063DD0" w:rsidRPr="00063DD0" w:rsidRDefault="00063DD0">
            <w:pPr>
              <w:cnfStyle w:val="000000010000" w:firstRow="0" w:lastRow="0" w:firstColumn="0" w:lastColumn="0" w:oddVBand="0" w:evenVBand="0" w:oddHBand="0" w:evenHBand="1" w:firstRowFirstColumn="0" w:firstRowLastColumn="0" w:lastRowFirstColumn="0" w:lastRowLastColumn="0"/>
            </w:pPr>
            <w:r w:rsidRPr="00063DD0">
              <w:t> </w:t>
            </w:r>
          </w:p>
        </w:tc>
        <w:tc>
          <w:tcPr>
            <w:tcW w:w="1034" w:type="dxa"/>
            <w:vAlign w:val="bottom"/>
          </w:tcPr>
          <w:p w:rsidR="00063DD0" w:rsidRPr="00063DD0" w:rsidRDefault="00063DD0">
            <w:pPr>
              <w:cnfStyle w:val="000000010000" w:firstRow="0" w:lastRow="0" w:firstColumn="0" w:lastColumn="0" w:oddVBand="0" w:evenVBand="0" w:oddHBand="0" w:evenHBand="1" w:firstRowFirstColumn="0" w:firstRowLastColumn="0" w:lastRowFirstColumn="0" w:lastRowLastColumn="0"/>
            </w:pPr>
            <w:r w:rsidRPr="00063DD0">
              <w:t> </w:t>
            </w:r>
          </w:p>
        </w:tc>
        <w:tc>
          <w:tcPr>
            <w:tcW w:w="1034" w:type="dxa"/>
            <w:vAlign w:val="bottom"/>
          </w:tcPr>
          <w:p w:rsidR="00063DD0" w:rsidRPr="00063DD0" w:rsidRDefault="00116A2A" w:rsidP="00063DD0">
            <w:pPr>
              <w:cnfStyle w:val="000000010000" w:firstRow="0" w:lastRow="0" w:firstColumn="0" w:lastColumn="0" w:oddVBand="0" w:evenVBand="0" w:oddHBand="0" w:evenHBand="1" w:firstRowFirstColumn="0" w:firstRowLastColumn="0" w:lastRowFirstColumn="0" w:lastRowLastColumn="0"/>
            </w:pPr>
            <w:r>
              <w:t>–</w:t>
            </w:r>
            <w:r w:rsidR="00063DD0" w:rsidRPr="00063DD0">
              <w:t>21.4</w:t>
            </w:r>
          </w:p>
        </w:tc>
      </w:tr>
      <w:tr w:rsidR="00063DD0" w:rsidRPr="00F30662" w:rsidTr="00457B65">
        <w:trPr>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063DD0" w:rsidRPr="00063DD0" w:rsidRDefault="00063DD0" w:rsidP="00063DD0">
            <w:r w:rsidRPr="00063DD0">
              <w:t>Return on difference for 2010  capex</w:t>
            </w:r>
          </w:p>
        </w:tc>
        <w:tc>
          <w:tcPr>
            <w:tcW w:w="1033" w:type="dxa"/>
            <w:vAlign w:val="bottom"/>
          </w:tcPr>
          <w:p w:rsidR="00063DD0" w:rsidRPr="00063DD0" w:rsidRDefault="00063DD0">
            <w:pPr>
              <w:cnfStyle w:val="000000000000" w:firstRow="0" w:lastRow="0" w:firstColumn="0" w:lastColumn="0" w:oddVBand="0" w:evenVBand="0" w:oddHBand="0" w:evenHBand="0" w:firstRowFirstColumn="0" w:firstRowLastColumn="0" w:lastRowFirstColumn="0" w:lastRowLastColumn="0"/>
            </w:pPr>
            <w:r w:rsidRPr="00063DD0">
              <w:t> </w:t>
            </w:r>
          </w:p>
        </w:tc>
        <w:tc>
          <w:tcPr>
            <w:tcW w:w="1034" w:type="dxa"/>
            <w:vAlign w:val="bottom"/>
          </w:tcPr>
          <w:p w:rsidR="00063DD0" w:rsidRPr="00063DD0" w:rsidRDefault="00063DD0">
            <w:pPr>
              <w:cnfStyle w:val="000000000000" w:firstRow="0" w:lastRow="0" w:firstColumn="0" w:lastColumn="0" w:oddVBand="0" w:evenVBand="0" w:oddHBand="0" w:evenHBand="0" w:firstRowFirstColumn="0" w:firstRowLastColumn="0" w:lastRowFirstColumn="0" w:lastRowLastColumn="0"/>
            </w:pPr>
            <w:r w:rsidRPr="00063DD0">
              <w:t> </w:t>
            </w:r>
          </w:p>
        </w:tc>
        <w:tc>
          <w:tcPr>
            <w:tcW w:w="1034" w:type="dxa"/>
            <w:vAlign w:val="bottom"/>
          </w:tcPr>
          <w:p w:rsidR="00063DD0" w:rsidRPr="00063DD0" w:rsidRDefault="00063DD0">
            <w:pPr>
              <w:cnfStyle w:val="000000000000" w:firstRow="0" w:lastRow="0" w:firstColumn="0" w:lastColumn="0" w:oddVBand="0" w:evenVBand="0" w:oddHBand="0" w:evenHBand="0" w:firstRowFirstColumn="0" w:firstRowLastColumn="0" w:lastRowFirstColumn="0" w:lastRowLastColumn="0"/>
            </w:pPr>
            <w:r w:rsidRPr="00063DD0">
              <w:t> </w:t>
            </w:r>
          </w:p>
        </w:tc>
        <w:tc>
          <w:tcPr>
            <w:tcW w:w="1034" w:type="dxa"/>
            <w:vAlign w:val="bottom"/>
          </w:tcPr>
          <w:p w:rsidR="00063DD0" w:rsidRPr="00063DD0" w:rsidRDefault="00063DD0">
            <w:pPr>
              <w:cnfStyle w:val="000000000000" w:firstRow="0" w:lastRow="0" w:firstColumn="0" w:lastColumn="0" w:oddVBand="0" w:evenVBand="0" w:oddHBand="0" w:evenHBand="0" w:firstRowFirstColumn="0" w:firstRowLastColumn="0" w:lastRowFirstColumn="0" w:lastRowLastColumn="0"/>
            </w:pPr>
            <w:r w:rsidRPr="00063DD0">
              <w:t> </w:t>
            </w:r>
          </w:p>
        </w:tc>
        <w:tc>
          <w:tcPr>
            <w:tcW w:w="1034" w:type="dxa"/>
            <w:vAlign w:val="bottom"/>
          </w:tcPr>
          <w:p w:rsidR="00063DD0" w:rsidRPr="00063DD0" w:rsidRDefault="00116A2A" w:rsidP="00063DD0">
            <w:pPr>
              <w:cnfStyle w:val="000000000000" w:firstRow="0" w:lastRow="0" w:firstColumn="0" w:lastColumn="0" w:oddVBand="0" w:evenVBand="0" w:oddHBand="0" w:evenHBand="0" w:firstRowFirstColumn="0" w:firstRowLastColumn="0" w:lastRowFirstColumn="0" w:lastRowLastColumn="0"/>
            </w:pPr>
            <w:r>
              <w:t>–</w:t>
            </w:r>
            <w:r w:rsidR="00063DD0" w:rsidRPr="00063DD0">
              <w:t>12.2</w:t>
            </w:r>
          </w:p>
        </w:tc>
      </w:tr>
      <w:tr w:rsidR="00063DD0" w:rsidRPr="009A523C" w:rsidTr="00457B65">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586" w:type="dxa"/>
            <w:noWrap/>
          </w:tcPr>
          <w:p w:rsidR="00063DD0" w:rsidRPr="00063DD0" w:rsidRDefault="00063DD0" w:rsidP="00063DD0">
            <w:r w:rsidRPr="00063DD0">
              <w:t>Six month CPI adjustment</w:t>
            </w:r>
          </w:p>
        </w:tc>
        <w:tc>
          <w:tcPr>
            <w:tcW w:w="1033" w:type="dxa"/>
            <w:vAlign w:val="bottom"/>
          </w:tcPr>
          <w:p w:rsidR="00063DD0" w:rsidRPr="00063DD0" w:rsidRDefault="00063DD0">
            <w:pPr>
              <w:cnfStyle w:val="000000010000" w:firstRow="0" w:lastRow="0" w:firstColumn="0" w:lastColumn="0" w:oddVBand="0" w:evenVBand="0" w:oddHBand="0" w:evenHBand="1" w:firstRowFirstColumn="0" w:firstRowLastColumn="0" w:lastRowFirstColumn="0" w:lastRowLastColumn="0"/>
            </w:pPr>
            <w:r w:rsidRPr="00063DD0">
              <w:t> </w:t>
            </w:r>
          </w:p>
        </w:tc>
        <w:tc>
          <w:tcPr>
            <w:tcW w:w="1034" w:type="dxa"/>
            <w:noWrap/>
            <w:vAlign w:val="bottom"/>
          </w:tcPr>
          <w:p w:rsidR="00063DD0" w:rsidRPr="00063DD0" w:rsidRDefault="00063DD0">
            <w:pPr>
              <w:cnfStyle w:val="000000010000" w:firstRow="0" w:lastRow="0" w:firstColumn="0" w:lastColumn="0" w:oddVBand="0" w:evenVBand="0" w:oddHBand="0" w:evenHBand="1" w:firstRowFirstColumn="0" w:firstRowLastColumn="0" w:lastRowFirstColumn="0" w:lastRowLastColumn="0"/>
            </w:pPr>
            <w:r w:rsidRPr="00063DD0">
              <w:t> </w:t>
            </w:r>
          </w:p>
        </w:tc>
        <w:tc>
          <w:tcPr>
            <w:tcW w:w="1034" w:type="dxa"/>
            <w:noWrap/>
            <w:vAlign w:val="bottom"/>
          </w:tcPr>
          <w:p w:rsidR="00063DD0" w:rsidRPr="00063DD0" w:rsidRDefault="00063DD0">
            <w:pPr>
              <w:cnfStyle w:val="000000010000" w:firstRow="0" w:lastRow="0" w:firstColumn="0" w:lastColumn="0" w:oddVBand="0" w:evenVBand="0" w:oddHBand="0" w:evenHBand="1" w:firstRowFirstColumn="0" w:firstRowLastColumn="0" w:lastRowFirstColumn="0" w:lastRowLastColumn="0"/>
            </w:pPr>
            <w:r w:rsidRPr="00063DD0">
              <w:t> </w:t>
            </w:r>
          </w:p>
        </w:tc>
        <w:tc>
          <w:tcPr>
            <w:tcW w:w="1034" w:type="dxa"/>
            <w:noWrap/>
            <w:vAlign w:val="bottom"/>
          </w:tcPr>
          <w:p w:rsidR="00063DD0" w:rsidRPr="00063DD0" w:rsidRDefault="00063DD0">
            <w:pPr>
              <w:cnfStyle w:val="000000010000" w:firstRow="0" w:lastRow="0" w:firstColumn="0" w:lastColumn="0" w:oddVBand="0" w:evenVBand="0" w:oddHBand="0" w:evenHBand="1" w:firstRowFirstColumn="0" w:firstRowLastColumn="0" w:lastRowFirstColumn="0" w:lastRowLastColumn="0"/>
            </w:pPr>
            <w:r w:rsidRPr="00063DD0">
              <w:t> </w:t>
            </w:r>
          </w:p>
        </w:tc>
        <w:tc>
          <w:tcPr>
            <w:tcW w:w="1034" w:type="dxa"/>
            <w:noWrap/>
            <w:vAlign w:val="bottom"/>
          </w:tcPr>
          <w:p w:rsidR="00063DD0" w:rsidRPr="00063DD0" w:rsidRDefault="00063DD0" w:rsidP="00063DD0">
            <w:pPr>
              <w:cnfStyle w:val="000000010000" w:firstRow="0" w:lastRow="0" w:firstColumn="0" w:lastColumn="0" w:oddVBand="0" w:evenVBand="0" w:oddHBand="0" w:evenHBand="1" w:firstRowFirstColumn="0" w:firstRowLastColumn="0" w:lastRowFirstColumn="0" w:lastRowLastColumn="0"/>
            </w:pPr>
            <w:r w:rsidRPr="00063DD0">
              <w:t>15.7</w:t>
            </w:r>
          </w:p>
        </w:tc>
      </w:tr>
      <w:tr w:rsidR="00063DD0" w:rsidRPr="00063DD0" w:rsidTr="00457B65">
        <w:trPr>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063DD0" w:rsidRPr="00063DD0" w:rsidRDefault="00063DD0" w:rsidP="00063DD0">
            <w:pPr>
              <w:rPr>
                <w:rStyle w:val="Strong"/>
              </w:rPr>
            </w:pPr>
            <w:r w:rsidRPr="00063DD0">
              <w:rPr>
                <w:rStyle w:val="Strong"/>
              </w:rPr>
              <w:t>Closing RAB as at 31 December 2015</w:t>
            </w:r>
          </w:p>
        </w:tc>
        <w:tc>
          <w:tcPr>
            <w:tcW w:w="1033" w:type="dxa"/>
            <w:vAlign w:val="bottom"/>
          </w:tcPr>
          <w:p w:rsidR="00063DD0" w:rsidRPr="00063DD0" w:rsidRDefault="00063DD0">
            <w:pPr>
              <w:cnfStyle w:val="000000000000" w:firstRow="0" w:lastRow="0" w:firstColumn="0" w:lastColumn="0" w:oddVBand="0" w:evenVBand="0" w:oddHBand="0" w:evenHBand="0" w:firstRowFirstColumn="0" w:firstRowLastColumn="0" w:lastRowFirstColumn="0" w:lastRowLastColumn="0"/>
            </w:pPr>
            <w:r w:rsidRPr="00063DD0">
              <w:t> </w:t>
            </w:r>
          </w:p>
        </w:tc>
        <w:tc>
          <w:tcPr>
            <w:tcW w:w="1034" w:type="dxa"/>
            <w:noWrap/>
            <w:vAlign w:val="bottom"/>
          </w:tcPr>
          <w:p w:rsidR="00063DD0" w:rsidRPr="00063DD0" w:rsidRDefault="00063DD0">
            <w:pPr>
              <w:cnfStyle w:val="000000000000" w:firstRow="0" w:lastRow="0" w:firstColumn="0" w:lastColumn="0" w:oddVBand="0" w:evenVBand="0" w:oddHBand="0" w:evenHBand="0" w:firstRowFirstColumn="0" w:firstRowLastColumn="0" w:lastRowFirstColumn="0" w:lastRowLastColumn="0"/>
            </w:pPr>
            <w:r w:rsidRPr="00063DD0">
              <w:t> </w:t>
            </w:r>
          </w:p>
        </w:tc>
        <w:tc>
          <w:tcPr>
            <w:tcW w:w="1034" w:type="dxa"/>
            <w:noWrap/>
            <w:vAlign w:val="bottom"/>
          </w:tcPr>
          <w:p w:rsidR="00063DD0" w:rsidRPr="00063DD0" w:rsidRDefault="00063DD0">
            <w:pPr>
              <w:cnfStyle w:val="000000000000" w:firstRow="0" w:lastRow="0" w:firstColumn="0" w:lastColumn="0" w:oddVBand="0" w:evenVBand="0" w:oddHBand="0" w:evenHBand="0" w:firstRowFirstColumn="0" w:firstRowLastColumn="0" w:lastRowFirstColumn="0" w:lastRowLastColumn="0"/>
            </w:pPr>
            <w:r w:rsidRPr="00063DD0">
              <w:t> </w:t>
            </w:r>
          </w:p>
        </w:tc>
        <w:tc>
          <w:tcPr>
            <w:tcW w:w="1034" w:type="dxa"/>
            <w:noWrap/>
            <w:vAlign w:val="bottom"/>
          </w:tcPr>
          <w:p w:rsidR="00063DD0" w:rsidRPr="00063DD0" w:rsidRDefault="00063DD0">
            <w:pPr>
              <w:cnfStyle w:val="000000000000" w:firstRow="0" w:lastRow="0" w:firstColumn="0" w:lastColumn="0" w:oddVBand="0" w:evenVBand="0" w:oddHBand="0" w:evenHBand="0" w:firstRowFirstColumn="0" w:firstRowLastColumn="0" w:lastRowFirstColumn="0" w:lastRowLastColumn="0"/>
            </w:pPr>
            <w:r w:rsidRPr="00063DD0">
              <w:t> </w:t>
            </w:r>
          </w:p>
        </w:tc>
        <w:tc>
          <w:tcPr>
            <w:tcW w:w="1034" w:type="dxa"/>
            <w:noWrap/>
            <w:vAlign w:val="bottom"/>
          </w:tcPr>
          <w:p w:rsidR="00063DD0" w:rsidRPr="00063DD0" w:rsidRDefault="00063DD0" w:rsidP="00063DD0">
            <w:pPr>
              <w:cnfStyle w:val="000000000000" w:firstRow="0" w:lastRow="0" w:firstColumn="0" w:lastColumn="0" w:oddVBand="0" w:evenVBand="0" w:oddHBand="0" w:evenHBand="0" w:firstRowFirstColumn="0" w:firstRowLastColumn="0" w:lastRowFirstColumn="0" w:lastRowLastColumn="0"/>
              <w:rPr>
                <w:rStyle w:val="Strong"/>
              </w:rPr>
            </w:pPr>
            <w:r w:rsidRPr="00063DD0">
              <w:rPr>
                <w:rStyle w:val="Strong"/>
              </w:rPr>
              <w:t>1802.6</w:t>
            </w:r>
          </w:p>
        </w:tc>
      </w:tr>
    </w:tbl>
    <w:p w:rsidR="00457B65" w:rsidRPr="00924046" w:rsidRDefault="00457B65" w:rsidP="00457B65">
      <w:pPr>
        <w:pStyle w:val="AERtablesource"/>
      </w:pPr>
      <w:r w:rsidRPr="00924046">
        <w:t>Source:</w:t>
      </w:r>
      <w:r w:rsidRPr="00924046">
        <w:tab/>
      </w:r>
      <w:r>
        <w:t xml:space="preserve">CitiPower, </w:t>
      </w:r>
      <w:r w:rsidRPr="00445029">
        <w:rPr>
          <w:rStyle w:val="AERtextitalic"/>
        </w:rPr>
        <w:t>R</w:t>
      </w:r>
      <w:r>
        <w:rPr>
          <w:rStyle w:val="AERtextitalic"/>
        </w:rPr>
        <w:t>evised r</w:t>
      </w:r>
      <w:r w:rsidRPr="00445029">
        <w:rPr>
          <w:rStyle w:val="AERtextitalic"/>
        </w:rPr>
        <w:t>egulatory proposal</w:t>
      </w:r>
      <w:r w:rsidRPr="00445029">
        <w:t xml:space="preserve">, </w:t>
      </w:r>
      <w:r w:rsidR="00390650" w:rsidRPr="00B60F38">
        <w:rPr>
          <w:i/>
        </w:rPr>
        <w:t>Roll forward model</w:t>
      </w:r>
      <w:r w:rsidR="00390650">
        <w:t xml:space="preserve">, </w:t>
      </w:r>
      <w:r>
        <w:t>January 2016</w:t>
      </w:r>
      <w:r w:rsidR="00390650">
        <w:t>.</w:t>
      </w:r>
    </w:p>
    <w:p w:rsidR="00457B65" w:rsidRPr="00924046" w:rsidRDefault="00457B65" w:rsidP="00457B65">
      <w:pPr>
        <w:pStyle w:val="AERtablesource"/>
      </w:pPr>
      <w:r>
        <w:t>(a)</w:t>
      </w:r>
      <w:r w:rsidRPr="00924046">
        <w:tab/>
        <w:t>Based on estimated capex.</w:t>
      </w:r>
    </w:p>
    <w:p w:rsidR="00457B65" w:rsidRDefault="00457B65" w:rsidP="00457B65">
      <w:pPr>
        <w:pStyle w:val="AERtablesource"/>
      </w:pPr>
      <w:r>
        <w:t>(b)</w:t>
      </w:r>
      <w:r w:rsidRPr="00924046">
        <w:tab/>
        <w:t>Net of disposals</w:t>
      </w:r>
      <w:r w:rsidRPr="00C91E9E">
        <w:t xml:space="preserve"> </w:t>
      </w:r>
      <w:r>
        <w:t>and capital contributions,</w:t>
      </w:r>
      <w:r w:rsidRPr="00924046">
        <w:t xml:space="preserve"> and adjusted for CPI.</w:t>
      </w:r>
    </w:p>
    <w:p w:rsidR="00457B65" w:rsidRDefault="00457B65" w:rsidP="00457B65">
      <w:r>
        <w:t>CitiPower</w:t>
      </w:r>
      <w:r w:rsidRPr="00F97CE2">
        <w:t xml:space="preserve"> proposed a </w:t>
      </w:r>
      <w:r>
        <w:t xml:space="preserve">revised </w:t>
      </w:r>
      <w:r w:rsidRPr="00F97CE2">
        <w:t>closing forecast RAB as at 31 December 2020 of $</w:t>
      </w:r>
      <w:r w:rsidR="00F12798">
        <w:t>2391.2</w:t>
      </w:r>
      <w:r>
        <w:t> </w:t>
      </w:r>
      <w:r w:rsidRPr="00F97CE2">
        <w:t>million ($</w:t>
      </w:r>
      <w:r>
        <w:t> </w:t>
      </w:r>
      <w:r w:rsidRPr="00F97CE2">
        <w:t xml:space="preserve">nominal). This value reflects its </w:t>
      </w:r>
      <w:r>
        <w:t xml:space="preserve">revised </w:t>
      </w:r>
      <w:r w:rsidRPr="00F97CE2">
        <w:t>proposed opening RAB</w:t>
      </w:r>
      <w:r>
        <w:t xml:space="preserve"> at 1 January 2016</w:t>
      </w:r>
      <w:r w:rsidRPr="00F97CE2">
        <w:t>, forecast capex</w:t>
      </w:r>
      <w:r w:rsidR="00DA6D45">
        <w:t xml:space="preserve"> </w:t>
      </w:r>
      <w:r w:rsidR="00C1227C">
        <w:t>(</w:t>
      </w:r>
      <w:r w:rsidR="002B4688">
        <w:t xml:space="preserve">inclusive of some </w:t>
      </w:r>
      <w:r w:rsidR="00C1227C">
        <w:t xml:space="preserve">asset </w:t>
      </w:r>
      <w:r w:rsidR="002B4688">
        <w:t>r</w:t>
      </w:r>
      <w:r w:rsidR="00DA6D45" w:rsidRPr="00DA6D45">
        <w:t xml:space="preserve">eallocation </w:t>
      </w:r>
      <w:r w:rsidR="002B4688">
        <w:t xml:space="preserve">between asset </w:t>
      </w:r>
      <w:r w:rsidR="002B4688">
        <w:lastRenderedPageBreak/>
        <w:t>classes</w:t>
      </w:r>
      <w:r w:rsidR="00C1227C">
        <w:t>)</w:t>
      </w:r>
      <w:r w:rsidR="002B4688">
        <w:t>,</w:t>
      </w:r>
      <w:r w:rsidR="002B4688">
        <w:rPr>
          <w:rStyle w:val="FootnoteReference"/>
        </w:rPr>
        <w:footnoteReference w:id="8"/>
      </w:r>
      <w:r w:rsidRPr="00F97CE2">
        <w:t xml:space="preserve"> </w:t>
      </w:r>
      <w:r w:rsidR="00244666">
        <w:t>expected</w:t>
      </w:r>
      <w:r w:rsidRPr="00F97CE2">
        <w:t xml:space="preserve"> inflation, and depreciation (based on forecast capex) over the 2016–20 regulatory control period. Its projected RAB over the 2016–20 regulatory control period is shown in </w:t>
      </w:r>
      <w:r>
        <w:fldChar w:fldCharType="begin"/>
      </w:r>
      <w:r>
        <w:instrText xml:space="preserve"> REF _Ref441134358 \h </w:instrText>
      </w:r>
      <w:r>
        <w:fldChar w:fldCharType="separate"/>
      </w:r>
      <w:r w:rsidR="00D37F48">
        <w:t xml:space="preserve">Table </w:t>
      </w:r>
      <w:r w:rsidR="00D37F48">
        <w:rPr>
          <w:noProof/>
        </w:rPr>
        <w:t>2</w:t>
      </w:r>
      <w:r w:rsidR="00D37F48">
        <w:t>.</w:t>
      </w:r>
      <w:r w:rsidR="00D37F48">
        <w:rPr>
          <w:noProof/>
        </w:rPr>
        <w:t>4</w:t>
      </w:r>
      <w:r>
        <w:fldChar w:fldCharType="end"/>
      </w:r>
      <w:r w:rsidRPr="00F97CE2">
        <w:t>.</w:t>
      </w:r>
    </w:p>
    <w:p w:rsidR="00D32013" w:rsidRPr="00D32013" w:rsidRDefault="00457B65" w:rsidP="00D32013">
      <w:pPr>
        <w:pStyle w:val="Caption"/>
      </w:pPr>
      <w:bookmarkStart w:id="78" w:name="_Ref441134358"/>
      <w:r>
        <w:t xml:space="preserve">Table </w:t>
      </w:r>
      <w:r w:rsidRPr="00457B65">
        <w:fldChar w:fldCharType="begin"/>
      </w:r>
      <w:r>
        <w:instrText xml:space="preserve"> STYLEREF 1 \s </w:instrText>
      </w:r>
      <w:r w:rsidRPr="00457B65">
        <w:fldChar w:fldCharType="separate"/>
      </w:r>
      <w:r w:rsidR="00D37F48">
        <w:rPr>
          <w:noProof/>
        </w:rPr>
        <w:t>2</w:t>
      </w:r>
      <w:r w:rsidRPr="00457B65">
        <w:fldChar w:fldCharType="end"/>
      </w:r>
      <w:r>
        <w:t>.</w:t>
      </w:r>
      <w:r w:rsidRPr="00457B65">
        <w:fldChar w:fldCharType="begin"/>
      </w:r>
      <w:r>
        <w:instrText xml:space="preserve"> SEQ Table \* ARABIC \s 1 </w:instrText>
      </w:r>
      <w:r w:rsidRPr="00457B65">
        <w:fldChar w:fldCharType="separate"/>
      </w:r>
      <w:r w:rsidR="00D37F48">
        <w:rPr>
          <w:noProof/>
        </w:rPr>
        <w:t>4</w:t>
      </w:r>
      <w:r w:rsidRPr="00457B65">
        <w:fldChar w:fldCharType="end"/>
      </w:r>
      <w:bookmarkEnd w:id="78"/>
      <w:r>
        <w:tab/>
        <w:t>CitiPower</w:t>
      </w:r>
      <w:r w:rsidRPr="009A523C">
        <w:t xml:space="preserve">'s </w:t>
      </w:r>
      <w:r>
        <w:t xml:space="preserve">revised </w:t>
      </w:r>
      <w:r w:rsidRPr="009A523C">
        <w:t>proposed RAB for the 2016–20 regulatory control period ($million, nominal)</w:t>
      </w:r>
    </w:p>
    <w:tbl>
      <w:tblPr>
        <w:tblStyle w:val="AERtable-numbers"/>
        <w:tblW w:w="8755" w:type="dxa"/>
        <w:tblLayout w:type="fixed"/>
        <w:tblLook w:val="04A0" w:firstRow="1" w:lastRow="0" w:firstColumn="1" w:lastColumn="0" w:noHBand="0" w:noVBand="1"/>
      </w:tblPr>
      <w:tblGrid>
        <w:gridCol w:w="3416"/>
        <w:gridCol w:w="1067"/>
        <w:gridCol w:w="1068"/>
        <w:gridCol w:w="1068"/>
        <w:gridCol w:w="1068"/>
        <w:gridCol w:w="1068"/>
      </w:tblGrid>
      <w:tr w:rsidR="00457B65" w:rsidRPr="00237902" w:rsidTr="00457B65">
        <w:trPr>
          <w:cnfStyle w:val="100000000000" w:firstRow="1" w:lastRow="0" w:firstColumn="0" w:lastColumn="0" w:oddVBand="0" w:evenVBand="0" w:oddHBand="0" w:evenHBand="0" w:firstRowFirstColumn="0" w:firstRowLastColumn="0" w:lastRowFirstColumn="0" w:lastRowLastColumn="0"/>
          <w:trHeight w:val="284"/>
          <w:tblHeader/>
        </w:trPr>
        <w:tc>
          <w:tcPr>
            <w:cnfStyle w:val="001000000000" w:firstRow="0" w:lastRow="0" w:firstColumn="1" w:lastColumn="0" w:oddVBand="0" w:evenVBand="0" w:oddHBand="0" w:evenHBand="0" w:firstRowFirstColumn="0" w:firstRowLastColumn="0" w:lastRowFirstColumn="0" w:lastRowLastColumn="0"/>
            <w:tcW w:w="3416" w:type="dxa"/>
            <w:noWrap/>
            <w:hideMark/>
          </w:tcPr>
          <w:p w:rsidR="00457B65" w:rsidRPr="00457B65" w:rsidRDefault="00457B65" w:rsidP="00457B65">
            <w:r w:rsidRPr="009A523C">
              <w:t> </w:t>
            </w:r>
          </w:p>
        </w:tc>
        <w:tc>
          <w:tcPr>
            <w:tcW w:w="1067" w:type="dxa"/>
            <w:noWrap/>
            <w:hideMark/>
          </w:tcPr>
          <w:p w:rsidR="00457B65" w:rsidRPr="00457B65" w:rsidRDefault="00457B65" w:rsidP="00457B65">
            <w:pPr>
              <w:cnfStyle w:val="100000000000" w:firstRow="1" w:lastRow="0" w:firstColumn="0" w:lastColumn="0" w:oddVBand="0" w:evenVBand="0" w:oddHBand="0" w:evenHBand="0" w:firstRowFirstColumn="0" w:firstRowLastColumn="0" w:lastRowFirstColumn="0" w:lastRowLastColumn="0"/>
            </w:pPr>
            <w:r w:rsidRPr="009A523C">
              <w:t>2016</w:t>
            </w:r>
          </w:p>
        </w:tc>
        <w:tc>
          <w:tcPr>
            <w:tcW w:w="1068" w:type="dxa"/>
            <w:noWrap/>
            <w:hideMark/>
          </w:tcPr>
          <w:p w:rsidR="00457B65" w:rsidRPr="00457B65" w:rsidRDefault="00457B65" w:rsidP="00457B65">
            <w:pPr>
              <w:cnfStyle w:val="100000000000" w:firstRow="1" w:lastRow="0" w:firstColumn="0" w:lastColumn="0" w:oddVBand="0" w:evenVBand="0" w:oddHBand="0" w:evenHBand="0" w:firstRowFirstColumn="0" w:firstRowLastColumn="0" w:lastRowFirstColumn="0" w:lastRowLastColumn="0"/>
            </w:pPr>
            <w:r w:rsidRPr="009A523C">
              <w:t>2017</w:t>
            </w:r>
          </w:p>
        </w:tc>
        <w:tc>
          <w:tcPr>
            <w:tcW w:w="1068" w:type="dxa"/>
            <w:noWrap/>
            <w:hideMark/>
          </w:tcPr>
          <w:p w:rsidR="00457B65" w:rsidRPr="00457B65" w:rsidRDefault="00457B65" w:rsidP="00457B65">
            <w:pPr>
              <w:cnfStyle w:val="100000000000" w:firstRow="1" w:lastRow="0" w:firstColumn="0" w:lastColumn="0" w:oddVBand="0" w:evenVBand="0" w:oddHBand="0" w:evenHBand="0" w:firstRowFirstColumn="0" w:firstRowLastColumn="0" w:lastRowFirstColumn="0" w:lastRowLastColumn="0"/>
            </w:pPr>
            <w:r w:rsidRPr="009A523C">
              <w:t>2018</w:t>
            </w:r>
          </w:p>
        </w:tc>
        <w:tc>
          <w:tcPr>
            <w:tcW w:w="1068" w:type="dxa"/>
            <w:noWrap/>
            <w:hideMark/>
          </w:tcPr>
          <w:p w:rsidR="00457B65" w:rsidRPr="00457B65" w:rsidRDefault="00457B65" w:rsidP="00457B65">
            <w:pPr>
              <w:cnfStyle w:val="100000000000" w:firstRow="1" w:lastRow="0" w:firstColumn="0" w:lastColumn="0" w:oddVBand="0" w:evenVBand="0" w:oddHBand="0" w:evenHBand="0" w:firstRowFirstColumn="0" w:firstRowLastColumn="0" w:lastRowFirstColumn="0" w:lastRowLastColumn="0"/>
            </w:pPr>
            <w:r w:rsidRPr="009A523C">
              <w:t>2019</w:t>
            </w:r>
          </w:p>
        </w:tc>
        <w:tc>
          <w:tcPr>
            <w:tcW w:w="1068" w:type="dxa"/>
            <w:noWrap/>
            <w:hideMark/>
          </w:tcPr>
          <w:p w:rsidR="00457B65" w:rsidRPr="00457B65" w:rsidRDefault="00457B65" w:rsidP="00457B65">
            <w:pPr>
              <w:cnfStyle w:val="100000000000" w:firstRow="1" w:lastRow="0" w:firstColumn="0" w:lastColumn="0" w:oddVBand="0" w:evenVBand="0" w:oddHBand="0" w:evenHBand="0" w:firstRowFirstColumn="0" w:firstRowLastColumn="0" w:lastRowFirstColumn="0" w:lastRowLastColumn="0"/>
            </w:pPr>
            <w:r w:rsidRPr="009A523C">
              <w:t>2020</w:t>
            </w:r>
          </w:p>
        </w:tc>
      </w:tr>
      <w:tr w:rsidR="00F12798" w:rsidRPr="00237902" w:rsidTr="00457B65">
        <w:trPr>
          <w:trHeight w:val="284"/>
        </w:trPr>
        <w:tc>
          <w:tcPr>
            <w:cnfStyle w:val="001000000000" w:firstRow="0" w:lastRow="0" w:firstColumn="1" w:lastColumn="0" w:oddVBand="0" w:evenVBand="0" w:oddHBand="0" w:evenHBand="0" w:firstRowFirstColumn="0" w:firstRowLastColumn="0" w:lastRowFirstColumn="0" w:lastRowLastColumn="0"/>
            <w:tcW w:w="3416" w:type="dxa"/>
            <w:noWrap/>
            <w:hideMark/>
          </w:tcPr>
          <w:p w:rsidR="00F12798" w:rsidRPr="00F12798" w:rsidRDefault="00F12798" w:rsidP="00F12798">
            <w:r w:rsidRPr="00F12798">
              <w:t>Opening RAB</w:t>
            </w:r>
          </w:p>
        </w:tc>
        <w:tc>
          <w:tcPr>
            <w:tcW w:w="1067" w:type="dxa"/>
            <w:noWrap/>
            <w:vAlign w:val="bottom"/>
          </w:tcPr>
          <w:p w:rsidR="00F12798" w:rsidRPr="00F12798" w:rsidRDefault="00F12798" w:rsidP="00F12798">
            <w:pPr>
              <w:cnfStyle w:val="000000000000" w:firstRow="0" w:lastRow="0" w:firstColumn="0" w:lastColumn="0" w:oddVBand="0" w:evenVBand="0" w:oddHBand="0" w:evenHBand="0" w:firstRowFirstColumn="0" w:firstRowLastColumn="0" w:lastRowFirstColumn="0" w:lastRowLastColumn="0"/>
            </w:pPr>
            <w:r w:rsidRPr="00F12798">
              <w:t>1802.6</w:t>
            </w:r>
          </w:p>
        </w:tc>
        <w:tc>
          <w:tcPr>
            <w:tcW w:w="1068" w:type="dxa"/>
            <w:noWrap/>
            <w:vAlign w:val="bottom"/>
          </w:tcPr>
          <w:p w:rsidR="00F12798" w:rsidRPr="00F12798" w:rsidRDefault="00F12798" w:rsidP="00F12798">
            <w:pPr>
              <w:cnfStyle w:val="000000000000" w:firstRow="0" w:lastRow="0" w:firstColumn="0" w:lastColumn="0" w:oddVBand="0" w:evenVBand="0" w:oddHBand="0" w:evenHBand="0" w:firstRowFirstColumn="0" w:firstRowLastColumn="0" w:lastRowFirstColumn="0" w:lastRowLastColumn="0"/>
            </w:pPr>
            <w:r w:rsidRPr="00F12798">
              <w:t>1923.6</w:t>
            </w:r>
          </w:p>
        </w:tc>
        <w:tc>
          <w:tcPr>
            <w:tcW w:w="1068" w:type="dxa"/>
            <w:noWrap/>
            <w:vAlign w:val="bottom"/>
          </w:tcPr>
          <w:p w:rsidR="00F12798" w:rsidRPr="00F12798" w:rsidRDefault="00F12798" w:rsidP="00F12798">
            <w:pPr>
              <w:cnfStyle w:val="000000000000" w:firstRow="0" w:lastRow="0" w:firstColumn="0" w:lastColumn="0" w:oddVBand="0" w:evenVBand="0" w:oddHBand="0" w:evenHBand="0" w:firstRowFirstColumn="0" w:firstRowLastColumn="0" w:lastRowFirstColumn="0" w:lastRowLastColumn="0"/>
            </w:pPr>
            <w:r w:rsidRPr="00F12798">
              <w:t>2081.6</w:t>
            </w:r>
          </w:p>
        </w:tc>
        <w:tc>
          <w:tcPr>
            <w:tcW w:w="1068" w:type="dxa"/>
            <w:noWrap/>
            <w:vAlign w:val="bottom"/>
          </w:tcPr>
          <w:p w:rsidR="00F12798" w:rsidRPr="00F12798" w:rsidRDefault="00F12798" w:rsidP="00F12798">
            <w:pPr>
              <w:cnfStyle w:val="000000000000" w:firstRow="0" w:lastRow="0" w:firstColumn="0" w:lastColumn="0" w:oddVBand="0" w:evenVBand="0" w:oddHBand="0" w:evenHBand="0" w:firstRowFirstColumn="0" w:firstRowLastColumn="0" w:lastRowFirstColumn="0" w:lastRowLastColumn="0"/>
            </w:pPr>
            <w:r w:rsidRPr="00F12798">
              <w:t>2218.0</w:t>
            </w:r>
          </w:p>
        </w:tc>
        <w:tc>
          <w:tcPr>
            <w:tcW w:w="1068" w:type="dxa"/>
            <w:noWrap/>
            <w:vAlign w:val="bottom"/>
          </w:tcPr>
          <w:p w:rsidR="00F12798" w:rsidRPr="00F12798" w:rsidRDefault="00F12798" w:rsidP="00F12798">
            <w:pPr>
              <w:cnfStyle w:val="000000000000" w:firstRow="0" w:lastRow="0" w:firstColumn="0" w:lastColumn="0" w:oddVBand="0" w:evenVBand="0" w:oddHBand="0" w:evenHBand="0" w:firstRowFirstColumn="0" w:firstRowLastColumn="0" w:lastRowFirstColumn="0" w:lastRowLastColumn="0"/>
            </w:pPr>
            <w:r w:rsidRPr="00F12798">
              <w:t>2324.6</w:t>
            </w:r>
          </w:p>
        </w:tc>
      </w:tr>
      <w:tr w:rsidR="00F12798" w:rsidRPr="00237902" w:rsidTr="00457B65">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16" w:type="dxa"/>
            <w:noWrap/>
            <w:hideMark/>
          </w:tcPr>
          <w:p w:rsidR="00F12798" w:rsidRPr="00F12798" w:rsidRDefault="00F12798" w:rsidP="00F12798">
            <w:r w:rsidRPr="00F12798">
              <w:t>Capital expenditure</w:t>
            </w:r>
            <w:r w:rsidRPr="00F12798">
              <w:rPr>
                <w:rStyle w:val="AERsuperscript"/>
              </w:rPr>
              <w:t>a</w:t>
            </w:r>
          </w:p>
        </w:tc>
        <w:tc>
          <w:tcPr>
            <w:tcW w:w="1067" w:type="dxa"/>
            <w:noWrap/>
            <w:vAlign w:val="bottom"/>
          </w:tcPr>
          <w:p w:rsidR="00F12798" w:rsidRPr="00F12798" w:rsidRDefault="00F12798" w:rsidP="00F12798">
            <w:pPr>
              <w:cnfStyle w:val="000000010000" w:firstRow="0" w:lastRow="0" w:firstColumn="0" w:lastColumn="0" w:oddVBand="0" w:evenVBand="0" w:oddHBand="0" w:evenHBand="1" w:firstRowFirstColumn="0" w:firstRowLastColumn="0" w:lastRowFirstColumn="0" w:lastRowLastColumn="0"/>
            </w:pPr>
            <w:r w:rsidRPr="00F12798">
              <w:t>179.3</w:t>
            </w:r>
          </w:p>
        </w:tc>
        <w:tc>
          <w:tcPr>
            <w:tcW w:w="1068" w:type="dxa"/>
            <w:noWrap/>
            <w:vAlign w:val="bottom"/>
          </w:tcPr>
          <w:p w:rsidR="00F12798" w:rsidRPr="00F12798" w:rsidRDefault="00F12798" w:rsidP="00F12798">
            <w:pPr>
              <w:cnfStyle w:val="000000010000" w:firstRow="0" w:lastRow="0" w:firstColumn="0" w:lastColumn="0" w:oddVBand="0" w:evenVBand="0" w:oddHBand="0" w:evenHBand="1" w:firstRowFirstColumn="0" w:firstRowLastColumn="0" w:lastRowFirstColumn="0" w:lastRowLastColumn="0"/>
            </w:pPr>
            <w:r w:rsidRPr="00F12798">
              <w:t>216.0</w:t>
            </w:r>
          </w:p>
        </w:tc>
        <w:tc>
          <w:tcPr>
            <w:tcW w:w="1068" w:type="dxa"/>
            <w:noWrap/>
            <w:vAlign w:val="bottom"/>
          </w:tcPr>
          <w:p w:rsidR="00F12798" w:rsidRPr="00F12798" w:rsidRDefault="00F12798" w:rsidP="00F12798">
            <w:pPr>
              <w:cnfStyle w:val="000000010000" w:firstRow="0" w:lastRow="0" w:firstColumn="0" w:lastColumn="0" w:oddVBand="0" w:evenVBand="0" w:oddHBand="0" w:evenHBand="1" w:firstRowFirstColumn="0" w:firstRowLastColumn="0" w:lastRowFirstColumn="0" w:lastRowLastColumn="0"/>
            </w:pPr>
            <w:r w:rsidRPr="00F12798">
              <w:t>199.1</w:t>
            </w:r>
          </w:p>
        </w:tc>
        <w:tc>
          <w:tcPr>
            <w:tcW w:w="1068" w:type="dxa"/>
            <w:noWrap/>
            <w:vAlign w:val="bottom"/>
          </w:tcPr>
          <w:p w:rsidR="00F12798" w:rsidRPr="00F12798" w:rsidRDefault="00F12798" w:rsidP="00F12798">
            <w:pPr>
              <w:cnfStyle w:val="000000010000" w:firstRow="0" w:lastRow="0" w:firstColumn="0" w:lastColumn="0" w:oddVBand="0" w:evenVBand="0" w:oddHBand="0" w:evenHBand="1" w:firstRowFirstColumn="0" w:firstRowLastColumn="0" w:lastRowFirstColumn="0" w:lastRowLastColumn="0"/>
            </w:pPr>
            <w:r w:rsidRPr="00F12798">
              <w:t>173.7</w:t>
            </w:r>
          </w:p>
        </w:tc>
        <w:tc>
          <w:tcPr>
            <w:tcW w:w="1068" w:type="dxa"/>
            <w:noWrap/>
            <w:vAlign w:val="bottom"/>
          </w:tcPr>
          <w:p w:rsidR="00F12798" w:rsidRPr="00F12798" w:rsidRDefault="00F12798" w:rsidP="00F12798">
            <w:pPr>
              <w:cnfStyle w:val="000000010000" w:firstRow="0" w:lastRow="0" w:firstColumn="0" w:lastColumn="0" w:oddVBand="0" w:evenVBand="0" w:oddHBand="0" w:evenHBand="1" w:firstRowFirstColumn="0" w:firstRowLastColumn="0" w:lastRowFirstColumn="0" w:lastRowLastColumn="0"/>
            </w:pPr>
            <w:r w:rsidRPr="00F12798">
              <w:t>139.5</w:t>
            </w:r>
          </w:p>
        </w:tc>
      </w:tr>
      <w:tr w:rsidR="00F12798" w:rsidRPr="00237902" w:rsidTr="00457B65">
        <w:trPr>
          <w:trHeight w:val="284"/>
        </w:trPr>
        <w:tc>
          <w:tcPr>
            <w:cnfStyle w:val="001000000000" w:firstRow="0" w:lastRow="0" w:firstColumn="1" w:lastColumn="0" w:oddVBand="0" w:evenVBand="0" w:oddHBand="0" w:evenHBand="0" w:firstRowFirstColumn="0" w:firstRowLastColumn="0" w:lastRowFirstColumn="0" w:lastRowLastColumn="0"/>
            <w:tcW w:w="3416" w:type="dxa"/>
            <w:noWrap/>
            <w:hideMark/>
          </w:tcPr>
          <w:p w:rsidR="00F12798" w:rsidRPr="00F12798" w:rsidRDefault="00F12798" w:rsidP="00F12798">
            <w:r w:rsidRPr="00F12798">
              <w:t>Inflation indexation on opening RAB</w:t>
            </w:r>
          </w:p>
        </w:tc>
        <w:tc>
          <w:tcPr>
            <w:tcW w:w="1067" w:type="dxa"/>
            <w:noWrap/>
            <w:vAlign w:val="bottom"/>
          </w:tcPr>
          <w:p w:rsidR="00F12798" w:rsidRPr="00F12798" w:rsidRDefault="00F12798" w:rsidP="00F12798">
            <w:pPr>
              <w:cnfStyle w:val="000000000000" w:firstRow="0" w:lastRow="0" w:firstColumn="0" w:lastColumn="0" w:oddVBand="0" w:evenVBand="0" w:oddHBand="0" w:evenHBand="0" w:firstRowFirstColumn="0" w:firstRowLastColumn="0" w:lastRowFirstColumn="0" w:lastRowLastColumn="0"/>
            </w:pPr>
            <w:r w:rsidRPr="00F12798">
              <w:t>45.1</w:t>
            </w:r>
          </w:p>
        </w:tc>
        <w:tc>
          <w:tcPr>
            <w:tcW w:w="1068" w:type="dxa"/>
            <w:noWrap/>
            <w:vAlign w:val="bottom"/>
          </w:tcPr>
          <w:p w:rsidR="00F12798" w:rsidRPr="00F12798" w:rsidRDefault="00F12798" w:rsidP="00F12798">
            <w:pPr>
              <w:cnfStyle w:val="000000000000" w:firstRow="0" w:lastRow="0" w:firstColumn="0" w:lastColumn="0" w:oddVBand="0" w:evenVBand="0" w:oddHBand="0" w:evenHBand="0" w:firstRowFirstColumn="0" w:firstRowLastColumn="0" w:lastRowFirstColumn="0" w:lastRowLastColumn="0"/>
            </w:pPr>
            <w:r w:rsidRPr="00F12798">
              <w:t>48.1</w:t>
            </w:r>
          </w:p>
        </w:tc>
        <w:tc>
          <w:tcPr>
            <w:tcW w:w="1068" w:type="dxa"/>
            <w:noWrap/>
            <w:vAlign w:val="bottom"/>
          </w:tcPr>
          <w:p w:rsidR="00F12798" w:rsidRPr="00F12798" w:rsidRDefault="00F12798" w:rsidP="00F12798">
            <w:pPr>
              <w:cnfStyle w:val="000000000000" w:firstRow="0" w:lastRow="0" w:firstColumn="0" w:lastColumn="0" w:oddVBand="0" w:evenVBand="0" w:oddHBand="0" w:evenHBand="0" w:firstRowFirstColumn="0" w:firstRowLastColumn="0" w:lastRowFirstColumn="0" w:lastRowLastColumn="0"/>
            </w:pPr>
            <w:r w:rsidRPr="00F12798">
              <w:t>52.0</w:t>
            </w:r>
          </w:p>
        </w:tc>
        <w:tc>
          <w:tcPr>
            <w:tcW w:w="1068" w:type="dxa"/>
            <w:noWrap/>
            <w:vAlign w:val="bottom"/>
          </w:tcPr>
          <w:p w:rsidR="00F12798" w:rsidRPr="00F12798" w:rsidRDefault="00F12798" w:rsidP="00F12798">
            <w:pPr>
              <w:cnfStyle w:val="000000000000" w:firstRow="0" w:lastRow="0" w:firstColumn="0" w:lastColumn="0" w:oddVBand="0" w:evenVBand="0" w:oddHBand="0" w:evenHBand="0" w:firstRowFirstColumn="0" w:firstRowLastColumn="0" w:lastRowFirstColumn="0" w:lastRowLastColumn="0"/>
            </w:pPr>
            <w:r w:rsidRPr="00F12798">
              <w:t>55.4</w:t>
            </w:r>
          </w:p>
        </w:tc>
        <w:tc>
          <w:tcPr>
            <w:tcW w:w="1068" w:type="dxa"/>
            <w:noWrap/>
            <w:vAlign w:val="bottom"/>
          </w:tcPr>
          <w:p w:rsidR="00F12798" w:rsidRPr="00F12798" w:rsidRDefault="00F12798" w:rsidP="00F12798">
            <w:pPr>
              <w:cnfStyle w:val="000000000000" w:firstRow="0" w:lastRow="0" w:firstColumn="0" w:lastColumn="0" w:oddVBand="0" w:evenVBand="0" w:oddHBand="0" w:evenHBand="0" w:firstRowFirstColumn="0" w:firstRowLastColumn="0" w:lastRowFirstColumn="0" w:lastRowLastColumn="0"/>
            </w:pPr>
            <w:r w:rsidRPr="00F12798">
              <w:t>58.1</w:t>
            </w:r>
          </w:p>
        </w:tc>
      </w:tr>
      <w:tr w:rsidR="00F12798" w:rsidRPr="00237902" w:rsidTr="00457B65">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16" w:type="dxa"/>
            <w:noWrap/>
            <w:hideMark/>
          </w:tcPr>
          <w:p w:rsidR="00F12798" w:rsidRPr="00F12798" w:rsidRDefault="00F12798" w:rsidP="00F12798">
            <w:r w:rsidRPr="00F12798">
              <w:rPr>
                <w:rStyle w:val="AERtextitalic"/>
              </w:rPr>
              <w:t>Less</w:t>
            </w:r>
            <w:r w:rsidRPr="00F12798">
              <w:t>: straight-line depreciation</w:t>
            </w:r>
          </w:p>
        </w:tc>
        <w:tc>
          <w:tcPr>
            <w:tcW w:w="1067" w:type="dxa"/>
            <w:noWrap/>
            <w:vAlign w:val="bottom"/>
          </w:tcPr>
          <w:p w:rsidR="00F12798" w:rsidRPr="00F12798" w:rsidRDefault="00F12798" w:rsidP="00F12798">
            <w:pPr>
              <w:cnfStyle w:val="000000010000" w:firstRow="0" w:lastRow="0" w:firstColumn="0" w:lastColumn="0" w:oddVBand="0" w:evenVBand="0" w:oddHBand="0" w:evenHBand="1" w:firstRowFirstColumn="0" w:firstRowLastColumn="0" w:lastRowFirstColumn="0" w:lastRowLastColumn="0"/>
            </w:pPr>
            <w:r w:rsidRPr="00F12798">
              <w:t>103.3</w:t>
            </w:r>
          </w:p>
        </w:tc>
        <w:tc>
          <w:tcPr>
            <w:tcW w:w="1068" w:type="dxa"/>
            <w:noWrap/>
            <w:vAlign w:val="bottom"/>
          </w:tcPr>
          <w:p w:rsidR="00F12798" w:rsidRPr="00F12798" w:rsidRDefault="00F12798" w:rsidP="00F12798">
            <w:pPr>
              <w:cnfStyle w:val="000000010000" w:firstRow="0" w:lastRow="0" w:firstColumn="0" w:lastColumn="0" w:oddVBand="0" w:evenVBand="0" w:oddHBand="0" w:evenHBand="1" w:firstRowFirstColumn="0" w:firstRowLastColumn="0" w:lastRowFirstColumn="0" w:lastRowLastColumn="0"/>
            </w:pPr>
            <w:r w:rsidRPr="00F12798">
              <w:t>106.1</w:t>
            </w:r>
          </w:p>
        </w:tc>
        <w:tc>
          <w:tcPr>
            <w:tcW w:w="1068" w:type="dxa"/>
            <w:noWrap/>
            <w:vAlign w:val="bottom"/>
          </w:tcPr>
          <w:p w:rsidR="00F12798" w:rsidRPr="00F12798" w:rsidRDefault="00F12798" w:rsidP="00F12798">
            <w:pPr>
              <w:cnfStyle w:val="000000010000" w:firstRow="0" w:lastRow="0" w:firstColumn="0" w:lastColumn="0" w:oddVBand="0" w:evenVBand="0" w:oddHBand="0" w:evenHBand="1" w:firstRowFirstColumn="0" w:firstRowLastColumn="0" w:lastRowFirstColumn="0" w:lastRowLastColumn="0"/>
            </w:pPr>
            <w:r w:rsidRPr="00F12798">
              <w:t>114.7</w:t>
            </w:r>
          </w:p>
        </w:tc>
        <w:tc>
          <w:tcPr>
            <w:tcW w:w="1068" w:type="dxa"/>
            <w:noWrap/>
            <w:vAlign w:val="bottom"/>
          </w:tcPr>
          <w:p w:rsidR="00F12798" w:rsidRPr="00F12798" w:rsidRDefault="00F12798" w:rsidP="00F12798">
            <w:pPr>
              <w:cnfStyle w:val="000000010000" w:firstRow="0" w:lastRow="0" w:firstColumn="0" w:lastColumn="0" w:oddVBand="0" w:evenVBand="0" w:oddHBand="0" w:evenHBand="1" w:firstRowFirstColumn="0" w:firstRowLastColumn="0" w:lastRowFirstColumn="0" w:lastRowLastColumn="0"/>
            </w:pPr>
            <w:r w:rsidRPr="00F12798">
              <w:t>122.5</w:t>
            </w:r>
          </w:p>
        </w:tc>
        <w:tc>
          <w:tcPr>
            <w:tcW w:w="1068" w:type="dxa"/>
            <w:noWrap/>
            <w:vAlign w:val="bottom"/>
          </w:tcPr>
          <w:p w:rsidR="00F12798" w:rsidRPr="00F12798" w:rsidRDefault="00F12798" w:rsidP="00F12798">
            <w:pPr>
              <w:cnfStyle w:val="000000010000" w:firstRow="0" w:lastRow="0" w:firstColumn="0" w:lastColumn="0" w:oddVBand="0" w:evenVBand="0" w:oddHBand="0" w:evenHBand="1" w:firstRowFirstColumn="0" w:firstRowLastColumn="0" w:lastRowFirstColumn="0" w:lastRowLastColumn="0"/>
            </w:pPr>
            <w:r w:rsidRPr="00F12798">
              <w:t>131.1</w:t>
            </w:r>
          </w:p>
        </w:tc>
      </w:tr>
      <w:tr w:rsidR="00F12798" w:rsidRPr="00441A06" w:rsidTr="00457B65">
        <w:trPr>
          <w:trHeight w:val="284"/>
        </w:trPr>
        <w:tc>
          <w:tcPr>
            <w:cnfStyle w:val="001000000000" w:firstRow="0" w:lastRow="0" w:firstColumn="1" w:lastColumn="0" w:oddVBand="0" w:evenVBand="0" w:oddHBand="0" w:evenHBand="0" w:firstRowFirstColumn="0" w:firstRowLastColumn="0" w:lastRowFirstColumn="0" w:lastRowLastColumn="0"/>
            <w:tcW w:w="3416" w:type="dxa"/>
            <w:noWrap/>
            <w:hideMark/>
          </w:tcPr>
          <w:p w:rsidR="00F12798" w:rsidRPr="00441A06" w:rsidRDefault="00F12798" w:rsidP="00880657">
            <w:pPr>
              <w:rPr>
                <w:rStyle w:val="Strong"/>
              </w:rPr>
            </w:pPr>
            <w:r w:rsidRPr="00441A06">
              <w:rPr>
                <w:rStyle w:val="Strong"/>
              </w:rPr>
              <w:t>Closing RAB</w:t>
            </w:r>
          </w:p>
        </w:tc>
        <w:tc>
          <w:tcPr>
            <w:tcW w:w="1067" w:type="dxa"/>
            <w:noWrap/>
            <w:vAlign w:val="bottom"/>
          </w:tcPr>
          <w:p w:rsidR="00F12798" w:rsidRPr="00441A06" w:rsidRDefault="00F12798" w:rsidP="00880657">
            <w:pPr>
              <w:pStyle w:val="ListContinue"/>
              <w:cnfStyle w:val="000000000000" w:firstRow="0" w:lastRow="0" w:firstColumn="0" w:lastColumn="0" w:oddVBand="0" w:evenVBand="0" w:oddHBand="0" w:evenHBand="0" w:firstRowFirstColumn="0" w:firstRowLastColumn="0" w:lastRowFirstColumn="0" w:lastRowLastColumn="0"/>
              <w:rPr>
                <w:rStyle w:val="Strong"/>
              </w:rPr>
            </w:pPr>
            <w:r w:rsidRPr="00441A06">
              <w:rPr>
                <w:rStyle w:val="Strong"/>
              </w:rPr>
              <w:t>1923.6</w:t>
            </w:r>
          </w:p>
        </w:tc>
        <w:tc>
          <w:tcPr>
            <w:tcW w:w="1068" w:type="dxa"/>
            <w:noWrap/>
            <w:vAlign w:val="bottom"/>
          </w:tcPr>
          <w:p w:rsidR="00F12798" w:rsidRPr="00441A06" w:rsidRDefault="00F12798" w:rsidP="00880657">
            <w:pPr>
              <w:pStyle w:val="ListContinue"/>
              <w:cnfStyle w:val="000000000000" w:firstRow="0" w:lastRow="0" w:firstColumn="0" w:lastColumn="0" w:oddVBand="0" w:evenVBand="0" w:oddHBand="0" w:evenHBand="0" w:firstRowFirstColumn="0" w:firstRowLastColumn="0" w:lastRowFirstColumn="0" w:lastRowLastColumn="0"/>
              <w:rPr>
                <w:rStyle w:val="Strong"/>
              </w:rPr>
            </w:pPr>
            <w:r w:rsidRPr="00441A06">
              <w:rPr>
                <w:rStyle w:val="Strong"/>
              </w:rPr>
              <w:t>2081.6</w:t>
            </w:r>
          </w:p>
        </w:tc>
        <w:tc>
          <w:tcPr>
            <w:tcW w:w="1068" w:type="dxa"/>
            <w:noWrap/>
            <w:vAlign w:val="bottom"/>
          </w:tcPr>
          <w:p w:rsidR="00F12798" w:rsidRPr="00441A06" w:rsidRDefault="00F12798" w:rsidP="00880657">
            <w:pPr>
              <w:pStyle w:val="ListContinue"/>
              <w:cnfStyle w:val="000000000000" w:firstRow="0" w:lastRow="0" w:firstColumn="0" w:lastColumn="0" w:oddVBand="0" w:evenVBand="0" w:oddHBand="0" w:evenHBand="0" w:firstRowFirstColumn="0" w:firstRowLastColumn="0" w:lastRowFirstColumn="0" w:lastRowLastColumn="0"/>
              <w:rPr>
                <w:rStyle w:val="Strong"/>
              </w:rPr>
            </w:pPr>
            <w:r w:rsidRPr="00441A06">
              <w:rPr>
                <w:rStyle w:val="Strong"/>
              </w:rPr>
              <w:t>2218.0</w:t>
            </w:r>
          </w:p>
        </w:tc>
        <w:tc>
          <w:tcPr>
            <w:tcW w:w="1068" w:type="dxa"/>
            <w:noWrap/>
            <w:vAlign w:val="bottom"/>
          </w:tcPr>
          <w:p w:rsidR="00F12798" w:rsidRPr="00441A06" w:rsidRDefault="00F12798" w:rsidP="00880657">
            <w:pPr>
              <w:pStyle w:val="ListContinue"/>
              <w:cnfStyle w:val="000000000000" w:firstRow="0" w:lastRow="0" w:firstColumn="0" w:lastColumn="0" w:oddVBand="0" w:evenVBand="0" w:oddHBand="0" w:evenHBand="0" w:firstRowFirstColumn="0" w:firstRowLastColumn="0" w:lastRowFirstColumn="0" w:lastRowLastColumn="0"/>
              <w:rPr>
                <w:rStyle w:val="Strong"/>
              </w:rPr>
            </w:pPr>
            <w:r w:rsidRPr="00441A06">
              <w:rPr>
                <w:rStyle w:val="Strong"/>
              </w:rPr>
              <w:t>2324.6</w:t>
            </w:r>
          </w:p>
        </w:tc>
        <w:tc>
          <w:tcPr>
            <w:tcW w:w="1068" w:type="dxa"/>
            <w:noWrap/>
            <w:vAlign w:val="bottom"/>
          </w:tcPr>
          <w:p w:rsidR="00F12798" w:rsidRPr="00441A06" w:rsidRDefault="00F12798" w:rsidP="00880657">
            <w:pPr>
              <w:pStyle w:val="ListContinue"/>
              <w:cnfStyle w:val="000000000000" w:firstRow="0" w:lastRow="0" w:firstColumn="0" w:lastColumn="0" w:oddVBand="0" w:evenVBand="0" w:oddHBand="0" w:evenHBand="0" w:firstRowFirstColumn="0" w:firstRowLastColumn="0" w:lastRowFirstColumn="0" w:lastRowLastColumn="0"/>
              <w:rPr>
                <w:rStyle w:val="Strong"/>
              </w:rPr>
            </w:pPr>
            <w:r w:rsidRPr="00441A06">
              <w:rPr>
                <w:rStyle w:val="Strong"/>
              </w:rPr>
              <w:t>2391.2</w:t>
            </w:r>
          </w:p>
        </w:tc>
      </w:tr>
    </w:tbl>
    <w:p w:rsidR="00457B65" w:rsidRPr="009A523C" w:rsidRDefault="00457B65" w:rsidP="00457B65">
      <w:pPr>
        <w:pStyle w:val="AERtablesource"/>
      </w:pPr>
      <w:r w:rsidRPr="009A523C">
        <w:t>Source:</w:t>
      </w:r>
      <w:r w:rsidRPr="009A523C">
        <w:tab/>
      </w:r>
      <w:r>
        <w:t>CitiPower</w:t>
      </w:r>
      <w:r w:rsidRPr="009A523C">
        <w:t xml:space="preserve">, </w:t>
      </w:r>
      <w:r w:rsidRPr="009A523C">
        <w:rPr>
          <w:rStyle w:val="AERtextitalic"/>
        </w:rPr>
        <w:t>R</w:t>
      </w:r>
      <w:r>
        <w:rPr>
          <w:rStyle w:val="AERtextitalic"/>
        </w:rPr>
        <w:t>evised r</w:t>
      </w:r>
      <w:r w:rsidRPr="009A523C">
        <w:rPr>
          <w:rStyle w:val="AERtextitalic"/>
        </w:rPr>
        <w:t>egulatory proposal</w:t>
      </w:r>
      <w:r w:rsidRPr="009A523C">
        <w:t xml:space="preserve">, </w:t>
      </w:r>
      <w:r w:rsidR="00027520" w:rsidRPr="00BC2587">
        <w:rPr>
          <w:rStyle w:val="Emphasis"/>
        </w:rPr>
        <w:t>Post-tax revenue model</w:t>
      </w:r>
      <w:r w:rsidR="00027520">
        <w:t xml:space="preserve">, </w:t>
      </w:r>
      <w:r>
        <w:t>January 2016</w:t>
      </w:r>
      <w:r w:rsidR="00027520">
        <w:t>.</w:t>
      </w:r>
      <w:r w:rsidR="00312110" w:rsidRPr="00312110">
        <w:t xml:space="preserve"> CitiPower, </w:t>
      </w:r>
      <w:r w:rsidR="00312110" w:rsidRPr="00312110">
        <w:rPr>
          <w:rStyle w:val="AERtextitalic"/>
          <w:rFonts w:eastAsiaTheme="majorEastAsia"/>
        </w:rPr>
        <w:t>Letter re: Impact of rate of return on allowed revenues</w:t>
      </w:r>
      <w:r w:rsidR="00312110" w:rsidRPr="00312110">
        <w:t>, 20 January 2016.</w:t>
      </w:r>
    </w:p>
    <w:p w:rsidR="00457B65" w:rsidRPr="00F97CE2" w:rsidRDefault="00457B65" w:rsidP="00457B65">
      <w:pPr>
        <w:pStyle w:val="AERtablesource"/>
      </w:pPr>
      <w:r w:rsidRPr="009A523C">
        <w:t>(a)</w:t>
      </w:r>
      <w:r w:rsidRPr="009A523C">
        <w:tab/>
      </w:r>
      <w:r w:rsidR="00BC2587" w:rsidRPr="009A523C">
        <w:t>Net of disposals and capital contributions.</w:t>
      </w:r>
      <w:r w:rsidR="00BC2587">
        <w:t xml:space="preserve"> </w:t>
      </w:r>
      <w:r w:rsidR="00BC2587" w:rsidRPr="003438BE">
        <w:t>Inclusive of equ</w:t>
      </w:r>
      <w:r w:rsidR="00BC2587">
        <w:t>ity raising costs and the half-</w:t>
      </w:r>
      <w:r w:rsidR="00BC2587" w:rsidRPr="003438BE">
        <w:t>WACC to account for the timing assumptions in the PTRM.</w:t>
      </w:r>
    </w:p>
    <w:p w:rsidR="00132D43" w:rsidRDefault="00132D43" w:rsidP="00132D43">
      <w:pPr>
        <w:pStyle w:val="Heading2"/>
      </w:pPr>
      <w:bookmarkStart w:id="79" w:name="_Toc451285101"/>
      <w:r>
        <w:t>Assessment approach</w:t>
      </w:r>
      <w:bookmarkEnd w:id="79"/>
    </w:p>
    <w:p w:rsidR="00457B65" w:rsidRPr="0043024C" w:rsidRDefault="00457B65" w:rsidP="00457B65">
      <w:r>
        <w:t>Many aspects of</w:t>
      </w:r>
      <w:r w:rsidRPr="00C7256C">
        <w:t xml:space="preserve"> our assessment approach for </w:t>
      </w:r>
      <w:r>
        <w:t>the RAB</w:t>
      </w:r>
      <w:r w:rsidRPr="00C7256C">
        <w:t xml:space="preserve"> from our preliminary</w:t>
      </w:r>
      <w:r>
        <w:t xml:space="preserve"> decision remain unchanged. </w:t>
      </w:r>
      <w:r w:rsidRPr="00E004A9">
        <w:t xml:space="preserve">Section </w:t>
      </w:r>
      <w:r>
        <w:t>2</w:t>
      </w:r>
      <w:r w:rsidRPr="00E004A9">
        <w:t>.3 of our preliminary decision details th</w:t>
      </w:r>
      <w:r>
        <w:t>e general</w:t>
      </w:r>
      <w:r w:rsidRPr="00E004A9">
        <w:t xml:space="preserve"> approach.</w:t>
      </w:r>
      <w:r w:rsidRPr="00AA46DB">
        <w:rPr>
          <w:rStyle w:val="FootnoteReference"/>
        </w:rPr>
        <w:t xml:space="preserve"> </w:t>
      </w:r>
      <w:r>
        <w:rPr>
          <w:rStyle w:val="FootnoteReference"/>
        </w:rPr>
        <w:footnoteReference w:id="9"/>
      </w:r>
      <w:r>
        <w:t xml:space="preserve"> However, we have accepted a change to the approach for indexation of the opening RAB for CitiPower. Section 2.4.1 discusses this change as it affects CitiPower.</w:t>
      </w:r>
    </w:p>
    <w:p w:rsidR="00132D43" w:rsidRDefault="00132D43" w:rsidP="00132D43">
      <w:pPr>
        <w:pStyle w:val="Heading2"/>
      </w:pPr>
      <w:bookmarkStart w:id="80" w:name="_Toc451285102"/>
      <w:r>
        <w:t xml:space="preserve">Reasons for </w:t>
      </w:r>
      <w:r w:rsidR="00DB4E34">
        <w:t>final</w:t>
      </w:r>
      <w:r>
        <w:t xml:space="preserve"> decision</w:t>
      </w:r>
      <w:bookmarkEnd w:id="80"/>
    </w:p>
    <w:p w:rsidR="00457B65" w:rsidRDefault="00457B65" w:rsidP="007D2907">
      <w:r w:rsidRPr="00D033BE">
        <w:t xml:space="preserve">We determine an opening RAB value for </w:t>
      </w:r>
      <w:r>
        <w:t>CitiPower</w:t>
      </w:r>
      <w:r w:rsidRPr="00D033BE">
        <w:t xml:space="preserve"> of </w:t>
      </w:r>
      <w:r w:rsidRPr="007D2907">
        <w:t>$</w:t>
      </w:r>
      <w:r w:rsidR="00DA6D45" w:rsidRPr="007D2907">
        <w:t>17</w:t>
      </w:r>
      <w:r w:rsidR="00C1227C" w:rsidRPr="007D2907">
        <w:t>62.9</w:t>
      </w:r>
      <w:r w:rsidRPr="007D2907">
        <w:t xml:space="preserve"> million ($ nominal) as at 1 January 2016, a </w:t>
      </w:r>
      <w:r w:rsidR="00DA6D45" w:rsidRPr="007D2907">
        <w:t>de</w:t>
      </w:r>
      <w:r w:rsidRPr="007D2907">
        <w:t>crease of $</w:t>
      </w:r>
      <w:r w:rsidR="00C1227C" w:rsidRPr="007D2907">
        <w:t>39</w:t>
      </w:r>
      <w:r w:rsidR="00DA6D45" w:rsidRPr="007D2907">
        <w:t>.</w:t>
      </w:r>
      <w:r w:rsidR="00C1227C" w:rsidRPr="007D2907">
        <w:t>7</w:t>
      </w:r>
      <w:r w:rsidRPr="007D2907">
        <w:t xml:space="preserve"> million ($ nominal) or </w:t>
      </w:r>
      <w:r w:rsidR="00DA6D45" w:rsidRPr="007D2907">
        <w:t>2.</w:t>
      </w:r>
      <w:r w:rsidR="00C1227C" w:rsidRPr="007D2907">
        <w:t>2</w:t>
      </w:r>
      <w:r w:rsidRPr="007D2907">
        <w:t> per cent from</w:t>
      </w:r>
      <w:r w:rsidRPr="00D033BE">
        <w:t xml:space="preserve"> the </w:t>
      </w:r>
      <w:r>
        <w:t xml:space="preserve">revised </w:t>
      </w:r>
      <w:r w:rsidRPr="00D033BE">
        <w:t xml:space="preserve">proposed value. </w:t>
      </w:r>
      <w:r w:rsidRPr="001B612F">
        <w:t>This difference is due to our update of the 2015 inputs in the RAB roll forward for a revised estimate of capex.</w:t>
      </w:r>
      <w:r>
        <w:t xml:space="preserve"> </w:t>
      </w:r>
    </w:p>
    <w:p w:rsidR="00457B65" w:rsidRDefault="00457B65" w:rsidP="007D2907">
      <w:r>
        <w:t>Based on the approved opening RAB w</w:t>
      </w:r>
      <w:r w:rsidRPr="00D033BE">
        <w:t xml:space="preserve">e forecast a closing RAB value </w:t>
      </w:r>
      <w:r w:rsidRPr="007D2907">
        <w:t>of</w:t>
      </w:r>
      <w:r w:rsidR="00EB5AB3" w:rsidRPr="007D2907">
        <w:t xml:space="preserve"> </w:t>
      </w:r>
      <w:r w:rsidRPr="007D2907">
        <w:t>$</w:t>
      </w:r>
      <w:r w:rsidR="00454881" w:rsidRPr="007D2907">
        <w:t>2274.3</w:t>
      </w:r>
      <w:r w:rsidRPr="007D2907">
        <w:t> million by 31 December 2020. This represents a reduction of $</w:t>
      </w:r>
      <w:r w:rsidR="00454881" w:rsidRPr="007D2907">
        <w:t>117.0</w:t>
      </w:r>
      <w:r w:rsidRPr="007D2907">
        <w:t xml:space="preserve"> million, or </w:t>
      </w:r>
      <w:r w:rsidR="00454881" w:rsidRPr="007D2907">
        <w:t>4.9</w:t>
      </w:r>
      <w:r w:rsidRPr="007D2907">
        <w:t> per cent compared to the revised proposal. The reasons for our decision are</w:t>
      </w:r>
      <w:r w:rsidRPr="00D033BE">
        <w:t xml:space="preserve"> discussed below.</w:t>
      </w:r>
    </w:p>
    <w:p w:rsidR="00A218DA" w:rsidRPr="00BC766F" w:rsidRDefault="00A218DA" w:rsidP="000E3517">
      <w:pPr>
        <w:pStyle w:val="Heading3"/>
        <w:keepNext/>
        <w:ind w:left="578" w:hanging="578"/>
      </w:pPr>
      <w:bookmarkStart w:id="81" w:name="_Toc451285103"/>
      <w:r w:rsidRPr="00BC766F">
        <w:lastRenderedPageBreak/>
        <w:t>Opening RAB as at 1 January 2016</w:t>
      </w:r>
      <w:bookmarkEnd w:id="81"/>
    </w:p>
    <w:p w:rsidR="00457B65" w:rsidRDefault="00457B65" w:rsidP="007D2907">
      <w:r w:rsidRPr="001B612F">
        <w:t xml:space="preserve">We determine </w:t>
      </w:r>
      <w:r>
        <w:t>CitiPower</w:t>
      </w:r>
      <w:r w:rsidRPr="001B612F">
        <w:t xml:space="preserve">'s opening RAB value as at 1 </w:t>
      </w:r>
      <w:r>
        <w:t>January</w:t>
      </w:r>
      <w:r w:rsidRPr="001B612F">
        <w:t xml:space="preserve"> 201</w:t>
      </w:r>
      <w:r>
        <w:t>6</w:t>
      </w:r>
      <w:r w:rsidRPr="001B612F">
        <w:t xml:space="preserve"> to be </w:t>
      </w:r>
      <w:r w:rsidRPr="007D2907">
        <w:t>$</w:t>
      </w:r>
      <w:r w:rsidR="00DA6D45" w:rsidRPr="007D2907">
        <w:t>176</w:t>
      </w:r>
      <w:r w:rsidR="00C1227C" w:rsidRPr="007D2907">
        <w:t>2</w:t>
      </w:r>
      <w:r w:rsidR="00DA6D45" w:rsidRPr="007D2907">
        <w:t>.</w:t>
      </w:r>
      <w:r w:rsidR="00C1227C" w:rsidRPr="007D2907">
        <w:t>9</w:t>
      </w:r>
      <w:r w:rsidRPr="007D2907">
        <w:t> million ($ nominal). This amount is $</w:t>
      </w:r>
      <w:r w:rsidR="00DA6D45" w:rsidRPr="007D2907">
        <w:t>3</w:t>
      </w:r>
      <w:r w:rsidR="00C1227C" w:rsidRPr="007D2907">
        <w:t>9</w:t>
      </w:r>
      <w:r w:rsidR="00DA6D45" w:rsidRPr="007D2907">
        <w:t>.</w:t>
      </w:r>
      <w:r w:rsidR="00C1227C" w:rsidRPr="007D2907">
        <w:t>7</w:t>
      </w:r>
      <w:r w:rsidRPr="007D2907">
        <w:t xml:space="preserve"> million (or </w:t>
      </w:r>
      <w:r w:rsidR="00DA6D45" w:rsidRPr="007D2907">
        <w:t>2.</w:t>
      </w:r>
      <w:r w:rsidR="00C1227C" w:rsidRPr="007D2907">
        <w:t>2</w:t>
      </w:r>
      <w:r w:rsidRPr="007D2907">
        <w:t xml:space="preserve"> per cent) </w:t>
      </w:r>
      <w:r w:rsidR="00DA6D45" w:rsidRPr="007D2907">
        <w:t>lower</w:t>
      </w:r>
      <w:r w:rsidRPr="001B612F">
        <w:t xml:space="preserve"> than </w:t>
      </w:r>
      <w:r>
        <w:t>CitiPower</w:t>
      </w:r>
      <w:r w:rsidRPr="001B612F">
        <w:t>'s value of $</w:t>
      </w:r>
      <w:r w:rsidR="00DA6D45">
        <w:t>1802.6</w:t>
      </w:r>
      <w:r>
        <w:t> </w:t>
      </w:r>
      <w:r w:rsidRPr="001B612F">
        <w:t xml:space="preserve">million in its revised proposal. </w:t>
      </w:r>
      <w:r>
        <w:t>Our final decision on CitiPower's opening RAB as at 1 January 2016 reflects:</w:t>
      </w:r>
    </w:p>
    <w:p w:rsidR="00457B65" w:rsidRDefault="00390650" w:rsidP="00457B65">
      <w:pPr>
        <w:pStyle w:val="AERbulletlistfirststyle"/>
      </w:pPr>
      <w:r>
        <w:t>u</w:t>
      </w:r>
      <w:r w:rsidR="00457B65">
        <w:t>pdated 2015 capex estimate</w:t>
      </w:r>
      <w:r w:rsidR="00457B65" w:rsidRPr="007B193F">
        <w:t xml:space="preserve"> using revised estimates </w:t>
      </w:r>
      <w:r w:rsidR="00457B65">
        <w:t>provided by</w:t>
      </w:r>
      <w:r w:rsidR="00457B65" w:rsidRPr="007B193F">
        <w:t xml:space="preserve"> </w:t>
      </w:r>
      <w:r w:rsidR="00457B65">
        <w:t>CitiPower</w:t>
      </w:r>
    </w:p>
    <w:p w:rsidR="00457B65" w:rsidRDefault="00390650" w:rsidP="00457B65">
      <w:pPr>
        <w:pStyle w:val="AERbulletlistfirststyle"/>
      </w:pPr>
      <w:r>
        <w:t>a</w:t>
      </w:r>
      <w:r w:rsidR="00457B65">
        <w:t xml:space="preserve"> change in approach from the preliminary decision to the indexation of the RAB for actual inflation. Our final decision is to accept the approach in CitiPower's revised proposal.</w:t>
      </w:r>
    </w:p>
    <w:p w:rsidR="00550926" w:rsidRDefault="00550926" w:rsidP="00550926">
      <w:pPr>
        <w:rPr>
          <w:rStyle w:val="AERbody"/>
        </w:rPr>
      </w:pPr>
      <w:r w:rsidRPr="007B193F">
        <w:rPr>
          <w:rStyle w:val="AERbody"/>
        </w:rPr>
        <w:t xml:space="preserve">In the preliminary decision, we made certain amendments to </w:t>
      </w:r>
      <w:r>
        <w:rPr>
          <w:rStyle w:val="AERbody"/>
        </w:rPr>
        <w:t>CitiPower</w:t>
      </w:r>
      <w:r w:rsidRPr="007B193F">
        <w:rPr>
          <w:rStyle w:val="AERbody"/>
        </w:rPr>
        <w:t xml:space="preserve">'s proposed roll </w:t>
      </w:r>
      <w:r>
        <w:rPr>
          <w:rStyle w:val="AERbody"/>
        </w:rPr>
        <w:t>forward of its RAB over the 2011</w:t>
      </w:r>
      <w:r w:rsidRPr="007B193F">
        <w:rPr>
          <w:rStyle w:val="AERbody"/>
        </w:rPr>
        <w:t xml:space="preserve">–15 regulatory control period </w:t>
      </w:r>
      <w:r>
        <w:rPr>
          <w:rStyle w:val="AERbody"/>
        </w:rPr>
        <w:t>which CitiPower adopted in its revised proposal. These amendments included:</w:t>
      </w:r>
    </w:p>
    <w:p w:rsidR="00550926" w:rsidRDefault="00550926" w:rsidP="00550926">
      <w:pPr>
        <w:pStyle w:val="AERbulletlistfirststyle"/>
        <w:rPr>
          <w:rStyle w:val="AERbody"/>
        </w:rPr>
      </w:pPr>
      <w:r>
        <w:rPr>
          <w:rStyle w:val="AERbody"/>
        </w:rPr>
        <w:t>amending the proposed approach to the 6-month indexation adjustment required in the RAB</w:t>
      </w:r>
    </w:p>
    <w:p w:rsidR="00550926" w:rsidRDefault="00550926" w:rsidP="00550926">
      <w:pPr>
        <w:pStyle w:val="AERbulletlistfirststyle"/>
        <w:rPr>
          <w:rStyle w:val="AERbody"/>
        </w:rPr>
      </w:pPr>
      <w:r>
        <w:rPr>
          <w:rStyle w:val="AERbody"/>
        </w:rPr>
        <w:t>adjusting allowed equity raising costs to the correct dollar terms</w:t>
      </w:r>
      <w:r w:rsidR="00116A2A">
        <w:rPr>
          <w:rStyle w:val="AERbody"/>
        </w:rPr>
        <w:t>.</w:t>
      </w:r>
    </w:p>
    <w:p w:rsidR="00457B65" w:rsidRDefault="00457B65" w:rsidP="00457B65">
      <w:pPr>
        <w:rPr>
          <w:rStyle w:val="AERbody"/>
        </w:rPr>
      </w:pPr>
      <w:r w:rsidRPr="00481C14">
        <w:rPr>
          <w:rStyle w:val="AERbody"/>
        </w:rPr>
        <w:t xml:space="preserve">We also noted the roll forward of </w:t>
      </w:r>
      <w:r>
        <w:rPr>
          <w:rStyle w:val="AERbody"/>
        </w:rPr>
        <w:t>CitiPower</w:t>
      </w:r>
      <w:r w:rsidRPr="00481C14">
        <w:rPr>
          <w:rStyle w:val="AERbody"/>
        </w:rPr>
        <w:t>'s RAB included an estimated capex value for 2015</w:t>
      </w:r>
      <w:r w:rsidR="00E027A1">
        <w:rPr>
          <w:rStyle w:val="AERbody"/>
        </w:rPr>
        <w:t>, because actual capex was not yet available</w:t>
      </w:r>
      <w:r w:rsidRPr="00481C14">
        <w:rPr>
          <w:rStyle w:val="AERbody"/>
        </w:rPr>
        <w:t>.</w:t>
      </w:r>
      <w:r w:rsidR="00E027A1">
        <w:rPr>
          <w:rStyle w:val="FootnoteReference"/>
        </w:rPr>
        <w:footnoteReference w:id="10"/>
      </w:r>
      <w:r w:rsidRPr="00481C14">
        <w:rPr>
          <w:rStyle w:val="AERbody"/>
        </w:rPr>
        <w:t xml:space="preserve"> We stated we would update the 2015 estimated capex value for the final decision.</w:t>
      </w:r>
    </w:p>
    <w:p w:rsidR="00EB37C3" w:rsidRPr="00EB37C3" w:rsidRDefault="00EB37C3" w:rsidP="00EB37C3">
      <w:pPr>
        <w:pStyle w:val="AERbulletlistfirststyle"/>
        <w:numPr>
          <w:ilvl w:val="0"/>
          <w:numId w:val="0"/>
        </w:numPr>
        <w:rPr>
          <w:rStyle w:val="AERbody"/>
        </w:rPr>
      </w:pPr>
      <w:r>
        <w:t>CitiPower</w:t>
      </w:r>
      <w:r w:rsidRPr="007531F8">
        <w:t>'s revised proposal did not adopt the preliminary decision approach to indexing the RAB for actual inflation.</w:t>
      </w:r>
    </w:p>
    <w:p w:rsidR="00457B65" w:rsidRDefault="00457B65" w:rsidP="00457B65">
      <w:pPr>
        <w:rPr>
          <w:rStyle w:val="AERbody"/>
        </w:rPr>
      </w:pPr>
      <w:r>
        <w:rPr>
          <w:rStyle w:val="AERbody"/>
        </w:rPr>
        <w:t xml:space="preserve">These </w:t>
      </w:r>
      <w:r w:rsidR="00C75773">
        <w:rPr>
          <w:rStyle w:val="AERbody"/>
        </w:rPr>
        <w:t>two</w:t>
      </w:r>
      <w:r>
        <w:rPr>
          <w:rStyle w:val="AERbody"/>
        </w:rPr>
        <w:t xml:space="preserve"> issues are discussed in turn below.</w:t>
      </w:r>
    </w:p>
    <w:p w:rsidR="008E0D17" w:rsidRDefault="007D2907" w:rsidP="00457B65">
      <w:pPr>
        <w:rPr>
          <w:rStyle w:val="AERbody"/>
        </w:rPr>
      </w:pPr>
      <w:r>
        <w:rPr>
          <w:rStyle w:val="AERbody"/>
        </w:rPr>
        <w:t>We are required to consider the extent to which our roll forward of the RAB to 1 January 2016 contributes to the achievement of the capital expenditure incentive objective.</w:t>
      </w:r>
      <w:r>
        <w:rPr>
          <w:rStyle w:val="FootnoteReference"/>
        </w:rPr>
        <w:footnoteReference w:id="11"/>
      </w:r>
      <w:r>
        <w:rPr>
          <w:rStyle w:val="AERbody"/>
        </w:rPr>
        <w:t xml:space="preserve"> </w:t>
      </w:r>
      <w:r w:rsidR="008E0D17" w:rsidRPr="00DB1673">
        <w:rPr>
          <w:rStyle w:val="AERbody"/>
        </w:rPr>
        <w:t>We note that under the transitional rules, in making this distribution determination we do not have the power to determine whether past capex should be excluded for inefficiency reasons</w:t>
      </w:r>
      <w:r w:rsidR="008E0D17">
        <w:rPr>
          <w:rStyle w:val="AERbody"/>
        </w:rPr>
        <w:t>.</w:t>
      </w:r>
      <w:r w:rsidR="008E0D17">
        <w:rPr>
          <w:rStyle w:val="FootnoteReference"/>
        </w:rPr>
        <w:footnoteReference w:id="12"/>
      </w:r>
      <w:r w:rsidR="008E0D17">
        <w:rPr>
          <w:rStyle w:val="AERbody"/>
        </w:rPr>
        <w:t xml:space="preserve"> </w:t>
      </w:r>
      <w:r w:rsidR="008E0D17" w:rsidRPr="00DB1673">
        <w:rPr>
          <w:rStyle w:val="AERbody"/>
        </w:rPr>
        <w:t xml:space="preserve">Therefore, for the purposes of this final decision, we have included </w:t>
      </w:r>
      <w:r w:rsidR="008E0D17">
        <w:rPr>
          <w:rStyle w:val="AERbody"/>
        </w:rPr>
        <w:t>CitiPower's</w:t>
      </w:r>
      <w:r w:rsidR="008E0D17" w:rsidRPr="00DB1673">
        <w:rPr>
          <w:rStyle w:val="AERbody"/>
        </w:rPr>
        <w:t xml:space="preserve"> actual or estimated capex in the 2011–15 regulatory control period </w:t>
      </w:r>
      <w:r w:rsidR="008E0D17">
        <w:rPr>
          <w:rStyle w:val="AERbody"/>
        </w:rPr>
        <w:t>when rolling forward the RAB to 1 January 2016</w:t>
      </w:r>
      <w:r w:rsidR="008E0D17" w:rsidRPr="00DB1673">
        <w:rPr>
          <w:rStyle w:val="AERbody"/>
        </w:rPr>
        <w:t>. In future determinations, the NER allow us to review a service provider's past capex and exclude inefficient past capex from being rolled into the</w:t>
      </w:r>
      <w:r w:rsidR="008E0D17">
        <w:rPr>
          <w:rStyle w:val="AERbody"/>
        </w:rPr>
        <w:t xml:space="preserve"> RAB.</w:t>
      </w:r>
      <w:r w:rsidR="008E0D17">
        <w:rPr>
          <w:rStyle w:val="FootnoteReference"/>
        </w:rPr>
        <w:footnoteReference w:id="13"/>
      </w:r>
      <w:r w:rsidR="008E0D17" w:rsidRPr="00DB1673">
        <w:rPr>
          <w:rStyle w:val="AERbody"/>
        </w:rPr>
        <w:t xml:space="preserve"> </w:t>
      </w:r>
      <w:r w:rsidR="008E0D17">
        <w:rPr>
          <w:rStyle w:val="AERbody"/>
        </w:rPr>
        <w:t>Our RAB roll forward applies the incentive framework approved in the previous distribution determination</w:t>
      </w:r>
      <w:r>
        <w:rPr>
          <w:rStyle w:val="AERbody"/>
        </w:rPr>
        <w:t xml:space="preserve">, </w:t>
      </w:r>
      <w:r>
        <w:rPr>
          <w:rStyle w:val="AERbody"/>
        </w:rPr>
        <w:lastRenderedPageBreak/>
        <w:t xml:space="preserve">which </w:t>
      </w:r>
      <w:r>
        <w:t>included the use of an actual depreciation approach</w:t>
      </w:r>
      <w:r w:rsidR="008E0D17">
        <w:rPr>
          <w:rStyle w:val="AERbody"/>
        </w:rPr>
        <w:t>.</w:t>
      </w:r>
      <w:r w:rsidR="008E0D17">
        <w:rPr>
          <w:rStyle w:val="FootnoteReference"/>
        </w:rPr>
        <w:footnoteReference w:id="14"/>
      </w:r>
      <w:r w:rsidR="008E0D17">
        <w:rPr>
          <w:rStyle w:val="AERbody"/>
        </w:rPr>
        <w:t xml:space="preserve"> As such, we consider that it contributes to an opening RAB that includes capex that reflects prudent and efficient costs, in accordance with the capital expenditure criteria.</w:t>
      </w:r>
      <w:r w:rsidR="008E0D17">
        <w:rPr>
          <w:rStyle w:val="FootnoteReference"/>
        </w:rPr>
        <w:footnoteReference w:id="15"/>
      </w:r>
    </w:p>
    <w:p w:rsidR="00457B65" w:rsidRPr="00D32013" w:rsidRDefault="00457B65" w:rsidP="00D32013">
      <w:pPr>
        <w:pStyle w:val="HeadingBoldBlue"/>
      </w:pPr>
      <w:r w:rsidRPr="00D32013">
        <w:t>Indexing the RAB for actual inflation inputs</w:t>
      </w:r>
    </w:p>
    <w:p w:rsidR="00F20483" w:rsidRPr="00693505" w:rsidRDefault="00F20483" w:rsidP="00F20483">
      <w:r w:rsidRPr="00693505">
        <w:t xml:space="preserve">Our final decision is to accept </w:t>
      </w:r>
      <w:r>
        <w:t>CitiPower</w:t>
      </w:r>
      <w:r w:rsidRPr="00693505">
        <w:t>'</w:t>
      </w:r>
      <w:r>
        <w:t>s</w:t>
      </w:r>
      <w:r w:rsidRPr="00693505">
        <w:t xml:space="preserve"> revised proposed approach to RAB indexation, known as the 'all-lagged' approach. Under this approach, a one-year lagged inflation series is used to index all components of the RAB roll forward.</w:t>
      </w:r>
      <w:r w:rsidRPr="00693505">
        <w:rPr>
          <w:rStyle w:val="FootnoteReference"/>
        </w:rPr>
        <w:footnoteReference w:id="16"/>
      </w:r>
      <w:r w:rsidRPr="00693505">
        <w:t xml:space="preserve"> This is a departure from our preliminary decision, which used our standard 'partially-lagged' approach.</w:t>
      </w:r>
      <w:r w:rsidRPr="00693505">
        <w:rPr>
          <w:rStyle w:val="FootnoteReference"/>
        </w:rPr>
        <w:footnoteReference w:id="17"/>
      </w:r>
    </w:p>
    <w:p w:rsidR="00F20483" w:rsidRPr="00693505" w:rsidRDefault="00F20483" w:rsidP="00F20483">
      <w:r w:rsidRPr="00693505">
        <w:t xml:space="preserve">We have had regard to the indexation approach used in previous </w:t>
      </w:r>
      <w:r>
        <w:t>Victorian distribution</w:t>
      </w:r>
      <w:r w:rsidRPr="00693505">
        <w:t xml:space="preserve"> determinations, where the Essential Services Commission (ESC) applied the all-lagged approach prior to 2010.</w:t>
      </w:r>
      <w:r w:rsidRPr="00693505">
        <w:rPr>
          <w:rStyle w:val="FootnoteReference"/>
        </w:rPr>
        <w:footnoteReference w:id="18"/>
      </w:r>
      <w:r w:rsidRPr="00693505">
        <w:t xml:space="preserve"> </w:t>
      </w:r>
      <w:r>
        <w:t>Each of the five Victorian service providers, including CitiPower,</w:t>
      </w:r>
      <w:r w:rsidRPr="00693505">
        <w:t xml:space="preserve"> submitted that we should apply the same unbroken inflation series to preserve the real value of its assets.</w:t>
      </w:r>
      <w:r>
        <w:rPr>
          <w:rStyle w:val="FootnoteReference"/>
        </w:rPr>
        <w:footnoteReference w:id="19"/>
      </w:r>
      <w:r w:rsidRPr="00693505">
        <w:t xml:space="preserve"> We agree that this consistency is desirable. </w:t>
      </w:r>
      <w:r>
        <w:t>To</w:t>
      </w:r>
      <w:r w:rsidRPr="00693505">
        <w:t xml:space="preserve"> this</w:t>
      </w:r>
      <w:r>
        <w:t xml:space="preserve"> end</w:t>
      </w:r>
      <w:r w:rsidRPr="00693505">
        <w:t xml:space="preserve">, </w:t>
      </w:r>
      <w:r>
        <w:t xml:space="preserve">the Victorian service providers' </w:t>
      </w:r>
      <w:r w:rsidRPr="00693505">
        <w:t xml:space="preserve">historical indexation differs from the standard approach applied to other non-Victorian networks in previous determinations. </w:t>
      </w:r>
    </w:p>
    <w:p w:rsidR="00F20483" w:rsidRDefault="00F20483" w:rsidP="00F20483">
      <w:r w:rsidRPr="00693505">
        <w:t xml:space="preserve">More broadly, </w:t>
      </w:r>
      <w:r>
        <w:t>CitiPower</w:t>
      </w:r>
      <w:r w:rsidRPr="00693505">
        <w:t xml:space="preserve"> also submitted a number of reasons why the all-lagged approach should be used, regardless of the previous approach to indexation.</w:t>
      </w:r>
      <w:r w:rsidRPr="00693505">
        <w:rPr>
          <w:rStyle w:val="FootnoteReference"/>
        </w:rPr>
        <w:footnoteReference w:id="20"/>
      </w:r>
      <w:r w:rsidRPr="00693505">
        <w:t xml:space="preserve"> </w:t>
      </w:r>
      <w:r>
        <w:t>We have reviewed this material together with the submissions on this common issue from the four other Victorian service providers.</w:t>
      </w:r>
      <w:r>
        <w:rPr>
          <w:rStyle w:val="FootnoteReference"/>
        </w:rPr>
        <w:footnoteReference w:id="21"/>
      </w:r>
      <w:r>
        <w:t xml:space="preserve"> </w:t>
      </w:r>
      <w:r w:rsidRPr="00693505">
        <w:t xml:space="preserve">While we agree with elements of this reasoning, there are several areas where we disagree or where the available evidence is inconclusive. </w:t>
      </w:r>
      <w:r>
        <w:t xml:space="preserve">Our views have been informed by consideration of this issue in our </w:t>
      </w:r>
      <w:r>
        <w:lastRenderedPageBreak/>
        <w:t>recent update of the RFM template for transmission service providers.</w:t>
      </w:r>
      <w:r>
        <w:rPr>
          <w:rStyle w:val="FootnoteReference"/>
        </w:rPr>
        <w:footnoteReference w:id="22"/>
      </w:r>
      <w:r>
        <w:t xml:space="preserve"> </w:t>
      </w:r>
      <w:r w:rsidR="00E027A1">
        <w:t>In that update, we decided to maintain applying the partially-lagged approach for indexation. However, the Victorian service providers have raised several new issues that were not before us at that time.</w:t>
      </w:r>
    </w:p>
    <w:p w:rsidR="00F20483" w:rsidRPr="00693505" w:rsidRDefault="00F20483" w:rsidP="00F20483">
      <w:r w:rsidRPr="00693505">
        <w:t xml:space="preserve">These conceptual issues relating to indexation in the RAB roll forward are relevant for all </w:t>
      </w:r>
      <w:r>
        <w:t>distribution service providers</w:t>
      </w:r>
      <w:r w:rsidRPr="00693505">
        <w:t xml:space="preserve">, not just </w:t>
      </w:r>
      <w:r>
        <w:t>CitiPower</w:t>
      </w:r>
      <w:r w:rsidRPr="00693505">
        <w:t xml:space="preserve"> or the Victorian </w:t>
      </w:r>
      <w:r>
        <w:t xml:space="preserve">service providers </w:t>
      </w:r>
      <w:r w:rsidRPr="00693505">
        <w:t xml:space="preserve">as a group. We </w:t>
      </w:r>
      <w:r>
        <w:t>expect to</w:t>
      </w:r>
      <w:r w:rsidRPr="00693505">
        <w:t xml:space="preserve"> commence a formal update of the AER's standard RFM </w:t>
      </w:r>
      <w:r>
        <w:t xml:space="preserve">template for distribution networks </w:t>
      </w:r>
      <w:r w:rsidRPr="00693505">
        <w:t>later this year.</w:t>
      </w:r>
      <w:r w:rsidRPr="00693505">
        <w:rPr>
          <w:rStyle w:val="FootnoteReference"/>
        </w:rPr>
        <w:footnoteReference w:id="23"/>
      </w:r>
      <w:r w:rsidRPr="00693505">
        <w:t xml:space="preserve"> That process will allow us to </w:t>
      </w:r>
      <w:r>
        <w:t>further</w:t>
      </w:r>
      <w:r w:rsidRPr="00693505">
        <w:t xml:space="preserve"> evaluate the strengths and weaknesses of both indexation approaches (and any other alternatives). It will also </w:t>
      </w:r>
      <w:r w:rsidR="00E027A1">
        <w:t xml:space="preserve">allow </w:t>
      </w:r>
      <w:r w:rsidRPr="00693505">
        <w:t>affected stakeholders, including other service providers and consumers, to comment.</w:t>
      </w:r>
      <w:r w:rsidRPr="00693505">
        <w:rPr>
          <w:rStyle w:val="FootnoteReference"/>
        </w:rPr>
        <w:footnoteReference w:id="24"/>
      </w:r>
      <w:r w:rsidRPr="00693505">
        <w:t xml:space="preserve"> </w:t>
      </w:r>
    </w:p>
    <w:p w:rsidR="00F20483" w:rsidRDefault="00F20483" w:rsidP="00457B65">
      <w:r w:rsidRPr="00693505">
        <w:t xml:space="preserve">Our decision to accept </w:t>
      </w:r>
      <w:r>
        <w:t>CitiPower</w:t>
      </w:r>
      <w:r w:rsidRPr="00693505">
        <w:t>'</w:t>
      </w:r>
      <w:r>
        <w:t>s</w:t>
      </w:r>
      <w:r w:rsidRPr="00693505">
        <w:t xml:space="preserve"> revised proposed approach, therefore, reflects the specific history of the Victorian </w:t>
      </w:r>
      <w:r>
        <w:t>service providers</w:t>
      </w:r>
      <w:r w:rsidRPr="00693505">
        <w:t xml:space="preserve"> and the current mixed state of evidence for the partially-lagged and all-lagged </w:t>
      </w:r>
      <w:r>
        <w:t xml:space="preserve">indexation </w:t>
      </w:r>
      <w:r w:rsidRPr="00693505">
        <w:t>approaches.</w:t>
      </w:r>
      <w:r w:rsidRPr="00693505">
        <w:rPr>
          <w:rStyle w:val="FootnoteReference"/>
        </w:rPr>
        <w:footnoteReference w:id="25"/>
      </w:r>
      <w:r w:rsidRPr="00693505">
        <w:t xml:space="preserve"> </w:t>
      </w:r>
      <w:r>
        <w:t>As part of this, we accept the RFM</w:t>
      </w:r>
      <w:r w:rsidRPr="00693505">
        <w:t xml:space="preserve"> implementation</w:t>
      </w:r>
      <w:r>
        <w:t xml:space="preserve"> in</w:t>
      </w:r>
      <w:r w:rsidRPr="00693505">
        <w:t xml:space="preserve"> </w:t>
      </w:r>
      <w:r>
        <w:t>CitiPower</w:t>
      </w:r>
      <w:r w:rsidRPr="00693505">
        <w:t>'</w:t>
      </w:r>
      <w:r>
        <w:t>s</w:t>
      </w:r>
      <w:r w:rsidRPr="00693505">
        <w:t xml:space="preserve"> revised proposal, where the inflation inputs are lagged by one year and formulae in the RFM are adjusted so that this one-year lag then flows through to </w:t>
      </w:r>
      <w:r>
        <w:t xml:space="preserve">the </w:t>
      </w:r>
      <w:r w:rsidRPr="00693505">
        <w:t>inflation index construction.</w:t>
      </w:r>
      <w:r w:rsidRPr="00693505">
        <w:rPr>
          <w:rStyle w:val="FootnoteReference"/>
        </w:rPr>
        <w:footnoteReference w:id="26"/>
      </w:r>
    </w:p>
    <w:p w:rsidR="00457B65" w:rsidRPr="00A218DA" w:rsidRDefault="00457B65" w:rsidP="00457B65">
      <w:pPr>
        <w:pStyle w:val="HeadingBoldBlue"/>
      </w:pPr>
      <w:r w:rsidRPr="00A218DA">
        <w:t>Update to 2015 estimated capex</w:t>
      </w:r>
    </w:p>
    <w:p w:rsidR="00457B65" w:rsidRPr="00A218DA" w:rsidRDefault="00457B65" w:rsidP="00457B65">
      <w:r>
        <w:rPr>
          <w:rStyle w:val="AERbody"/>
        </w:rPr>
        <w:t>CitiPower</w:t>
      </w:r>
      <w:r w:rsidRPr="00A218DA">
        <w:rPr>
          <w:rStyle w:val="AERbody"/>
        </w:rPr>
        <w:t>'s revised proposal did not include an update for 2015 estimated capex</w:t>
      </w:r>
      <w:r w:rsidR="00390650">
        <w:rPr>
          <w:rStyle w:val="AERbody"/>
        </w:rPr>
        <w:t>;</w:t>
      </w:r>
      <w:r w:rsidR="00390650" w:rsidRPr="00A218DA">
        <w:rPr>
          <w:rStyle w:val="AERbody"/>
        </w:rPr>
        <w:t xml:space="preserve"> </w:t>
      </w:r>
      <w:r w:rsidRPr="00A218DA">
        <w:rPr>
          <w:rStyle w:val="AERbody"/>
        </w:rPr>
        <w:t>however, a revised estimate was provided following an information request.</w:t>
      </w:r>
      <w:r w:rsidRPr="00A218DA">
        <w:rPr>
          <w:rStyle w:val="FootnoteReference"/>
        </w:rPr>
        <w:footnoteReference w:id="27"/>
      </w:r>
      <w:r w:rsidRPr="00A218DA">
        <w:rPr>
          <w:rStyle w:val="AERbody"/>
        </w:rPr>
        <w:t xml:space="preserve"> We accept </w:t>
      </w:r>
      <w:r w:rsidR="00D32013">
        <w:rPr>
          <w:rStyle w:val="AERbody"/>
        </w:rPr>
        <w:t>CitiPower</w:t>
      </w:r>
      <w:r w:rsidRPr="00A218DA">
        <w:rPr>
          <w:rStyle w:val="AERbody"/>
        </w:rPr>
        <w:t>'s revision to the net capex estimate for 2015 of $</w:t>
      </w:r>
      <w:r w:rsidR="00550926">
        <w:rPr>
          <w:rStyle w:val="AERbody"/>
        </w:rPr>
        <w:t>141.2</w:t>
      </w:r>
      <w:r w:rsidRPr="00A218DA">
        <w:rPr>
          <w:rStyle w:val="AERbody"/>
        </w:rPr>
        <w:t> million ($ nominal).</w:t>
      </w:r>
      <w:r w:rsidRPr="00A218DA">
        <w:rPr>
          <w:rStyle w:val="FootnoteReference"/>
        </w:rPr>
        <w:footnoteReference w:id="28"/>
      </w:r>
      <w:r w:rsidRPr="00A218DA">
        <w:rPr>
          <w:rStyle w:val="AERbody"/>
        </w:rPr>
        <w:t xml:space="preserve"> This amount is lower than in the initial proposal and reflects more up-to-date data, and therefore is the best forecast available. We note that the financial impact of any difference between actual and estimated capex for 2015 will be accounted for at the next reset.</w:t>
      </w:r>
      <w:r w:rsidRPr="00A218DA">
        <w:rPr>
          <w:rStyle w:val="FootnoteReference"/>
        </w:rPr>
        <w:footnoteReference w:id="29"/>
      </w:r>
    </w:p>
    <w:p w:rsidR="00457B65" w:rsidRPr="00835468" w:rsidRDefault="00457B65" w:rsidP="007D2907">
      <w:pPr>
        <w:pStyle w:val="Heading3"/>
        <w:keepNext/>
        <w:ind w:left="578" w:hanging="578"/>
      </w:pPr>
      <w:bookmarkStart w:id="82" w:name="_Toc445203752"/>
      <w:bookmarkStart w:id="83" w:name="_Toc451285104"/>
      <w:r w:rsidRPr="00835468">
        <w:lastRenderedPageBreak/>
        <w:t>Forecast closing RAB as at 31 December 2020</w:t>
      </w:r>
      <w:bookmarkEnd w:id="82"/>
      <w:bookmarkEnd w:id="83"/>
    </w:p>
    <w:p w:rsidR="00457B65" w:rsidRPr="00464019" w:rsidRDefault="00457B65" w:rsidP="007D2907">
      <w:pPr>
        <w:rPr>
          <w:rStyle w:val="AERbody"/>
          <w:shd w:val="clear" w:color="auto" w:fill="FFFF00"/>
        </w:rPr>
      </w:pPr>
      <w:r w:rsidRPr="0071683B">
        <w:rPr>
          <w:rStyle w:val="AERbody"/>
        </w:rPr>
        <w:t xml:space="preserve">We forecast a closing RAB value of </w:t>
      </w:r>
      <w:r w:rsidRPr="007D2907">
        <w:t>$</w:t>
      </w:r>
      <w:r w:rsidR="00454881" w:rsidRPr="007D2907">
        <w:t>2274.3</w:t>
      </w:r>
      <w:r w:rsidRPr="007D2907">
        <w:t> million by 31 December 2020 for CitiPower. This represents a reduction of $</w:t>
      </w:r>
      <w:r w:rsidR="006B7ECC" w:rsidRPr="007D2907">
        <w:t>117.0</w:t>
      </w:r>
      <w:r w:rsidRPr="007D2907">
        <w:t xml:space="preserve"> million, or </w:t>
      </w:r>
      <w:r w:rsidR="006B7ECC" w:rsidRPr="007D2907">
        <w:t>4.9</w:t>
      </w:r>
      <w:r w:rsidRPr="007D2907">
        <w:t> per cent</w:t>
      </w:r>
      <w:r w:rsidRPr="0071683B">
        <w:rPr>
          <w:rStyle w:val="AERbody"/>
        </w:rPr>
        <w:t xml:space="preserve"> to </w:t>
      </w:r>
      <w:r>
        <w:rPr>
          <w:rStyle w:val="AERbody"/>
        </w:rPr>
        <w:t>CitiPower</w:t>
      </w:r>
      <w:r w:rsidRPr="0071683B">
        <w:rPr>
          <w:rStyle w:val="AERbody"/>
        </w:rPr>
        <w:t>'s revised proposal. This reduction reflects our final decision on the required inputs for determining the forecast RAB in the PTRM. To determine the forecast RAB value, we have amended the PTRM inputs as a result of the following changes:</w:t>
      </w:r>
    </w:p>
    <w:p w:rsidR="00457B65" w:rsidRDefault="00457B65" w:rsidP="00457B65">
      <w:pPr>
        <w:pStyle w:val="AERbulletlistfirststyle"/>
        <w:rPr>
          <w:rStyle w:val="AERbody"/>
        </w:rPr>
      </w:pPr>
      <w:r w:rsidRPr="0071683B">
        <w:rPr>
          <w:rStyle w:val="AERbody"/>
        </w:rPr>
        <w:t xml:space="preserve">We </w:t>
      </w:r>
      <w:r w:rsidR="008F2690">
        <w:rPr>
          <w:rStyle w:val="AERbody"/>
        </w:rPr>
        <w:t>reduced</w:t>
      </w:r>
      <w:r w:rsidRPr="0071683B">
        <w:rPr>
          <w:rStyle w:val="AERbody"/>
        </w:rPr>
        <w:t xml:space="preserve"> </w:t>
      </w:r>
      <w:r>
        <w:rPr>
          <w:rStyle w:val="AERbody"/>
        </w:rPr>
        <w:t>CitiPower</w:t>
      </w:r>
      <w:r w:rsidRPr="0071683B">
        <w:rPr>
          <w:rStyle w:val="AERbody"/>
        </w:rPr>
        <w:t xml:space="preserve">'s revised proposed opening RAB as at 1 </w:t>
      </w:r>
      <w:r>
        <w:rPr>
          <w:rStyle w:val="AERbody"/>
        </w:rPr>
        <w:t>January 2016</w:t>
      </w:r>
      <w:r w:rsidRPr="0071683B">
        <w:rPr>
          <w:rStyle w:val="AERbody"/>
        </w:rPr>
        <w:t xml:space="preserve"> by $</w:t>
      </w:r>
      <w:r w:rsidR="00B55C5D">
        <w:rPr>
          <w:rStyle w:val="AERbody"/>
        </w:rPr>
        <w:t>39.7</w:t>
      </w:r>
      <w:r>
        <w:rPr>
          <w:rStyle w:val="AERbody"/>
        </w:rPr>
        <w:t> </w:t>
      </w:r>
      <w:r w:rsidRPr="0071683B">
        <w:rPr>
          <w:rStyle w:val="AERbody"/>
        </w:rPr>
        <w:t xml:space="preserve">million or </w:t>
      </w:r>
      <w:r w:rsidR="00B55C5D">
        <w:rPr>
          <w:rStyle w:val="AERbody"/>
        </w:rPr>
        <w:t>2</w:t>
      </w:r>
      <w:r>
        <w:rPr>
          <w:rStyle w:val="AERbody"/>
        </w:rPr>
        <w:t>.</w:t>
      </w:r>
      <w:r w:rsidR="00B55C5D">
        <w:rPr>
          <w:rStyle w:val="AERbody"/>
        </w:rPr>
        <w:t>2</w:t>
      </w:r>
      <w:r>
        <w:rPr>
          <w:rStyle w:val="AERbody"/>
        </w:rPr>
        <w:t> </w:t>
      </w:r>
      <w:r w:rsidRPr="0071683B">
        <w:rPr>
          <w:rStyle w:val="AERbody"/>
        </w:rPr>
        <w:t>per cent (section 2.4.1).</w:t>
      </w:r>
    </w:p>
    <w:p w:rsidR="00457B65" w:rsidRPr="007D2907" w:rsidRDefault="00457B65" w:rsidP="007D2907">
      <w:pPr>
        <w:pStyle w:val="AERbulletlistfirststyle"/>
      </w:pPr>
      <w:r w:rsidRPr="0071683B">
        <w:rPr>
          <w:rStyle w:val="AERbody"/>
        </w:rPr>
        <w:t xml:space="preserve">We </w:t>
      </w:r>
      <w:r>
        <w:rPr>
          <w:rStyle w:val="AERbody"/>
        </w:rPr>
        <w:t>reduced</w:t>
      </w:r>
      <w:r w:rsidRPr="0071683B">
        <w:rPr>
          <w:rStyle w:val="AERbody"/>
        </w:rPr>
        <w:t xml:space="preserve"> </w:t>
      </w:r>
      <w:r>
        <w:rPr>
          <w:rStyle w:val="AERbody"/>
        </w:rPr>
        <w:t>CitiPower</w:t>
      </w:r>
      <w:r w:rsidRPr="0071683B">
        <w:rPr>
          <w:rStyle w:val="AERbody"/>
        </w:rPr>
        <w:t>'s revised proposed forecast capex for the 201</w:t>
      </w:r>
      <w:r>
        <w:rPr>
          <w:rStyle w:val="AERbody"/>
        </w:rPr>
        <w:t>6</w:t>
      </w:r>
      <w:r w:rsidRPr="0071683B">
        <w:rPr>
          <w:rStyle w:val="AERbody"/>
        </w:rPr>
        <w:t xml:space="preserve">–20 regulatory control period </w:t>
      </w:r>
      <w:r w:rsidRPr="007D2907">
        <w:t>by $</w:t>
      </w:r>
      <w:r w:rsidR="006B7ECC" w:rsidRPr="007D2907">
        <w:t>61.7</w:t>
      </w:r>
      <w:r w:rsidRPr="007D2907">
        <w:t> million ($ 2015) or</w:t>
      </w:r>
      <w:r w:rsidR="006B7ECC" w:rsidRPr="007D2907">
        <w:t xml:space="preserve"> 6.8</w:t>
      </w:r>
      <w:r w:rsidRPr="007D2907">
        <w:t> per cent (attachment 6).</w:t>
      </w:r>
    </w:p>
    <w:p w:rsidR="00BC4D84" w:rsidRPr="007D2907" w:rsidRDefault="00BC4D84" w:rsidP="007D2907">
      <w:pPr>
        <w:pStyle w:val="AERbulletlistfirststyle"/>
      </w:pPr>
      <w:r w:rsidRPr="007D2907">
        <w:t xml:space="preserve">We reduced CitiPower's revised proposed </w:t>
      </w:r>
      <w:r w:rsidR="00F23E2B">
        <w:t xml:space="preserve">expected </w:t>
      </w:r>
      <w:r w:rsidRPr="007D2907">
        <w:t xml:space="preserve">inflation </w:t>
      </w:r>
      <w:r w:rsidR="00DA2F77">
        <w:t xml:space="preserve">rate </w:t>
      </w:r>
      <w:r w:rsidRPr="007D2907">
        <w:t>from 2.5</w:t>
      </w:r>
      <w:r w:rsidR="00454881" w:rsidRPr="007D2907">
        <w:t>0</w:t>
      </w:r>
      <w:r w:rsidRPr="007D2907">
        <w:t xml:space="preserve"> per cent to 2.32 per cent (attachment 3). This results in a decrease to the indexation of the RAB component for the 2015–20 regulatory control period by $</w:t>
      </w:r>
      <w:r w:rsidR="00454881" w:rsidRPr="007D2907">
        <w:t>26.3</w:t>
      </w:r>
      <w:r w:rsidRPr="007D2907">
        <w:t xml:space="preserve"> million ($ nominal) or </w:t>
      </w:r>
      <w:r w:rsidR="00454881" w:rsidRPr="007D2907">
        <w:t>10.2</w:t>
      </w:r>
      <w:r w:rsidRPr="007D2907">
        <w:t xml:space="preserve"> per cent.</w:t>
      </w:r>
    </w:p>
    <w:p w:rsidR="00457B65" w:rsidRPr="007D2907" w:rsidRDefault="00D27AE1" w:rsidP="007D2907">
      <w:pPr>
        <w:pStyle w:val="AERbulletlistfirststyle"/>
      </w:pPr>
      <w:r w:rsidRPr="007D2907">
        <w:t xml:space="preserve">We </w:t>
      </w:r>
      <w:r w:rsidR="00457B65" w:rsidRPr="007D2907">
        <w:t xml:space="preserve">reduced CitiPower's revised proposed forecast </w:t>
      </w:r>
      <w:r w:rsidR="00BC4D84" w:rsidRPr="007D2907">
        <w:t>straight-line</w:t>
      </w:r>
      <w:r w:rsidR="00457B65" w:rsidRPr="007D2907">
        <w:t xml:space="preserve"> depreciation for the 201</w:t>
      </w:r>
      <w:r w:rsidR="004B1ABF">
        <w:t>6</w:t>
      </w:r>
      <w:r w:rsidR="00457B65" w:rsidRPr="007D2907">
        <w:t>–20 regulatory control period by $</w:t>
      </w:r>
      <w:r w:rsidR="00454881" w:rsidRPr="007D2907">
        <w:t xml:space="preserve">10.7 </w:t>
      </w:r>
      <w:r w:rsidR="00457B65" w:rsidRPr="007D2907">
        <w:t xml:space="preserve">million ($ nominal) or </w:t>
      </w:r>
      <w:r w:rsidR="00454881" w:rsidRPr="007D2907">
        <w:t xml:space="preserve">1.9 </w:t>
      </w:r>
      <w:r w:rsidR="00457B65" w:rsidRPr="007D2907">
        <w:t>per cent (attachment 5).</w:t>
      </w:r>
    </w:p>
    <w:p w:rsidR="00457B65" w:rsidRPr="00835468" w:rsidRDefault="00457B65" w:rsidP="007D2907">
      <w:pPr>
        <w:pStyle w:val="Heading3"/>
        <w:ind w:left="1021" w:hanging="1021"/>
      </w:pPr>
      <w:bookmarkStart w:id="84" w:name="_Toc445203753"/>
      <w:bookmarkStart w:id="85" w:name="_Toc451285105"/>
      <w:r w:rsidRPr="00835468">
        <w:t>Application of depreciation approach in RAB roll forward for next reset</w:t>
      </w:r>
      <w:bookmarkEnd w:id="84"/>
      <w:bookmarkEnd w:id="85"/>
    </w:p>
    <w:p w:rsidR="0091091B" w:rsidRPr="00132D43" w:rsidRDefault="00457B65" w:rsidP="00835468">
      <w:r w:rsidRPr="002D64E3">
        <w:t xml:space="preserve">Our final decision </w:t>
      </w:r>
      <w:r w:rsidR="008F2690">
        <w:t>accepts CitiPower's revised proposal</w:t>
      </w:r>
      <w:r>
        <w:t xml:space="preserve"> </w:t>
      </w:r>
      <w:r w:rsidRPr="002D64E3">
        <w:t xml:space="preserve">to roll forward </w:t>
      </w:r>
      <w:r w:rsidR="00F4031E">
        <w:t>its</w:t>
      </w:r>
      <w:r w:rsidRPr="002D64E3">
        <w:t xml:space="preserve"> RAB for the commencement of </w:t>
      </w:r>
      <w:r w:rsidR="00F4031E">
        <w:t>the</w:t>
      </w:r>
      <w:r w:rsidRPr="002D64E3">
        <w:t xml:space="preserve"> 2021–25 regulatory control period</w:t>
      </w:r>
      <w:r>
        <w:t xml:space="preserve"> using </w:t>
      </w:r>
      <w:r w:rsidRPr="002D64E3">
        <w:t>depreciation based on forecast capex (updated for actual inflation)</w:t>
      </w:r>
      <w:r>
        <w:t>.</w:t>
      </w:r>
      <w:r>
        <w:rPr>
          <w:rStyle w:val="FootnoteReference"/>
        </w:rPr>
        <w:footnoteReference w:id="30"/>
      </w:r>
      <w:r>
        <w:t xml:space="preserve"> </w:t>
      </w:r>
      <w:r w:rsidR="008F2690">
        <w:t xml:space="preserve">This is consistent with our preliminary decision, </w:t>
      </w:r>
      <w:r>
        <w:t xml:space="preserve">CitiPower's </w:t>
      </w:r>
      <w:r w:rsidR="00F621E2">
        <w:t>initial</w:t>
      </w:r>
      <w:r>
        <w:t xml:space="preserve"> proposal </w:t>
      </w:r>
      <w:r w:rsidR="008F2690">
        <w:t>and</w:t>
      </w:r>
      <w:r>
        <w:t xml:space="preserve"> </w:t>
      </w:r>
      <w:r w:rsidRPr="00BC2C2F">
        <w:t>the framework and approach.</w:t>
      </w:r>
      <w:r>
        <w:rPr>
          <w:rStyle w:val="FootnoteReference"/>
        </w:rPr>
        <w:footnoteReference w:id="31"/>
      </w:r>
    </w:p>
    <w:sectPr w:rsidR="0091091B" w:rsidRPr="00132D43" w:rsidSect="00CF42AA">
      <w:headerReference w:type="default" r:id="rId15"/>
      <w:footerReference w:type="even" r:id="rId16"/>
      <w:footerReference w:type="first" r:id="rId17"/>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2DF" w:rsidRPr="00290C63" w:rsidRDefault="000132DF" w:rsidP="00290C63">
      <w:r>
        <w:separator/>
      </w:r>
    </w:p>
    <w:p w:rsidR="000132DF" w:rsidRDefault="000132DF"/>
  </w:endnote>
  <w:endnote w:type="continuationSeparator" w:id="0">
    <w:p w:rsidR="000132DF" w:rsidRPr="00290C63" w:rsidRDefault="000132DF" w:rsidP="00290C63">
      <w:r>
        <w:continuationSeparator/>
      </w:r>
    </w:p>
    <w:p w:rsidR="000132DF" w:rsidRDefault="00013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2DF" w:rsidRPr="00290C63" w:rsidRDefault="000132D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132DF" w:rsidRDefault="000132DF"/>
  <w:p w:rsidR="000132DF" w:rsidRDefault="000132DF"/>
  <w:p w:rsidR="000132DF" w:rsidRDefault="000132DF"/>
  <w:p w:rsidR="000132DF" w:rsidRDefault="000132DF"/>
  <w:p w:rsidR="000132DF" w:rsidRDefault="000132DF"/>
  <w:p w:rsidR="000132DF" w:rsidRDefault="000132DF"/>
  <w:p w:rsidR="000132DF" w:rsidRDefault="000132D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0132DF" w:rsidRPr="009B6F84" w:rsidRDefault="000132DF">
        <w:pPr>
          <w:pStyle w:val="Footer"/>
          <w:rPr>
            <w:sz w:val="20"/>
          </w:rPr>
        </w:pPr>
        <w:r>
          <w:fldChar w:fldCharType="begin"/>
        </w:r>
        <w:r>
          <w:instrText xml:space="preserve"> PAGE   \* MERGEFORMAT </w:instrText>
        </w:r>
        <w:r>
          <w:fldChar w:fldCharType="separate"/>
        </w:r>
        <w:r w:rsidR="001159D5">
          <w:rPr>
            <w:noProof/>
          </w:rPr>
          <w:t>2-0</w:t>
        </w:r>
        <w:r>
          <w:rPr>
            <w:noProof/>
          </w:rPr>
          <w:fldChar w:fldCharType="end"/>
        </w:r>
        <w:r>
          <w:rPr>
            <w:noProof/>
          </w:rPr>
          <w:t xml:space="preserve">  </w:t>
        </w:r>
        <w:r w:rsidRPr="008F78AD">
          <w:t xml:space="preserve">Attachment </w:t>
        </w:r>
        <w:r>
          <w:t>2</w:t>
        </w:r>
        <w:r w:rsidRPr="008F78AD">
          <w:t xml:space="preserve"> – </w:t>
        </w:r>
        <w:r>
          <w:t xml:space="preserve">Regulatory asset base </w:t>
        </w:r>
        <w:r w:rsidRPr="004523B2">
          <w:t xml:space="preserve">| </w:t>
        </w:r>
        <w:r>
          <w:t>CitiPower distribution determination final decision</w:t>
        </w:r>
        <w:r w:rsidRPr="004523B2">
          <w:t xml:space="preserve"> 201</w:t>
        </w:r>
        <w:r>
          <w:t>6</w:t>
        </w:r>
        <w:r w:rsidRPr="004523B2">
          <w:t>–</w:t>
        </w:r>
        <w:r>
          <w:t>20</w:t>
        </w:r>
      </w:p>
    </w:sdtContent>
  </w:sdt>
  <w:p w:rsidR="000132DF" w:rsidRDefault="000132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2DF" w:rsidRPr="00290C63" w:rsidRDefault="000132D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132DF" w:rsidRDefault="000132DF">
    <w:pPr>
      <w:pStyle w:val="Footer"/>
    </w:pPr>
  </w:p>
  <w:p w:rsidR="000132DF" w:rsidRDefault="000132DF"/>
  <w:p w:rsidR="000132DF" w:rsidRDefault="000132DF"/>
  <w:p w:rsidR="000132DF" w:rsidRDefault="000132DF"/>
  <w:p w:rsidR="000132DF" w:rsidRDefault="000132DF"/>
  <w:p w:rsidR="000132DF" w:rsidRDefault="000132DF"/>
  <w:p w:rsidR="000132DF" w:rsidRDefault="000132DF"/>
  <w:p w:rsidR="000132DF" w:rsidRDefault="000132D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2DF" w:rsidRPr="00290C63" w:rsidRDefault="000132D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132DF" w:rsidRDefault="000132DF"/>
  <w:p w:rsidR="000132DF" w:rsidRDefault="000132DF"/>
  <w:p w:rsidR="000132DF" w:rsidRDefault="000132DF"/>
  <w:p w:rsidR="000132DF" w:rsidRDefault="000132DF"/>
  <w:p w:rsidR="000132DF" w:rsidRDefault="000132DF"/>
  <w:p w:rsidR="000132DF" w:rsidRDefault="000132DF"/>
  <w:p w:rsidR="000132DF" w:rsidRDefault="000132D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2DF" w:rsidRPr="00290C63" w:rsidRDefault="000132D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132DF" w:rsidRDefault="000132DF">
    <w:pPr>
      <w:pStyle w:val="Footer"/>
    </w:pPr>
  </w:p>
  <w:p w:rsidR="000132DF" w:rsidRDefault="000132DF"/>
  <w:p w:rsidR="000132DF" w:rsidRDefault="000132DF"/>
  <w:p w:rsidR="000132DF" w:rsidRDefault="000132DF"/>
  <w:p w:rsidR="000132DF" w:rsidRDefault="000132DF"/>
  <w:p w:rsidR="000132DF" w:rsidRDefault="000132DF"/>
  <w:p w:rsidR="000132DF" w:rsidRDefault="000132DF"/>
  <w:p w:rsidR="000132DF" w:rsidRDefault="000132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2DF" w:rsidRPr="00290C63" w:rsidRDefault="000132DF" w:rsidP="00290C63">
      <w:r>
        <w:separator/>
      </w:r>
    </w:p>
    <w:p w:rsidR="000132DF" w:rsidRDefault="000132DF"/>
  </w:footnote>
  <w:footnote w:type="continuationSeparator" w:id="0">
    <w:p w:rsidR="000132DF" w:rsidRPr="00290C63" w:rsidRDefault="000132DF" w:rsidP="00290C63">
      <w:r>
        <w:continuationSeparator/>
      </w:r>
    </w:p>
    <w:p w:rsidR="000132DF" w:rsidRDefault="000132DF"/>
  </w:footnote>
  <w:footnote w:id="1">
    <w:p w:rsidR="000132DF" w:rsidRDefault="000132DF" w:rsidP="00457B65">
      <w:pPr>
        <w:pStyle w:val="FootnoteText"/>
      </w:pPr>
      <w:r>
        <w:rPr>
          <w:rStyle w:val="FootnoteReference"/>
        </w:rPr>
        <w:footnoteRef/>
      </w:r>
      <w:r>
        <w:t xml:space="preserve"> </w:t>
      </w:r>
      <w:r>
        <w:tab/>
      </w:r>
      <w:r w:rsidRPr="00C37607">
        <w:t>NER, cl. 6.12.1(6).</w:t>
      </w:r>
    </w:p>
  </w:footnote>
  <w:footnote w:id="2">
    <w:p w:rsidR="000132DF" w:rsidRDefault="000132DF">
      <w:pPr>
        <w:pStyle w:val="FootnoteText"/>
      </w:pPr>
      <w:r>
        <w:rPr>
          <w:rStyle w:val="FootnoteReference"/>
        </w:rPr>
        <w:footnoteRef/>
      </w:r>
      <w:r>
        <w:t xml:space="preserve"> </w:t>
      </w:r>
      <w:r>
        <w:tab/>
        <w:t xml:space="preserve">To accurately reflect the forecast closing RAB value at 31 December 2020 proposed by CitiPower, the revised forecast RAB value presented in this attachment are calculated using the rate of return from the revised proposal. These amounts are different from the amounts set out on page 246 of CitiPower's revised proposal which are calculated using the rate of return from our preliminary decision. See CitiPower, </w:t>
      </w:r>
      <w:r w:rsidRPr="00007CA2">
        <w:rPr>
          <w:rStyle w:val="AERtextitalic"/>
        </w:rPr>
        <w:t xml:space="preserve">Revised </w:t>
      </w:r>
      <w:r>
        <w:rPr>
          <w:rStyle w:val="AERtextitalic"/>
        </w:rPr>
        <w:t xml:space="preserve">regulatory </w:t>
      </w:r>
      <w:r w:rsidRPr="00007CA2">
        <w:rPr>
          <w:rStyle w:val="AERtextitalic"/>
        </w:rPr>
        <w:t>proposal</w:t>
      </w:r>
      <w:r>
        <w:t>, 6 January 2016, p. 246 and attachment 1.10 (</w:t>
      </w:r>
      <w:r w:rsidRPr="000A0C5D">
        <w:rPr>
          <w:rStyle w:val="AERtextitalic"/>
        </w:rPr>
        <w:t>CP PUBLIC RRP MOD 1.10 CP 2016-20 PTRM.xls</w:t>
      </w:r>
      <w:r>
        <w:rPr>
          <w:rStyle w:val="AERtextitalic"/>
        </w:rPr>
        <w:t>m</w:t>
      </w:r>
      <w:r>
        <w:t xml:space="preserve">); and CitiPower, </w:t>
      </w:r>
      <w:r w:rsidRPr="00E973C0">
        <w:rPr>
          <w:rStyle w:val="AERtextitalic"/>
        </w:rPr>
        <w:t>Letter re: Impact of rate of return on allowed revenues</w:t>
      </w:r>
      <w:r>
        <w:t>, 20 January 2016.</w:t>
      </w:r>
    </w:p>
  </w:footnote>
  <w:footnote w:id="3">
    <w:p w:rsidR="000132DF" w:rsidRDefault="000132DF" w:rsidP="00190BAC">
      <w:pPr>
        <w:pStyle w:val="FootnoteText"/>
      </w:pPr>
      <w:r>
        <w:rPr>
          <w:rStyle w:val="FootnoteReference"/>
        </w:rPr>
        <w:footnoteRef/>
      </w:r>
      <w:r>
        <w:t xml:space="preserve"> </w:t>
      </w:r>
      <w:r>
        <w:tab/>
      </w:r>
      <w:r w:rsidRPr="00CA76D5">
        <w:t>NER, cl. 6.12.1(18).</w:t>
      </w:r>
    </w:p>
  </w:footnote>
  <w:footnote w:id="4">
    <w:p w:rsidR="000132DF" w:rsidRDefault="000132DF" w:rsidP="00190BAC">
      <w:pPr>
        <w:pStyle w:val="FootnoteText"/>
      </w:pPr>
      <w:r>
        <w:rPr>
          <w:rStyle w:val="FootnoteReference"/>
        </w:rPr>
        <w:footnoteRef/>
      </w:r>
      <w:r>
        <w:t xml:space="preserve"> </w:t>
      </w:r>
      <w:r>
        <w:tab/>
      </w:r>
      <w:r w:rsidRPr="00923AF2">
        <w:t xml:space="preserve">CitiPower, </w:t>
      </w:r>
      <w:r w:rsidRPr="00923AF2">
        <w:rPr>
          <w:rStyle w:val="AERtextitalic"/>
        </w:rPr>
        <w:t>Revised regulatory proposal</w:t>
      </w:r>
      <w:r w:rsidRPr="00923AF2">
        <w:t xml:space="preserve">, January 2016, p. </w:t>
      </w:r>
      <w:r>
        <w:t>245</w:t>
      </w:r>
      <w:r w:rsidRPr="00923AF2">
        <w:t>.</w:t>
      </w:r>
    </w:p>
  </w:footnote>
  <w:footnote w:id="5">
    <w:p w:rsidR="000132DF" w:rsidRDefault="000132DF" w:rsidP="00457B65">
      <w:pPr>
        <w:pStyle w:val="FootnoteText"/>
      </w:pPr>
      <w:r>
        <w:rPr>
          <w:rStyle w:val="FootnoteReference"/>
        </w:rPr>
        <w:footnoteRef/>
      </w:r>
      <w:r>
        <w:t xml:space="preserve"> </w:t>
      </w:r>
      <w:r>
        <w:tab/>
        <w:t>CitiPower</w:t>
      </w:r>
      <w:r w:rsidRPr="00CA76D5">
        <w:t xml:space="preserve">, </w:t>
      </w:r>
      <w:r w:rsidRPr="008268F7">
        <w:rPr>
          <w:rStyle w:val="AERtextitalic"/>
        </w:rPr>
        <w:t>Revised regulatory proposal</w:t>
      </w:r>
      <w:r w:rsidRPr="00CA76D5">
        <w:t xml:space="preserve">, January 2016, </w:t>
      </w:r>
      <w:r>
        <w:t>p. 243.</w:t>
      </w:r>
    </w:p>
  </w:footnote>
  <w:footnote w:id="6">
    <w:p w:rsidR="000132DF" w:rsidRDefault="000132DF">
      <w:pPr>
        <w:pStyle w:val="FootnoteText"/>
      </w:pPr>
      <w:r>
        <w:rPr>
          <w:rStyle w:val="FootnoteReference"/>
        </w:rPr>
        <w:footnoteRef/>
      </w:r>
      <w:r>
        <w:t xml:space="preserve"> </w:t>
      </w:r>
      <w:r>
        <w:tab/>
        <w:t>CitiPower</w:t>
      </w:r>
      <w:r w:rsidRPr="00CA76D5">
        <w:t xml:space="preserve">, </w:t>
      </w:r>
      <w:r w:rsidRPr="008268F7">
        <w:rPr>
          <w:rStyle w:val="AERtextitalic"/>
        </w:rPr>
        <w:t>Revised regulatory proposal</w:t>
      </w:r>
      <w:r w:rsidRPr="00CA76D5">
        <w:t xml:space="preserve">, January 2016, </w:t>
      </w:r>
      <w:r>
        <w:t>p. 246.</w:t>
      </w:r>
    </w:p>
  </w:footnote>
  <w:footnote w:id="7">
    <w:p w:rsidR="000132DF" w:rsidRDefault="000132DF" w:rsidP="00457B65">
      <w:pPr>
        <w:pStyle w:val="FootnoteText"/>
      </w:pPr>
      <w:r>
        <w:rPr>
          <w:rStyle w:val="FootnoteReference"/>
        </w:rPr>
        <w:footnoteRef/>
      </w:r>
      <w:r>
        <w:t xml:space="preserve"> </w:t>
      </w:r>
      <w:r>
        <w:tab/>
        <w:t>CitiPower</w:t>
      </w:r>
      <w:r w:rsidRPr="00CA76D5">
        <w:t xml:space="preserve">, </w:t>
      </w:r>
      <w:r w:rsidRPr="008268F7">
        <w:rPr>
          <w:rStyle w:val="AERtextitalic"/>
        </w:rPr>
        <w:t>Revised regulatory proposal</w:t>
      </w:r>
      <w:r w:rsidRPr="00CA76D5">
        <w:t xml:space="preserve">, January 2016, </w:t>
      </w:r>
      <w:r>
        <w:t xml:space="preserve">p. 251. </w:t>
      </w:r>
    </w:p>
  </w:footnote>
  <w:footnote w:id="8">
    <w:p w:rsidR="000132DF" w:rsidRDefault="000132DF">
      <w:pPr>
        <w:pStyle w:val="FootnoteText"/>
      </w:pPr>
      <w:r>
        <w:rPr>
          <w:rStyle w:val="FootnoteReference"/>
        </w:rPr>
        <w:footnoteRef/>
      </w:r>
      <w:r>
        <w:t xml:space="preserve"> </w:t>
      </w:r>
      <w:r>
        <w:tab/>
        <w:t>The asset reallocation is related to the movement of some assets out of the 'Victorian Bushfire Royal Commission' asset class to the 'Distribution System Assets' asset class. We consider this issue in attachment 5 of this final decision.</w:t>
      </w:r>
    </w:p>
  </w:footnote>
  <w:footnote w:id="9">
    <w:p w:rsidR="000132DF" w:rsidRDefault="000132DF" w:rsidP="00457B65">
      <w:pPr>
        <w:pStyle w:val="FootnoteText"/>
      </w:pPr>
      <w:r>
        <w:rPr>
          <w:rStyle w:val="FootnoteReference"/>
        </w:rPr>
        <w:footnoteRef/>
      </w:r>
      <w:r>
        <w:t xml:space="preserve"> </w:t>
      </w:r>
      <w:r>
        <w:tab/>
      </w:r>
      <w:r w:rsidRPr="00D033BE">
        <w:t xml:space="preserve">AER, </w:t>
      </w:r>
      <w:r w:rsidRPr="008268F7">
        <w:rPr>
          <w:rStyle w:val="AERtextitalic"/>
        </w:rPr>
        <w:t xml:space="preserve">Preliminary decision, </w:t>
      </w:r>
      <w:r>
        <w:rPr>
          <w:rStyle w:val="AERtextitalic"/>
        </w:rPr>
        <w:t>CitiPower</w:t>
      </w:r>
      <w:r w:rsidRPr="008268F7">
        <w:rPr>
          <w:rStyle w:val="AERtextitalic"/>
        </w:rPr>
        <w:t xml:space="preserve"> determination 2016 to 2020: Attachment 2 – Regulatory asset base</w:t>
      </w:r>
      <w:r w:rsidRPr="00D033BE">
        <w:t xml:space="preserve">, </w:t>
      </w:r>
      <w:r>
        <w:t>October</w:t>
      </w:r>
      <w:r w:rsidRPr="00D033BE">
        <w:t xml:space="preserve"> 2015, pp. 9–1</w:t>
      </w:r>
      <w:r>
        <w:t>1</w:t>
      </w:r>
      <w:r w:rsidRPr="00D033BE">
        <w:t>.</w:t>
      </w:r>
    </w:p>
  </w:footnote>
  <w:footnote w:id="10">
    <w:p w:rsidR="000132DF" w:rsidRDefault="000132DF">
      <w:pPr>
        <w:pStyle w:val="FootnoteText"/>
      </w:pPr>
      <w:r>
        <w:rPr>
          <w:rStyle w:val="FootnoteReference"/>
        </w:rPr>
        <w:footnoteRef/>
      </w:r>
      <w:r>
        <w:t xml:space="preserve"> </w:t>
      </w:r>
      <w:r>
        <w:tab/>
      </w:r>
      <w:r w:rsidRPr="00E027A1">
        <w:t>NER, cl S6.2.1(e)(2).</w:t>
      </w:r>
    </w:p>
  </w:footnote>
  <w:footnote w:id="11">
    <w:p w:rsidR="000132DF" w:rsidRDefault="000132DF" w:rsidP="007D2907">
      <w:pPr>
        <w:pStyle w:val="FootnoteText"/>
      </w:pPr>
      <w:r>
        <w:rPr>
          <w:rStyle w:val="FootnoteReference"/>
        </w:rPr>
        <w:footnoteRef/>
      </w:r>
      <w:r>
        <w:t xml:space="preserve"> </w:t>
      </w:r>
      <w:r>
        <w:tab/>
        <w:t>NER, cl. 6.12.2(b).</w:t>
      </w:r>
    </w:p>
  </w:footnote>
  <w:footnote w:id="12">
    <w:p w:rsidR="000132DF" w:rsidRDefault="000132DF" w:rsidP="008E0D17">
      <w:pPr>
        <w:pStyle w:val="FootnoteText"/>
      </w:pPr>
      <w:r>
        <w:rPr>
          <w:rStyle w:val="FootnoteReference"/>
        </w:rPr>
        <w:footnoteRef/>
      </w:r>
      <w:r>
        <w:t xml:space="preserve"> </w:t>
      </w:r>
      <w:r>
        <w:tab/>
        <w:t>NER, cl. 11.60.5.</w:t>
      </w:r>
    </w:p>
  </w:footnote>
  <w:footnote w:id="13">
    <w:p w:rsidR="000132DF" w:rsidRDefault="000132DF" w:rsidP="008E0D17">
      <w:pPr>
        <w:pStyle w:val="FootnoteText"/>
      </w:pPr>
      <w:r>
        <w:rPr>
          <w:rStyle w:val="FootnoteReference"/>
        </w:rPr>
        <w:footnoteRef/>
      </w:r>
      <w:r>
        <w:t xml:space="preserve"> </w:t>
      </w:r>
      <w:r>
        <w:tab/>
        <w:t xml:space="preserve">Here, 'inefficient' past capex refers to three specific assessments (labelled the overspending, margin and capitalisation requirements) detailed in NER, cl. S6.2.2A. The details of our assessment approach for inefficient capex are set out in AER, </w:t>
      </w:r>
      <w:r w:rsidRPr="00965D78">
        <w:rPr>
          <w:rStyle w:val="Emphasis"/>
        </w:rPr>
        <w:t>Capital expenditure incentive guideline</w:t>
      </w:r>
      <w:r>
        <w:t>, November 2013, pp. 12–20.</w:t>
      </w:r>
    </w:p>
  </w:footnote>
  <w:footnote w:id="14">
    <w:p w:rsidR="000132DF" w:rsidRDefault="000132DF" w:rsidP="008E0D17">
      <w:pPr>
        <w:pStyle w:val="FootnoteText"/>
      </w:pPr>
      <w:r>
        <w:rPr>
          <w:rStyle w:val="FootnoteReference"/>
        </w:rPr>
        <w:footnoteRef/>
      </w:r>
      <w:r>
        <w:t xml:space="preserve"> </w:t>
      </w:r>
      <w:r>
        <w:tab/>
        <w:t xml:space="preserve">See </w:t>
      </w:r>
      <w:r w:rsidRPr="001A00C0">
        <w:t xml:space="preserve">AER, </w:t>
      </w:r>
      <w:r w:rsidRPr="001A00C0">
        <w:rPr>
          <w:rStyle w:val="Emphasis"/>
        </w:rPr>
        <w:t>Final decision, Victorian electricity distribution network service providers, Distribution determination 2011–15</w:t>
      </w:r>
      <w:r w:rsidRPr="001A00C0">
        <w:t>, October 2010, pp. 459–462.</w:t>
      </w:r>
    </w:p>
  </w:footnote>
  <w:footnote w:id="15">
    <w:p w:rsidR="000132DF" w:rsidRDefault="000132DF" w:rsidP="008E0D17">
      <w:pPr>
        <w:pStyle w:val="FootnoteText"/>
      </w:pPr>
      <w:r>
        <w:rPr>
          <w:rStyle w:val="FootnoteReference"/>
        </w:rPr>
        <w:footnoteRef/>
      </w:r>
      <w:r>
        <w:t xml:space="preserve"> </w:t>
      </w:r>
      <w:r>
        <w:tab/>
        <w:t>NER, cll. 6.5.7(a) and (c).</w:t>
      </w:r>
    </w:p>
  </w:footnote>
  <w:footnote w:id="16">
    <w:p w:rsidR="000132DF" w:rsidRDefault="000132DF" w:rsidP="00F20483">
      <w:pPr>
        <w:pStyle w:val="FootnoteText"/>
      </w:pPr>
      <w:r>
        <w:rPr>
          <w:rStyle w:val="FootnoteReference"/>
        </w:rPr>
        <w:footnoteRef/>
      </w:r>
      <w:r>
        <w:t xml:space="preserve"> </w:t>
      </w:r>
      <w:r>
        <w:tab/>
        <w:t xml:space="preserve">Although we describe this as one-year lag (as does CitiPower), the series is lagged by one year and three months. The additional three months reflects a practical delay to allow for the publication of CPI data and implementation in the annual pricing approval process. This additional three month delay is accepted by both parties and not considered contentious. </w:t>
      </w:r>
    </w:p>
  </w:footnote>
  <w:footnote w:id="17">
    <w:p w:rsidR="000132DF" w:rsidRDefault="000132DF" w:rsidP="00F20483">
      <w:pPr>
        <w:pStyle w:val="FootnoteText"/>
      </w:pPr>
      <w:r>
        <w:rPr>
          <w:rStyle w:val="FootnoteReference"/>
        </w:rPr>
        <w:footnoteRef/>
      </w:r>
      <w:r>
        <w:t xml:space="preserve"> </w:t>
      </w:r>
      <w:r>
        <w:tab/>
      </w:r>
      <w:r w:rsidRPr="00F54A21">
        <w:t xml:space="preserve">Under </w:t>
      </w:r>
      <w:r>
        <w:t>the partially lagged approach, two</w:t>
      </w:r>
      <w:r w:rsidRPr="00F54A21">
        <w:t xml:space="preserve"> aspects of</w:t>
      </w:r>
      <w:r>
        <w:t xml:space="preserve"> the</w:t>
      </w:r>
      <w:r w:rsidRPr="00F54A21">
        <w:t xml:space="preserve"> RFM indexation use a one-year lagged inflation series</w:t>
      </w:r>
      <w:r>
        <w:t xml:space="preserve"> (straight line depreciation and new capex)</w:t>
      </w:r>
      <w:r w:rsidRPr="00F54A21">
        <w:t xml:space="preserve">, but </w:t>
      </w:r>
      <w:r>
        <w:t>one aspect</w:t>
      </w:r>
      <w:r w:rsidRPr="00F54A21">
        <w:t xml:space="preserve"> use</w:t>
      </w:r>
      <w:r>
        <w:t>s</w:t>
      </w:r>
      <w:r w:rsidRPr="00F54A21">
        <w:t xml:space="preserve"> the actual (</w:t>
      </w:r>
      <w:r>
        <w:t>non</w:t>
      </w:r>
      <w:r w:rsidRPr="00F54A21">
        <w:t>-lagged) inflation outcomes</w:t>
      </w:r>
      <w:r>
        <w:t xml:space="preserve"> (opening RAB). Note that, as per the previous footnote, the actual (non-</w:t>
      </w:r>
      <w:r w:rsidRPr="00F54A21">
        <w:t>lagged) inflation series is lagged by three months</w:t>
      </w:r>
      <w:r>
        <w:t xml:space="preserve"> to allow for publication of CPI data and pricing implementation</w:t>
      </w:r>
      <w:r w:rsidRPr="00F54A21">
        <w:t>.</w:t>
      </w:r>
    </w:p>
  </w:footnote>
  <w:footnote w:id="18">
    <w:p w:rsidR="000132DF" w:rsidRDefault="000132DF" w:rsidP="00F20483">
      <w:pPr>
        <w:pStyle w:val="FootnoteText"/>
      </w:pPr>
      <w:r>
        <w:rPr>
          <w:rStyle w:val="FootnoteReference"/>
        </w:rPr>
        <w:footnoteRef/>
      </w:r>
      <w:r>
        <w:t xml:space="preserve"> </w:t>
      </w:r>
      <w:r>
        <w:tab/>
        <w:t xml:space="preserve">In our 2010 determination for CitiPower we applied the RAB roll forward from 2006 to 2010 in accordance with the ESC approach under transitional rules. AER, </w:t>
      </w:r>
      <w:r w:rsidRPr="009C6132">
        <w:rPr>
          <w:rStyle w:val="AERtextitalic"/>
        </w:rPr>
        <w:t>Final decision, Victorian electricity distribution network service providers, Distribution determination 2011–2015</w:t>
      </w:r>
      <w:r>
        <w:t xml:space="preserve">, </w:t>
      </w:r>
      <w:r w:rsidRPr="007D2907">
        <w:rPr>
          <w:rStyle w:val="Emphasis"/>
        </w:rPr>
        <w:t>attachment</w:t>
      </w:r>
      <w:r w:rsidRPr="00027520">
        <w:t xml:space="preserve"> </w:t>
      </w:r>
      <w:r>
        <w:rPr>
          <w:i/>
        </w:rPr>
        <w:t>‘</w:t>
      </w:r>
      <w:r w:rsidRPr="00027520">
        <w:rPr>
          <w:i/>
        </w:rPr>
        <w:t>CitiPower RFM Final Decision.xls</w:t>
      </w:r>
      <w:r>
        <w:rPr>
          <w:i/>
        </w:rPr>
        <w:t>’</w:t>
      </w:r>
      <w:r w:rsidRPr="00027520">
        <w:t xml:space="preserve"> </w:t>
      </w:r>
      <w:r>
        <w:t>, October 2010.</w:t>
      </w:r>
    </w:p>
  </w:footnote>
  <w:footnote w:id="19">
    <w:p w:rsidR="000132DF" w:rsidRDefault="000132DF" w:rsidP="00F20483">
      <w:pPr>
        <w:pStyle w:val="FootnoteText"/>
      </w:pPr>
      <w:r>
        <w:rPr>
          <w:rStyle w:val="FootnoteReference"/>
        </w:rPr>
        <w:footnoteRef/>
      </w:r>
      <w:r>
        <w:t xml:space="preserve"> </w:t>
      </w:r>
      <w:r>
        <w:tab/>
        <w:t xml:space="preserve">CitiPower, </w:t>
      </w:r>
      <w:r w:rsidRPr="00333053">
        <w:rPr>
          <w:rStyle w:val="AERtextitalic"/>
        </w:rPr>
        <w:t>Revised regulatory proposal</w:t>
      </w:r>
      <w:r>
        <w:t xml:space="preserve">, 6 January 2016, pp. 256–257; AusNet Services, </w:t>
      </w:r>
      <w:r w:rsidRPr="009C653F">
        <w:rPr>
          <w:rStyle w:val="AERtextitalic"/>
        </w:rPr>
        <w:t>Revised regulatory proposal</w:t>
      </w:r>
      <w:r>
        <w:t xml:space="preserve">, 6 January 2016, pp. 8-7 to 8-8; Jemena, </w:t>
      </w:r>
      <w:r>
        <w:rPr>
          <w:rStyle w:val="AERtextitalic"/>
        </w:rPr>
        <w:t>Revised r</w:t>
      </w:r>
      <w:r w:rsidRPr="00333053">
        <w:rPr>
          <w:rStyle w:val="AERtextitalic"/>
        </w:rPr>
        <w:t>egulatory proposal, Attachment 5-4 Asset base roll-forward and depreciation</w:t>
      </w:r>
      <w:r>
        <w:t xml:space="preserve">, 6 January 2016, pp. 2–3; Powercor, </w:t>
      </w:r>
      <w:r w:rsidRPr="00333053">
        <w:rPr>
          <w:rStyle w:val="AERtextitalic"/>
        </w:rPr>
        <w:t>Revised regulatory proposal</w:t>
      </w:r>
      <w:r>
        <w:t xml:space="preserve">, 6 January 2016, pp. 250–251; and United Energy, </w:t>
      </w:r>
      <w:r w:rsidRPr="00333053">
        <w:rPr>
          <w:rStyle w:val="AERtextitalic"/>
        </w:rPr>
        <w:t>Revised regulatory proposal</w:t>
      </w:r>
      <w:r>
        <w:t>, 6 January 2016, pp. 72–73.</w:t>
      </w:r>
    </w:p>
  </w:footnote>
  <w:footnote w:id="20">
    <w:p w:rsidR="000132DF" w:rsidRDefault="000132DF" w:rsidP="00F20483">
      <w:pPr>
        <w:pStyle w:val="FootnoteText"/>
      </w:pPr>
      <w:r>
        <w:rPr>
          <w:rStyle w:val="FootnoteReference"/>
        </w:rPr>
        <w:footnoteRef/>
      </w:r>
      <w:r>
        <w:t xml:space="preserve"> </w:t>
      </w:r>
      <w:r>
        <w:tab/>
        <w:t xml:space="preserve">CitiPower, </w:t>
      </w:r>
      <w:r w:rsidRPr="00333053">
        <w:rPr>
          <w:rStyle w:val="AERtextitalic"/>
        </w:rPr>
        <w:t>Revised regulatory proposal</w:t>
      </w:r>
      <w:r>
        <w:t>, 6 January 2016, pp. 254–258.</w:t>
      </w:r>
    </w:p>
  </w:footnote>
  <w:footnote w:id="21">
    <w:p w:rsidR="000132DF" w:rsidRDefault="000132DF" w:rsidP="00F20483">
      <w:pPr>
        <w:pStyle w:val="FootnoteText"/>
      </w:pPr>
      <w:r>
        <w:rPr>
          <w:rStyle w:val="FootnoteReference"/>
        </w:rPr>
        <w:footnoteRef/>
      </w:r>
      <w:r>
        <w:t xml:space="preserve"> </w:t>
      </w:r>
      <w:r>
        <w:tab/>
        <w:t xml:space="preserve">AusNet Services, </w:t>
      </w:r>
      <w:r w:rsidRPr="00107D90">
        <w:rPr>
          <w:rStyle w:val="AERtextitalic"/>
        </w:rPr>
        <w:t>Revised regulatory proposal</w:t>
      </w:r>
      <w:r>
        <w:t xml:space="preserve">, 6 January 2016, pp. 8-6 to 8-9; Jemena, </w:t>
      </w:r>
      <w:r>
        <w:rPr>
          <w:rStyle w:val="AERtextitalic"/>
        </w:rPr>
        <w:t>Revised regulatory proposal</w:t>
      </w:r>
      <w:r w:rsidRPr="00333053">
        <w:rPr>
          <w:rStyle w:val="AERtextitalic"/>
        </w:rPr>
        <w:t>, Attachment 5-4 Asset base roll-forward and depreciation</w:t>
      </w:r>
      <w:r>
        <w:t xml:space="preserve">, 6 January 2016, pp. 1–6; Powercor, </w:t>
      </w:r>
      <w:r w:rsidRPr="00333053">
        <w:rPr>
          <w:rStyle w:val="AERtextitalic"/>
        </w:rPr>
        <w:t>Revised regulatory proposal</w:t>
      </w:r>
      <w:r>
        <w:t xml:space="preserve">, 6 January 2016, pp. 248–252; and United Energy, </w:t>
      </w:r>
      <w:r w:rsidRPr="00333053">
        <w:rPr>
          <w:rStyle w:val="AERtextitalic"/>
        </w:rPr>
        <w:t>Revised regulatory proposal</w:t>
      </w:r>
      <w:r>
        <w:t>, 6 January 2016, pp. 72–73.</w:t>
      </w:r>
    </w:p>
  </w:footnote>
  <w:footnote w:id="22">
    <w:p w:rsidR="000132DF" w:rsidRDefault="000132DF" w:rsidP="00F20483">
      <w:pPr>
        <w:pStyle w:val="FootnoteText"/>
      </w:pPr>
      <w:r>
        <w:rPr>
          <w:rStyle w:val="FootnoteReference"/>
        </w:rPr>
        <w:footnoteRef/>
      </w:r>
      <w:r>
        <w:t xml:space="preserve"> </w:t>
      </w:r>
      <w:r>
        <w:tab/>
        <w:t xml:space="preserve">AER, </w:t>
      </w:r>
      <w:r w:rsidRPr="00107D90">
        <w:rPr>
          <w:rStyle w:val="AERtextitalic"/>
        </w:rPr>
        <w:t>Final decision, Amendment, Electricity transmission network service providers, Roll forward model (version 3)</w:t>
      </w:r>
      <w:r>
        <w:t>, 23 October 2015, p. 11–12.</w:t>
      </w:r>
    </w:p>
  </w:footnote>
  <w:footnote w:id="23">
    <w:p w:rsidR="000132DF" w:rsidRDefault="000132DF" w:rsidP="00F20483">
      <w:pPr>
        <w:pStyle w:val="FootnoteText"/>
      </w:pPr>
      <w:r>
        <w:rPr>
          <w:rStyle w:val="FootnoteReference"/>
        </w:rPr>
        <w:footnoteRef/>
      </w:r>
      <w:r>
        <w:t xml:space="preserve"> </w:t>
      </w:r>
      <w:r>
        <w:tab/>
        <w:t>NER, cl. 6.5.1(b)–(d).</w:t>
      </w:r>
    </w:p>
  </w:footnote>
  <w:footnote w:id="24">
    <w:p w:rsidR="000132DF" w:rsidRDefault="000132DF" w:rsidP="00F20483">
      <w:pPr>
        <w:pStyle w:val="FootnoteText"/>
      </w:pPr>
      <w:r>
        <w:rPr>
          <w:rStyle w:val="FootnoteReference"/>
        </w:rPr>
        <w:footnoteRef/>
      </w:r>
      <w:r>
        <w:t xml:space="preserve"> </w:t>
      </w:r>
      <w:r>
        <w:tab/>
        <w:t xml:space="preserve">We note that the AER's current approach had support from service providers when the current RFM template was developed in 2008. See the submissions available online at </w:t>
      </w:r>
      <w:r w:rsidRPr="00C113FF">
        <w:t>http://www.aer.gov.au/networks-pipelines/guidelines-schemes-models-reviews/roll-forward-model-2008/draft-decision</w:t>
      </w:r>
      <w:r>
        <w:t>.</w:t>
      </w:r>
    </w:p>
  </w:footnote>
  <w:footnote w:id="25">
    <w:p w:rsidR="000132DF" w:rsidRDefault="000132DF" w:rsidP="00F20483">
      <w:pPr>
        <w:pStyle w:val="FootnoteText"/>
      </w:pPr>
      <w:r>
        <w:rPr>
          <w:rStyle w:val="FootnoteReference"/>
        </w:rPr>
        <w:footnoteRef/>
      </w:r>
      <w:r>
        <w:t xml:space="preserve"> </w:t>
      </w:r>
      <w:r>
        <w:tab/>
      </w:r>
      <w:r w:rsidRPr="00C113FF">
        <w:t>Further, it is likely that there would not be a material difference in revenue outcomes</w:t>
      </w:r>
      <w:r>
        <w:t xml:space="preserve"> even if we were to change our final decision from all-lagged to the partially-lagged approach. This is because, when changing from one inflation series to another, we would give consideration to a transitional adjustment reflecting the impact of the change.</w:t>
      </w:r>
    </w:p>
  </w:footnote>
  <w:footnote w:id="26">
    <w:p w:rsidR="000132DF" w:rsidRDefault="000132DF" w:rsidP="00F20483">
      <w:pPr>
        <w:pStyle w:val="FootnoteText"/>
      </w:pPr>
      <w:r>
        <w:rPr>
          <w:rStyle w:val="FootnoteReference"/>
        </w:rPr>
        <w:footnoteRef/>
      </w:r>
      <w:r>
        <w:t xml:space="preserve"> </w:t>
      </w:r>
      <w:r>
        <w:tab/>
        <w:t xml:space="preserve">In contrast, CitiPower's initial proposal used lagged inputs but did not adjust the formulae. This meant it applied a two-year lag to some RFM components. CitiPower no longer proposes this approach. </w:t>
      </w:r>
    </w:p>
  </w:footnote>
  <w:footnote w:id="27">
    <w:p w:rsidR="000132DF" w:rsidRDefault="000132DF" w:rsidP="00457B65">
      <w:pPr>
        <w:pStyle w:val="FootnoteText"/>
      </w:pPr>
      <w:r>
        <w:rPr>
          <w:rStyle w:val="FootnoteReference"/>
        </w:rPr>
        <w:footnoteRef/>
      </w:r>
      <w:r>
        <w:t xml:space="preserve"> </w:t>
      </w:r>
      <w:r>
        <w:tab/>
        <w:t xml:space="preserve">CitiPower, </w:t>
      </w:r>
      <w:r w:rsidRPr="007A0E2B">
        <w:rPr>
          <w:rStyle w:val="AERtextitalic"/>
        </w:rPr>
        <w:t>RE: AER information request - CitiPower #033 and Powercor #034 – 2015 estimated capex update</w:t>
      </w:r>
      <w:r>
        <w:rPr>
          <w:rStyle w:val="AERtextitalic"/>
        </w:rPr>
        <w:t xml:space="preserve"> </w:t>
      </w:r>
      <w:r w:rsidRPr="00027520">
        <w:rPr>
          <w:rStyle w:val="AERtextitalic"/>
          <w:i w:val="0"/>
        </w:rPr>
        <w:t>[email to AER]</w:t>
      </w:r>
      <w:r>
        <w:t>, 3 March 2016.</w:t>
      </w:r>
    </w:p>
  </w:footnote>
  <w:footnote w:id="28">
    <w:p w:rsidR="000132DF" w:rsidRDefault="000132DF" w:rsidP="00457B65">
      <w:pPr>
        <w:pStyle w:val="FootnoteText"/>
      </w:pPr>
      <w:r>
        <w:rPr>
          <w:rStyle w:val="FootnoteReference"/>
        </w:rPr>
        <w:footnoteRef/>
      </w:r>
      <w:r>
        <w:t xml:space="preserve"> </w:t>
      </w:r>
      <w:r>
        <w:tab/>
      </w:r>
      <w:r w:rsidRPr="00CF0900">
        <w:t xml:space="preserve">This amount is </w:t>
      </w:r>
      <w:r>
        <w:t xml:space="preserve">adjusted for the movement in capitalised provisions and </w:t>
      </w:r>
      <w:r w:rsidRPr="00CF0900">
        <w:t>before adjusting for the half-WACC to account for the timing assumption in the PTRM.</w:t>
      </w:r>
    </w:p>
  </w:footnote>
  <w:footnote w:id="29">
    <w:p w:rsidR="000132DF" w:rsidRDefault="000132DF" w:rsidP="00457B65">
      <w:pPr>
        <w:pStyle w:val="FootnoteText"/>
      </w:pPr>
      <w:r>
        <w:rPr>
          <w:rStyle w:val="FootnoteReference"/>
        </w:rPr>
        <w:footnoteRef/>
      </w:r>
      <w:r>
        <w:t xml:space="preserve"> </w:t>
      </w:r>
      <w:r>
        <w:tab/>
      </w:r>
      <w:r w:rsidRPr="00CF0900">
        <w:t>NER, cl. S6.2.1(e)(3).</w:t>
      </w:r>
    </w:p>
  </w:footnote>
  <w:footnote w:id="30">
    <w:p w:rsidR="000132DF" w:rsidRDefault="000132DF" w:rsidP="00457B65">
      <w:pPr>
        <w:pStyle w:val="FootnoteText"/>
      </w:pPr>
      <w:r>
        <w:rPr>
          <w:rStyle w:val="FootnoteReference"/>
        </w:rPr>
        <w:footnoteRef/>
      </w:r>
      <w:r>
        <w:t xml:space="preserve"> </w:t>
      </w:r>
      <w:r>
        <w:tab/>
      </w:r>
      <w:r w:rsidRPr="00923AF2">
        <w:t xml:space="preserve">CitiPower, </w:t>
      </w:r>
      <w:r w:rsidRPr="00923AF2">
        <w:rPr>
          <w:rStyle w:val="AERtextitalic"/>
        </w:rPr>
        <w:t>Revised regulatory proposal</w:t>
      </w:r>
      <w:r w:rsidRPr="00923AF2">
        <w:t>, January 2016, p.</w:t>
      </w:r>
      <w:r>
        <w:t xml:space="preserve"> 245</w:t>
      </w:r>
      <w:r w:rsidRPr="00923AF2">
        <w:t>.</w:t>
      </w:r>
    </w:p>
  </w:footnote>
  <w:footnote w:id="31">
    <w:p w:rsidR="000132DF" w:rsidRDefault="000132DF" w:rsidP="00457B65">
      <w:pPr>
        <w:pStyle w:val="FootnoteText"/>
      </w:pPr>
      <w:r>
        <w:rPr>
          <w:rStyle w:val="FootnoteReference"/>
        </w:rPr>
        <w:footnoteRef/>
      </w:r>
      <w:r>
        <w:t xml:space="preserve"> </w:t>
      </w:r>
      <w:r>
        <w:tab/>
        <w:t xml:space="preserve">AER, </w:t>
      </w:r>
      <w:r w:rsidRPr="002D64E3">
        <w:rPr>
          <w:rStyle w:val="AERtextitalic"/>
        </w:rPr>
        <w:t xml:space="preserve">Preliminary decision </w:t>
      </w:r>
      <w:r>
        <w:rPr>
          <w:rStyle w:val="AERtextitalic"/>
        </w:rPr>
        <w:t xml:space="preserve">CitiPower </w:t>
      </w:r>
      <w:r w:rsidRPr="002D64E3">
        <w:rPr>
          <w:rStyle w:val="AERtextitalic"/>
        </w:rPr>
        <w:t>distribution determination - Attachment 2 - Regulatory asset base</w:t>
      </w:r>
      <w:r>
        <w:t xml:space="preserve">, </w:t>
      </w:r>
      <w:r w:rsidRPr="002D64E3">
        <w:t>October 2015</w:t>
      </w:r>
      <w:r w:rsidRPr="008F2690">
        <w:rPr>
          <w:rStyle w:val="AERtextitalic"/>
        </w:rPr>
        <w:t>, p. 1</w:t>
      </w:r>
      <w:r>
        <w:rPr>
          <w:rStyle w:val="AERtextitalic"/>
        </w:rPr>
        <w:t xml:space="preserve">7; </w:t>
      </w:r>
      <w:r>
        <w:t>CitiPower</w:t>
      </w:r>
      <w:r w:rsidRPr="009E311A">
        <w:t xml:space="preserve">, </w:t>
      </w:r>
      <w:r w:rsidRPr="00747409">
        <w:rPr>
          <w:rStyle w:val="AERtextitalic"/>
        </w:rPr>
        <w:t>Regulatory proposal</w:t>
      </w:r>
      <w:r w:rsidRPr="00747409">
        <w:t>, April 2015,  p. 185</w:t>
      </w:r>
      <w:r>
        <w:t xml:space="preserve">; AER, </w:t>
      </w:r>
      <w:r w:rsidRPr="00BC2C2F">
        <w:rPr>
          <w:rStyle w:val="AERtextitalic"/>
        </w:rPr>
        <w:t>Final Framework and Approach for the Victorian Electricity Distributors</w:t>
      </w:r>
      <w:r>
        <w:t>,</w:t>
      </w:r>
      <w:r w:rsidRPr="00BC2C2F">
        <w:t xml:space="preserve"> October 2014</w:t>
      </w:r>
      <w:r>
        <w:t>, pp. 121–126.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2DF" w:rsidRDefault="000132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E65AAAFE"/>
    <w:lvl w:ilvl="0">
      <w:start w:val="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jvd3/3fZlHc9ZTR9JGiLH8RSH//gmeJi1oosye0Ub5Q=" w:saltValue="X1IlLRZkZRSAFv1ieG3HBA==" w:algorithmName="SHA-256"/>
  <w:defaultTabStop w:val="340"/>
  <w:characterSpacingControl w:val="doNotCompress"/>
  <w:hdrShapeDefaults>
    <o:shapedefaults v:ext="edit" spidmax="333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6460\AER15 4380  AER - Final decision AusNet distribution determination - Attachment 2 - Regulatory asset base - April 2016.DOCX"/>
  </w:docVars>
  <w:rsids>
    <w:rsidRoot w:val="00961A4A"/>
    <w:rsid w:val="000051DC"/>
    <w:rsid w:val="0000658F"/>
    <w:rsid w:val="000132DF"/>
    <w:rsid w:val="0001507B"/>
    <w:rsid w:val="00020016"/>
    <w:rsid w:val="00021202"/>
    <w:rsid w:val="00021C2B"/>
    <w:rsid w:val="0002498B"/>
    <w:rsid w:val="0002517F"/>
    <w:rsid w:val="00026187"/>
    <w:rsid w:val="000266FC"/>
    <w:rsid w:val="000273B3"/>
    <w:rsid w:val="00027520"/>
    <w:rsid w:val="00027E2D"/>
    <w:rsid w:val="0003578C"/>
    <w:rsid w:val="00044DA3"/>
    <w:rsid w:val="000474DF"/>
    <w:rsid w:val="00055A67"/>
    <w:rsid w:val="00063247"/>
    <w:rsid w:val="00063DD0"/>
    <w:rsid w:val="0006624E"/>
    <w:rsid w:val="00070F9F"/>
    <w:rsid w:val="0007137B"/>
    <w:rsid w:val="00073B74"/>
    <w:rsid w:val="00074622"/>
    <w:rsid w:val="00076416"/>
    <w:rsid w:val="00077383"/>
    <w:rsid w:val="000805A8"/>
    <w:rsid w:val="0008190B"/>
    <w:rsid w:val="000836D9"/>
    <w:rsid w:val="00085663"/>
    <w:rsid w:val="00085EBF"/>
    <w:rsid w:val="00091B15"/>
    <w:rsid w:val="00095186"/>
    <w:rsid w:val="000A0E71"/>
    <w:rsid w:val="000A1C0C"/>
    <w:rsid w:val="000A3020"/>
    <w:rsid w:val="000A4840"/>
    <w:rsid w:val="000A62C1"/>
    <w:rsid w:val="000A6A79"/>
    <w:rsid w:val="000A6C7B"/>
    <w:rsid w:val="000B0A7B"/>
    <w:rsid w:val="000B1173"/>
    <w:rsid w:val="000B5827"/>
    <w:rsid w:val="000B7037"/>
    <w:rsid w:val="000C02D1"/>
    <w:rsid w:val="000C0C63"/>
    <w:rsid w:val="000C2B40"/>
    <w:rsid w:val="000C5255"/>
    <w:rsid w:val="000D07A7"/>
    <w:rsid w:val="000D122C"/>
    <w:rsid w:val="000D75B0"/>
    <w:rsid w:val="000E1819"/>
    <w:rsid w:val="000E3517"/>
    <w:rsid w:val="000E4821"/>
    <w:rsid w:val="000E4AA9"/>
    <w:rsid w:val="000E6C72"/>
    <w:rsid w:val="000E7F39"/>
    <w:rsid w:val="000F0F0A"/>
    <w:rsid w:val="000F65B0"/>
    <w:rsid w:val="00100EA2"/>
    <w:rsid w:val="00101AA1"/>
    <w:rsid w:val="00102338"/>
    <w:rsid w:val="00104566"/>
    <w:rsid w:val="00104FF6"/>
    <w:rsid w:val="001114AA"/>
    <w:rsid w:val="00115743"/>
    <w:rsid w:val="001159D5"/>
    <w:rsid w:val="00116A2A"/>
    <w:rsid w:val="00116EB2"/>
    <w:rsid w:val="0012132C"/>
    <w:rsid w:val="00124609"/>
    <w:rsid w:val="00126A4C"/>
    <w:rsid w:val="001270E3"/>
    <w:rsid w:val="00132D43"/>
    <w:rsid w:val="00133366"/>
    <w:rsid w:val="00133F47"/>
    <w:rsid w:val="00134029"/>
    <w:rsid w:val="00142C2D"/>
    <w:rsid w:val="00144C96"/>
    <w:rsid w:val="0014573B"/>
    <w:rsid w:val="001463A3"/>
    <w:rsid w:val="0015073A"/>
    <w:rsid w:val="001573E4"/>
    <w:rsid w:val="00160756"/>
    <w:rsid w:val="00161DC8"/>
    <w:rsid w:val="00166760"/>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0BAC"/>
    <w:rsid w:val="001926A4"/>
    <w:rsid w:val="00192AD5"/>
    <w:rsid w:val="00194597"/>
    <w:rsid w:val="00194E00"/>
    <w:rsid w:val="0019745E"/>
    <w:rsid w:val="00197B16"/>
    <w:rsid w:val="001A530D"/>
    <w:rsid w:val="001A5FB3"/>
    <w:rsid w:val="001A7155"/>
    <w:rsid w:val="001B45A0"/>
    <w:rsid w:val="001B680E"/>
    <w:rsid w:val="001D055E"/>
    <w:rsid w:val="001E1B3F"/>
    <w:rsid w:val="001E7161"/>
    <w:rsid w:val="001F05A4"/>
    <w:rsid w:val="001F3D4A"/>
    <w:rsid w:val="001F492E"/>
    <w:rsid w:val="001F64EF"/>
    <w:rsid w:val="001F6DA3"/>
    <w:rsid w:val="002010BC"/>
    <w:rsid w:val="002016E7"/>
    <w:rsid w:val="00202E03"/>
    <w:rsid w:val="002033B9"/>
    <w:rsid w:val="002043D0"/>
    <w:rsid w:val="0020492C"/>
    <w:rsid w:val="00204EC9"/>
    <w:rsid w:val="00206505"/>
    <w:rsid w:val="0020743F"/>
    <w:rsid w:val="00216C93"/>
    <w:rsid w:val="00223051"/>
    <w:rsid w:val="00224DB9"/>
    <w:rsid w:val="0022569A"/>
    <w:rsid w:val="0023005C"/>
    <w:rsid w:val="00231012"/>
    <w:rsid w:val="00233775"/>
    <w:rsid w:val="0023414B"/>
    <w:rsid w:val="00243635"/>
    <w:rsid w:val="00244666"/>
    <w:rsid w:val="00247079"/>
    <w:rsid w:val="00251745"/>
    <w:rsid w:val="002552BA"/>
    <w:rsid w:val="00260016"/>
    <w:rsid w:val="00263AC0"/>
    <w:rsid w:val="00264264"/>
    <w:rsid w:val="0026689B"/>
    <w:rsid w:val="0026772D"/>
    <w:rsid w:val="002730B2"/>
    <w:rsid w:val="00274C7E"/>
    <w:rsid w:val="002777CF"/>
    <w:rsid w:val="002810F2"/>
    <w:rsid w:val="00286874"/>
    <w:rsid w:val="002877A3"/>
    <w:rsid w:val="00290C63"/>
    <w:rsid w:val="00290F66"/>
    <w:rsid w:val="00291A99"/>
    <w:rsid w:val="00293B6D"/>
    <w:rsid w:val="00294B08"/>
    <w:rsid w:val="0029518C"/>
    <w:rsid w:val="002963DD"/>
    <w:rsid w:val="00296B65"/>
    <w:rsid w:val="002A7DEF"/>
    <w:rsid w:val="002B0696"/>
    <w:rsid w:val="002B4688"/>
    <w:rsid w:val="002C0222"/>
    <w:rsid w:val="002C1499"/>
    <w:rsid w:val="002C233C"/>
    <w:rsid w:val="002C517B"/>
    <w:rsid w:val="002D3509"/>
    <w:rsid w:val="002D5457"/>
    <w:rsid w:val="002D72E8"/>
    <w:rsid w:val="002D79AD"/>
    <w:rsid w:val="002E268F"/>
    <w:rsid w:val="002E78DD"/>
    <w:rsid w:val="002E7B22"/>
    <w:rsid w:val="002F12EC"/>
    <w:rsid w:val="002F7986"/>
    <w:rsid w:val="00301B40"/>
    <w:rsid w:val="00301C82"/>
    <w:rsid w:val="003029EE"/>
    <w:rsid w:val="00304D38"/>
    <w:rsid w:val="00305CC8"/>
    <w:rsid w:val="00307F6D"/>
    <w:rsid w:val="00312110"/>
    <w:rsid w:val="00314D83"/>
    <w:rsid w:val="0031571F"/>
    <w:rsid w:val="003177A2"/>
    <w:rsid w:val="00317E02"/>
    <w:rsid w:val="003271B5"/>
    <w:rsid w:val="00327A1E"/>
    <w:rsid w:val="00327E28"/>
    <w:rsid w:val="00331264"/>
    <w:rsid w:val="00334C8D"/>
    <w:rsid w:val="003378BD"/>
    <w:rsid w:val="003424EA"/>
    <w:rsid w:val="00342C2F"/>
    <w:rsid w:val="003436EB"/>
    <w:rsid w:val="00343A18"/>
    <w:rsid w:val="00345744"/>
    <w:rsid w:val="003518B3"/>
    <w:rsid w:val="00353E79"/>
    <w:rsid w:val="00364EA0"/>
    <w:rsid w:val="00366981"/>
    <w:rsid w:val="00370678"/>
    <w:rsid w:val="0037214E"/>
    <w:rsid w:val="00372C85"/>
    <w:rsid w:val="00373845"/>
    <w:rsid w:val="003744E3"/>
    <w:rsid w:val="00375F71"/>
    <w:rsid w:val="00376219"/>
    <w:rsid w:val="0037663E"/>
    <w:rsid w:val="0037699E"/>
    <w:rsid w:val="00377A29"/>
    <w:rsid w:val="00377C69"/>
    <w:rsid w:val="0038415D"/>
    <w:rsid w:val="0038461C"/>
    <w:rsid w:val="003846F1"/>
    <w:rsid w:val="00390650"/>
    <w:rsid w:val="00390E6A"/>
    <w:rsid w:val="00393ABE"/>
    <w:rsid w:val="00395DB6"/>
    <w:rsid w:val="00397398"/>
    <w:rsid w:val="003A371A"/>
    <w:rsid w:val="003A59CD"/>
    <w:rsid w:val="003A6B00"/>
    <w:rsid w:val="003B30B2"/>
    <w:rsid w:val="003B484F"/>
    <w:rsid w:val="003B504B"/>
    <w:rsid w:val="003B5179"/>
    <w:rsid w:val="003B685C"/>
    <w:rsid w:val="003B7FBA"/>
    <w:rsid w:val="003C5A87"/>
    <w:rsid w:val="003C6537"/>
    <w:rsid w:val="003C6A13"/>
    <w:rsid w:val="003C764A"/>
    <w:rsid w:val="003C78BA"/>
    <w:rsid w:val="003D41F1"/>
    <w:rsid w:val="003D42AB"/>
    <w:rsid w:val="003D5B94"/>
    <w:rsid w:val="003E03DD"/>
    <w:rsid w:val="003E0D3A"/>
    <w:rsid w:val="003E3AAB"/>
    <w:rsid w:val="003E7FE9"/>
    <w:rsid w:val="003F07D4"/>
    <w:rsid w:val="003F0C94"/>
    <w:rsid w:val="003F174D"/>
    <w:rsid w:val="003F2329"/>
    <w:rsid w:val="003F2346"/>
    <w:rsid w:val="00400FD2"/>
    <w:rsid w:val="00403711"/>
    <w:rsid w:val="00403720"/>
    <w:rsid w:val="00404C52"/>
    <w:rsid w:val="004156D5"/>
    <w:rsid w:val="00415BA9"/>
    <w:rsid w:val="00415F31"/>
    <w:rsid w:val="0041691D"/>
    <w:rsid w:val="0042000C"/>
    <w:rsid w:val="0042090E"/>
    <w:rsid w:val="00421F27"/>
    <w:rsid w:val="004238D8"/>
    <w:rsid w:val="00423A77"/>
    <w:rsid w:val="004324F4"/>
    <w:rsid w:val="00434544"/>
    <w:rsid w:val="00441A06"/>
    <w:rsid w:val="00441F4E"/>
    <w:rsid w:val="00445D43"/>
    <w:rsid w:val="00446CD2"/>
    <w:rsid w:val="004523B2"/>
    <w:rsid w:val="00454881"/>
    <w:rsid w:val="0045777E"/>
    <w:rsid w:val="00457B65"/>
    <w:rsid w:val="00464019"/>
    <w:rsid w:val="00465258"/>
    <w:rsid w:val="00471BC6"/>
    <w:rsid w:val="00476221"/>
    <w:rsid w:val="004766F5"/>
    <w:rsid w:val="00480B4B"/>
    <w:rsid w:val="004838D8"/>
    <w:rsid w:val="00485DC4"/>
    <w:rsid w:val="00494D04"/>
    <w:rsid w:val="004A40BA"/>
    <w:rsid w:val="004A43D1"/>
    <w:rsid w:val="004A492B"/>
    <w:rsid w:val="004B1ABF"/>
    <w:rsid w:val="004B4412"/>
    <w:rsid w:val="004B6269"/>
    <w:rsid w:val="004C348C"/>
    <w:rsid w:val="004C462E"/>
    <w:rsid w:val="004C6CA3"/>
    <w:rsid w:val="004C7F5E"/>
    <w:rsid w:val="004D343C"/>
    <w:rsid w:val="004D372A"/>
    <w:rsid w:val="004D55BA"/>
    <w:rsid w:val="004D720C"/>
    <w:rsid w:val="004E0FA7"/>
    <w:rsid w:val="004E22EC"/>
    <w:rsid w:val="004F0BFA"/>
    <w:rsid w:val="004F13DA"/>
    <w:rsid w:val="004F4D69"/>
    <w:rsid w:val="004F67B1"/>
    <w:rsid w:val="004F6883"/>
    <w:rsid w:val="004F6A0E"/>
    <w:rsid w:val="004F6BB3"/>
    <w:rsid w:val="005009CD"/>
    <w:rsid w:val="00504E5F"/>
    <w:rsid w:val="0051337E"/>
    <w:rsid w:val="00513FA7"/>
    <w:rsid w:val="0051768F"/>
    <w:rsid w:val="00522DC2"/>
    <w:rsid w:val="00523313"/>
    <w:rsid w:val="00530128"/>
    <w:rsid w:val="00532467"/>
    <w:rsid w:val="005332A9"/>
    <w:rsid w:val="0053603C"/>
    <w:rsid w:val="00537871"/>
    <w:rsid w:val="00542FE9"/>
    <w:rsid w:val="00544598"/>
    <w:rsid w:val="00544C8D"/>
    <w:rsid w:val="00544DFD"/>
    <w:rsid w:val="00550926"/>
    <w:rsid w:val="00556B1E"/>
    <w:rsid w:val="00564A4D"/>
    <w:rsid w:val="0056598C"/>
    <w:rsid w:val="00566E0B"/>
    <w:rsid w:val="00567BA5"/>
    <w:rsid w:val="00571B35"/>
    <w:rsid w:val="00571B43"/>
    <w:rsid w:val="00571D57"/>
    <w:rsid w:val="00573A3B"/>
    <w:rsid w:val="00577716"/>
    <w:rsid w:val="00577A09"/>
    <w:rsid w:val="005829C2"/>
    <w:rsid w:val="00584D8F"/>
    <w:rsid w:val="00587A18"/>
    <w:rsid w:val="00587ADE"/>
    <w:rsid w:val="005A0BEC"/>
    <w:rsid w:val="005A404D"/>
    <w:rsid w:val="005B1E3C"/>
    <w:rsid w:val="005B25D2"/>
    <w:rsid w:val="005B6518"/>
    <w:rsid w:val="005B704A"/>
    <w:rsid w:val="005B72D7"/>
    <w:rsid w:val="005C045F"/>
    <w:rsid w:val="005C16FE"/>
    <w:rsid w:val="005C1FAB"/>
    <w:rsid w:val="005C21A4"/>
    <w:rsid w:val="005C26CC"/>
    <w:rsid w:val="005C4463"/>
    <w:rsid w:val="005D3B29"/>
    <w:rsid w:val="005D3D88"/>
    <w:rsid w:val="005D4692"/>
    <w:rsid w:val="005D48C4"/>
    <w:rsid w:val="005D6208"/>
    <w:rsid w:val="005D6366"/>
    <w:rsid w:val="005D7BA2"/>
    <w:rsid w:val="005E36C2"/>
    <w:rsid w:val="005E4AF4"/>
    <w:rsid w:val="005F387E"/>
    <w:rsid w:val="005F73CF"/>
    <w:rsid w:val="00601E0B"/>
    <w:rsid w:val="0060258B"/>
    <w:rsid w:val="00610EF9"/>
    <w:rsid w:val="00612F4F"/>
    <w:rsid w:val="00614EA0"/>
    <w:rsid w:val="00615C6B"/>
    <w:rsid w:val="00617D4C"/>
    <w:rsid w:val="00621DCE"/>
    <w:rsid w:val="00621FC5"/>
    <w:rsid w:val="00624F2C"/>
    <w:rsid w:val="0062656E"/>
    <w:rsid w:val="00632D6D"/>
    <w:rsid w:val="00636569"/>
    <w:rsid w:val="00636EF9"/>
    <w:rsid w:val="00642C3E"/>
    <w:rsid w:val="00644A01"/>
    <w:rsid w:val="00651E2D"/>
    <w:rsid w:val="00652324"/>
    <w:rsid w:val="006577FB"/>
    <w:rsid w:val="0066104A"/>
    <w:rsid w:val="00663066"/>
    <w:rsid w:val="00663DAD"/>
    <w:rsid w:val="00664206"/>
    <w:rsid w:val="006649E7"/>
    <w:rsid w:val="00666634"/>
    <w:rsid w:val="00671692"/>
    <w:rsid w:val="00675E20"/>
    <w:rsid w:val="00676679"/>
    <w:rsid w:val="00683C89"/>
    <w:rsid w:val="00691B53"/>
    <w:rsid w:val="00697D0B"/>
    <w:rsid w:val="006A12BA"/>
    <w:rsid w:val="006A4739"/>
    <w:rsid w:val="006A66A1"/>
    <w:rsid w:val="006B032D"/>
    <w:rsid w:val="006B2395"/>
    <w:rsid w:val="006B40AC"/>
    <w:rsid w:val="006B4CF9"/>
    <w:rsid w:val="006B797C"/>
    <w:rsid w:val="006B7AC8"/>
    <w:rsid w:val="006B7ECC"/>
    <w:rsid w:val="006C1736"/>
    <w:rsid w:val="006C329B"/>
    <w:rsid w:val="006C4975"/>
    <w:rsid w:val="006C6303"/>
    <w:rsid w:val="006D550F"/>
    <w:rsid w:val="006D6146"/>
    <w:rsid w:val="006D7F7E"/>
    <w:rsid w:val="006E0CFF"/>
    <w:rsid w:val="006F0D92"/>
    <w:rsid w:val="006F267D"/>
    <w:rsid w:val="0070011E"/>
    <w:rsid w:val="00701CAB"/>
    <w:rsid w:val="007023BB"/>
    <w:rsid w:val="00704DD7"/>
    <w:rsid w:val="00707563"/>
    <w:rsid w:val="00715F61"/>
    <w:rsid w:val="007216AD"/>
    <w:rsid w:val="00722132"/>
    <w:rsid w:val="007228F7"/>
    <w:rsid w:val="0072348C"/>
    <w:rsid w:val="00724A37"/>
    <w:rsid w:val="007303C3"/>
    <w:rsid w:val="00731188"/>
    <w:rsid w:val="007356CC"/>
    <w:rsid w:val="007368E6"/>
    <w:rsid w:val="007375DF"/>
    <w:rsid w:val="007429BE"/>
    <w:rsid w:val="00743223"/>
    <w:rsid w:val="00743349"/>
    <w:rsid w:val="0074403A"/>
    <w:rsid w:val="00746E01"/>
    <w:rsid w:val="00751DCD"/>
    <w:rsid w:val="00755084"/>
    <w:rsid w:val="00757364"/>
    <w:rsid w:val="00757A77"/>
    <w:rsid w:val="00757BDF"/>
    <w:rsid w:val="007609D0"/>
    <w:rsid w:val="00761454"/>
    <w:rsid w:val="0076193D"/>
    <w:rsid w:val="00763E5D"/>
    <w:rsid w:val="00767740"/>
    <w:rsid w:val="00767B5E"/>
    <w:rsid w:val="00770064"/>
    <w:rsid w:val="00775460"/>
    <w:rsid w:val="00777EE6"/>
    <w:rsid w:val="00782EEA"/>
    <w:rsid w:val="00786CA4"/>
    <w:rsid w:val="007909B4"/>
    <w:rsid w:val="00790E86"/>
    <w:rsid w:val="007949D7"/>
    <w:rsid w:val="0079769A"/>
    <w:rsid w:val="007A0143"/>
    <w:rsid w:val="007A34C2"/>
    <w:rsid w:val="007A396C"/>
    <w:rsid w:val="007A4B02"/>
    <w:rsid w:val="007B0BE3"/>
    <w:rsid w:val="007B1816"/>
    <w:rsid w:val="007B186E"/>
    <w:rsid w:val="007B25DC"/>
    <w:rsid w:val="007B2C72"/>
    <w:rsid w:val="007B3789"/>
    <w:rsid w:val="007B4FF7"/>
    <w:rsid w:val="007B651F"/>
    <w:rsid w:val="007B7BB5"/>
    <w:rsid w:val="007C1C53"/>
    <w:rsid w:val="007C284C"/>
    <w:rsid w:val="007C4B82"/>
    <w:rsid w:val="007C74BB"/>
    <w:rsid w:val="007C7F64"/>
    <w:rsid w:val="007D0A95"/>
    <w:rsid w:val="007D0EB5"/>
    <w:rsid w:val="007D2907"/>
    <w:rsid w:val="007D456E"/>
    <w:rsid w:val="007D5837"/>
    <w:rsid w:val="007D7AB7"/>
    <w:rsid w:val="007E4904"/>
    <w:rsid w:val="007E4CB5"/>
    <w:rsid w:val="007E4DAE"/>
    <w:rsid w:val="007F066B"/>
    <w:rsid w:val="007F4EAB"/>
    <w:rsid w:val="007F5B16"/>
    <w:rsid w:val="007F7C9D"/>
    <w:rsid w:val="008033C4"/>
    <w:rsid w:val="00806731"/>
    <w:rsid w:val="00806B9B"/>
    <w:rsid w:val="00806C88"/>
    <w:rsid w:val="0081034E"/>
    <w:rsid w:val="00810806"/>
    <w:rsid w:val="00815882"/>
    <w:rsid w:val="00820454"/>
    <w:rsid w:val="00822AC7"/>
    <w:rsid w:val="00822E86"/>
    <w:rsid w:val="008344F6"/>
    <w:rsid w:val="00834DF7"/>
    <w:rsid w:val="0083510F"/>
    <w:rsid w:val="00835468"/>
    <w:rsid w:val="00837BF3"/>
    <w:rsid w:val="008415DE"/>
    <w:rsid w:val="008420DE"/>
    <w:rsid w:val="00845865"/>
    <w:rsid w:val="0084799B"/>
    <w:rsid w:val="00850C90"/>
    <w:rsid w:val="00851209"/>
    <w:rsid w:val="0085171F"/>
    <w:rsid w:val="00856A10"/>
    <w:rsid w:val="008658A1"/>
    <w:rsid w:val="0086716A"/>
    <w:rsid w:val="00870613"/>
    <w:rsid w:val="0087380F"/>
    <w:rsid w:val="00875917"/>
    <w:rsid w:val="0087648F"/>
    <w:rsid w:val="00876612"/>
    <w:rsid w:val="0087718C"/>
    <w:rsid w:val="00880657"/>
    <w:rsid w:val="00882BB1"/>
    <w:rsid w:val="008837AC"/>
    <w:rsid w:val="008909DC"/>
    <w:rsid w:val="00894255"/>
    <w:rsid w:val="008945AD"/>
    <w:rsid w:val="00896D92"/>
    <w:rsid w:val="008A0645"/>
    <w:rsid w:val="008A1C02"/>
    <w:rsid w:val="008A370D"/>
    <w:rsid w:val="008A587D"/>
    <w:rsid w:val="008B1646"/>
    <w:rsid w:val="008B16B0"/>
    <w:rsid w:val="008B1BD5"/>
    <w:rsid w:val="008B35CD"/>
    <w:rsid w:val="008B4093"/>
    <w:rsid w:val="008B5FCC"/>
    <w:rsid w:val="008B6A2F"/>
    <w:rsid w:val="008B7F36"/>
    <w:rsid w:val="008C357F"/>
    <w:rsid w:val="008C4BE4"/>
    <w:rsid w:val="008C5486"/>
    <w:rsid w:val="008D1661"/>
    <w:rsid w:val="008D27E0"/>
    <w:rsid w:val="008D5F90"/>
    <w:rsid w:val="008D6800"/>
    <w:rsid w:val="008D72F1"/>
    <w:rsid w:val="008E0D17"/>
    <w:rsid w:val="008E1691"/>
    <w:rsid w:val="008E4089"/>
    <w:rsid w:val="008E5AFF"/>
    <w:rsid w:val="008E7031"/>
    <w:rsid w:val="008E77DE"/>
    <w:rsid w:val="008F040C"/>
    <w:rsid w:val="008F07A3"/>
    <w:rsid w:val="008F2690"/>
    <w:rsid w:val="008F3322"/>
    <w:rsid w:val="008F3519"/>
    <w:rsid w:val="008F3A0D"/>
    <w:rsid w:val="008F78AD"/>
    <w:rsid w:val="009001B6"/>
    <w:rsid w:val="00900E1B"/>
    <w:rsid w:val="0090131F"/>
    <w:rsid w:val="00907683"/>
    <w:rsid w:val="0091091B"/>
    <w:rsid w:val="009132B7"/>
    <w:rsid w:val="00916A2C"/>
    <w:rsid w:val="009233EE"/>
    <w:rsid w:val="00923AF2"/>
    <w:rsid w:val="00930B1A"/>
    <w:rsid w:val="00932612"/>
    <w:rsid w:val="009327DC"/>
    <w:rsid w:val="009338D9"/>
    <w:rsid w:val="009339BD"/>
    <w:rsid w:val="009356CF"/>
    <w:rsid w:val="00935AD1"/>
    <w:rsid w:val="00945E53"/>
    <w:rsid w:val="009460AA"/>
    <w:rsid w:val="009505A8"/>
    <w:rsid w:val="00951978"/>
    <w:rsid w:val="00952C8B"/>
    <w:rsid w:val="00961A4A"/>
    <w:rsid w:val="009661DE"/>
    <w:rsid w:val="009719B1"/>
    <w:rsid w:val="00972C7C"/>
    <w:rsid w:val="009776F4"/>
    <w:rsid w:val="00982DA2"/>
    <w:rsid w:val="00983C25"/>
    <w:rsid w:val="0098466D"/>
    <w:rsid w:val="009856B7"/>
    <w:rsid w:val="009859D6"/>
    <w:rsid w:val="00985C86"/>
    <w:rsid w:val="009A5FC3"/>
    <w:rsid w:val="009B2F57"/>
    <w:rsid w:val="009B6F84"/>
    <w:rsid w:val="009B74B0"/>
    <w:rsid w:val="009C0152"/>
    <w:rsid w:val="009C1A74"/>
    <w:rsid w:val="009C3D42"/>
    <w:rsid w:val="009C491E"/>
    <w:rsid w:val="009D0DF1"/>
    <w:rsid w:val="009D22D6"/>
    <w:rsid w:val="009D2C84"/>
    <w:rsid w:val="009D3906"/>
    <w:rsid w:val="009D5E35"/>
    <w:rsid w:val="009D6B46"/>
    <w:rsid w:val="009E35B6"/>
    <w:rsid w:val="009E5ABC"/>
    <w:rsid w:val="009F3BBA"/>
    <w:rsid w:val="009F43B4"/>
    <w:rsid w:val="009F4940"/>
    <w:rsid w:val="009F5BA1"/>
    <w:rsid w:val="00A02A88"/>
    <w:rsid w:val="00A04012"/>
    <w:rsid w:val="00A046FA"/>
    <w:rsid w:val="00A0562E"/>
    <w:rsid w:val="00A0726D"/>
    <w:rsid w:val="00A073AE"/>
    <w:rsid w:val="00A12204"/>
    <w:rsid w:val="00A12750"/>
    <w:rsid w:val="00A13CB0"/>
    <w:rsid w:val="00A1561F"/>
    <w:rsid w:val="00A16544"/>
    <w:rsid w:val="00A218DA"/>
    <w:rsid w:val="00A30BF5"/>
    <w:rsid w:val="00A31BE6"/>
    <w:rsid w:val="00A32FBB"/>
    <w:rsid w:val="00A40068"/>
    <w:rsid w:val="00A40BE9"/>
    <w:rsid w:val="00A428EE"/>
    <w:rsid w:val="00A443C2"/>
    <w:rsid w:val="00A4478A"/>
    <w:rsid w:val="00A44852"/>
    <w:rsid w:val="00A50502"/>
    <w:rsid w:val="00A5087B"/>
    <w:rsid w:val="00A513E1"/>
    <w:rsid w:val="00A53409"/>
    <w:rsid w:val="00A53796"/>
    <w:rsid w:val="00A53848"/>
    <w:rsid w:val="00A56945"/>
    <w:rsid w:val="00A56A6E"/>
    <w:rsid w:val="00A57D04"/>
    <w:rsid w:val="00A60A26"/>
    <w:rsid w:val="00A61598"/>
    <w:rsid w:val="00A61777"/>
    <w:rsid w:val="00A63646"/>
    <w:rsid w:val="00A63914"/>
    <w:rsid w:val="00A84A99"/>
    <w:rsid w:val="00A84F46"/>
    <w:rsid w:val="00A85E87"/>
    <w:rsid w:val="00A86AEA"/>
    <w:rsid w:val="00A871F4"/>
    <w:rsid w:val="00A9431A"/>
    <w:rsid w:val="00A95988"/>
    <w:rsid w:val="00A959DF"/>
    <w:rsid w:val="00A97A1B"/>
    <w:rsid w:val="00AA2927"/>
    <w:rsid w:val="00AB2CB8"/>
    <w:rsid w:val="00AB4617"/>
    <w:rsid w:val="00AB60DE"/>
    <w:rsid w:val="00AC1B2C"/>
    <w:rsid w:val="00AC3264"/>
    <w:rsid w:val="00AC46AD"/>
    <w:rsid w:val="00AC4D2D"/>
    <w:rsid w:val="00AC58EC"/>
    <w:rsid w:val="00AC7282"/>
    <w:rsid w:val="00AC7961"/>
    <w:rsid w:val="00AD314E"/>
    <w:rsid w:val="00AD5FCD"/>
    <w:rsid w:val="00AD6B48"/>
    <w:rsid w:val="00AD7A3A"/>
    <w:rsid w:val="00AE1BF1"/>
    <w:rsid w:val="00AE23AB"/>
    <w:rsid w:val="00AE58FB"/>
    <w:rsid w:val="00AE5AF0"/>
    <w:rsid w:val="00AE663D"/>
    <w:rsid w:val="00AE73B3"/>
    <w:rsid w:val="00AF07E7"/>
    <w:rsid w:val="00AF0DD2"/>
    <w:rsid w:val="00AF31E1"/>
    <w:rsid w:val="00AF3BBA"/>
    <w:rsid w:val="00AF4231"/>
    <w:rsid w:val="00B00B0E"/>
    <w:rsid w:val="00B00B26"/>
    <w:rsid w:val="00B02385"/>
    <w:rsid w:val="00B02F9D"/>
    <w:rsid w:val="00B05766"/>
    <w:rsid w:val="00B13048"/>
    <w:rsid w:val="00B13883"/>
    <w:rsid w:val="00B1716D"/>
    <w:rsid w:val="00B17A1D"/>
    <w:rsid w:val="00B207A0"/>
    <w:rsid w:val="00B21C21"/>
    <w:rsid w:val="00B22F54"/>
    <w:rsid w:val="00B24A7E"/>
    <w:rsid w:val="00B25C0C"/>
    <w:rsid w:val="00B304B5"/>
    <w:rsid w:val="00B308A9"/>
    <w:rsid w:val="00B31047"/>
    <w:rsid w:val="00B33148"/>
    <w:rsid w:val="00B35CDF"/>
    <w:rsid w:val="00B375AF"/>
    <w:rsid w:val="00B403C2"/>
    <w:rsid w:val="00B405A1"/>
    <w:rsid w:val="00B4438A"/>
    <w:rsid w:val="00B45AA2"/>
    <w:rsid w:val="00B479CA"/>
    <w:rsid w:val="00B5084F"/>
    <w:rsid w:val="00B514DD"/>
    <w:rsid w:val="00B52AF0"/>
    <w:rsid w:val="00B53D5F"/>
    <w:rsid w:val="00B54051"/>
    <w:rsid w:val="00B55C5D"/>
    <w:rsid w:val="00B561BD"/>
    <w:rsid w:val="00B56E03"/>
    <w:rsid w:val="00B60F38"/>
    <w:rsid w:val="00B62765"/>
    <w:rsid w:val="00B65DF5"/>
    <w:rsid w:val="00B7679F"/>
    <w:rsid w:val="00B77159"/>
    <w:rsid w:val="00B8080B"/>
    <w:rsid w:val="00B82223"/>
    <w:rsid w:val="00B87BA5"/>
    <w:rsid w:val="00B87C39"/>
    <w:rsid w:val="00B93891"/>
    <w:rsid w:val="00B9562D"/>
    <w:rsid w:val="00BA21DA"/>
    <w:rsid w:val="00BA2B60"/>
    <w:rsid w:val="00BA3C93"/>
    <w:rsid w:val="00BA4665"/>
    <w:rsid w:val="00BA7FD7"/>
    <w:rsid w:val="00BB1681"/>
    <w:rsid w:val="00BB2FB2"/>
    <w:rsid w:val="00BB3304"/>
    <w:rsid w:val="00BB6551"/>
    <w:rsid w:val="00BC2587"/>
    <w:rsid w:val="00BC4A10"/>
    <w:rsid w:val="00BC4D84"/>
    <w:rsid w:val="00BC766F"/>
    <w:rsid w:val="00BD30F4"/>
    <w:rsid w:val="00BD3446"/>
    <w:rsid w:val="00BD59CF"/>
    <w:rsid w:val="00BE1312"/>
    <w:rsid w:val="00BE1F1B"/>
    <w:rsid w:val="00BE3F89"/>
    <w:rsid w:val="00BE47B5"/>
    <w:rsid w:val="00BE5FCE"/>
    <w:rsid w:val="00C0079E"/>
    <w:rsid w:val="00C0572A"/>
    <w:rsid w:val="00C1227C"/>
    <w:rsid w:val="00C13EBD"/>
    <w:rsid w:val="00C1631B"/>
    <w:rsid w:val="00C163AB"/>
    <w:rsid w:val="00C170F0"/>
    <w:rsid w:val="00C25962"/>
    <w:rsid w:val="00C25FA6"/>
    <w:rsid w:val="00C3099D"/>
    <w:rsid w:val="00C33011"/>
    <w:rsid w:val="00C343A2"/>
    <w:rsid w:val="00C362C1"/>
    <w:rsid w:val="00C41950"/>
    <w:rsid w:val="00C42C3B"/>
    <w:rsid w:val="00C46BB6"/>
    <w:rsid w:val="00C51672"/>
    <w:rsid w:val="00C538A9"/>
    <w:rsid w:val="00C53B5A"/>
    <w:rsid w:val="00C53CB4"/>
    <w:rsid w:val="00C53E41"/>
    <w:rsid w:val="00C54909"/>
    <w:rsid w:val="00C54AF3"/>
    <w:rsid w:val="00C54F5A"/>
    <w:rsid w:val="00C569B4"/>
    <w:rsid w:val="00C57DDE"/>
    <w:rsid w:val="00C61468"/>
    <w:rsid w:val="00C61A97"/>
    <w:rsid w:val="00C61E44"/>
    <w:rsid w:val="00C64FF3"/>
    <w:rsid w:val="00C662AD"/>
    <w:rsid w:val="00C666BF"/>
    <w:rsid w:val="00C67A92"/>
    <w:rsid w:val="00C71280"/>
    <w:rsid w:val="00C717BF"/>
    <w:rsid w:val="00C75773"/>
    <w:rsid w:val="00C75E3E"/>
    <w:rsid w:val="00C76178"/>
    <w:rsid w:val="00C84560"/>
    <w:rsid w:val="00C86679"/>
    <w:rsid w:val="00C8792F"/>
    <w:rsid w:val="00C90472"/>
    <w:rsid w:val="00C91D6E"/>
    <w:rsid w:val="00CA489E"/>
    <w:rsid w:val="00CB0279"/>
    <w:rsid w:val="00CB666B"/>
    <w:rsid w:val="00CB734B"/>
    <w:rsid w:val="00CC058C"/>
    <w:rsid w:val="00CC41B6"/>
    <w:rsid w:val="00CC7ADA"/>
    <w:rsid w:val="00CC7F1D"/>
    <w:rsid w:val="00CD0A88"/>
    <w:rsid w:val="00CD125D"/>
    <w:rsid w:val="00CD283C"/>
    <w:rsid w:val="00CD3641"/>
    <w:rsid w:val="00CD66EA"/>
    <w:rsid w:val="00CD7432"/>
    <w:rsid w:val="00CE0FA5"/>
    <w:rsid w:val="00CE2A23"/>
    <w:rsid w:val="00CE31C8"/>
    <w:rsid w:val="00CE3FD8"/>
    <w:rsid w:val="00CE484B"/>
    <w:rsid w:val="00CE7CBA"/>
    <w:rsid w:val="00CF0DEE"/>
    <w:rsid w:val="00CF42AA"/>
    <w:rsid w:val="00CF4D72"/>
    <w:rsid w:val="00CF5EAA"/>
    <w:rsid w:val="00CF6AE3"/>
    <w:rsid w:val="00CF77BB"/>
    <w:rsid w:val="00D006AE"/>
    <w:rsid w:val="00D00905"/>
    <w:rsid w:val="00D010C1"/>
    <w:rsid w:val="00D01CF0"/>
    <w:rsid w:val="00D0442A"/>
    <w:rsid w:val="00D12A7B"/>
    <w:rsid w:val="00D12ADB"/>
    <w:rsid w:val="00D15E63"/>
    <w:rsid w:val="00D25A39"/>
    <w:rsid w:val="00D27AE1"/>
    <w:rsid w:val="00D27CFA"/>
    <w:rsid w:val="00D310FA"/>
    <w:rsid w:val="00D32013"/>
    <w:rsid w:val="00D325C6"/>
    <w:rsid w:val="00D37213"/>
    <w:rsid w:val="00D37F48"/>
    <w:rsid w:val="00D4360D"/>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58CD"/>
    <w:rsid w:val="00D7786B"/>
    <w:rsid w:val="00D80893"/>
    <w:rsid w:val="00D82519"/>
    <w:rsid w:val="00D84854"/>
    <w:rsid w:val="00D924AE"/>
    <w:rsid w:val="00D92CF1"/>
    <w:rsid w:val="00D92D38"/>
    <w:rsid w:val="00D9309B"/>
    <w:rsid w:val="00D950F5"/>
    <w:rsid w:val="00D969F2"/>
    <w:rsid w:val="00D97379"/>
    <w:rsid w:val="00DA2F77"/>
    <w:rsid w:val="00DA4752"/>
    <w:rsid w:val="00DA4C09"/>
    <w:rsid w:val="00DA61F3"/>
    <w:rsid w:val="00DA6D45"/>
    <w:rsid w:val="00DA7CB3"/>
    <w:rsid w:val="00DB0D00"/>
    <w:rsid w:val="00DB0F93"/>
    <w:rsid w:val="00DB1A67"/>
    <w:rsid w:val="00DB3721"/>
    <w:rsid w:val="00DB4E34"/>
    <w:rsid w:val="00DB5074"/>
    <w:rsid w:val="00DB7994"/>
    <w:rsid w:val="00DC0281"/>
    <w:rsid w:val="00DC1930"/>
    <w:rsid w:val="00DC1C76"/>
    <w:rsid w:val="00DC4DBF"/>
    <w:rsid w:val="00DC4E19"/>
    <w:rsid w:val="00DC65FE"/>
    <w:rsid w:val="00DC7981"/>
    <w:rsid w:val="00DD4C07"/>
    <w:rsid w:val="00DD577D"/>
    <w:rsid w:val="00DD5ADC"/>
    <w:rsid w:val="00DE1093"/>
    <w:rsid w:val="00DE4EFA"/>
    <w:rsid w:val="00DE5520"/>
    <w:rsid w:val="00DE563D"/>
    <w:rsid w:val="00DE7AB5"/>
    <w:rsid w:val="00DF0152"/>
    <w:rsid w:val="00DF1958"/>
    <w:rsid w:val="00E027A1"/>
    <w:rsid w:val="00E04818"/>
    <w:rsid w:val="00E06442"/>
    <w:rsid w:val="00E06952"/>
    <w:rsid w:val="00E11E61"/>
    <w:rsid w:val="00E157B2"/>
    <w:rsid w:val="00E16055"/>
    <w:rsid w:val="00E2332D"/>
    <w:rsid w:val="00E23993"/>
    <w:rsid w:val="00E23A03"/>
    <w:rsid w:val="00E2574F"/>
    <w:rsid w:val="00E25951"/>
    <w:rsid w:val="00E25B8C"/>
    <w:rsid w:val="00E30BB4"/>
    <w:rsid w:val="00E31CF6"/>
    <w:rsid w:val="00E34A4A"/>
    <w:rsid w:val="00E35AFC"/>
    <w:rsid w:val="00E41D39"/>
    <w:rsid w:val="00E44852"/>
    <w:rsid w:val="00E50A02"/>
    <w:rsid w:val="00E50DD3"/>
    <w:rsid w:val="00E54106"/>
    <w:rsid w:val="00E54697"/>
    <w:rsid w:val="00E57A08"/>
    <w:rsid w:val="00E63631"/>
    <w:rsid w:val="00E64C2A"/>
    <w:rsid w:val="00E65C85"/>
    <w:rsid w:val="00E66199"/>
    <w:rsid w:val="00E70526"/>
    <w:rsid w:val="00E754B4"/>
    <w:rsid w:val="00E755EC"/>
    <w:rsid w:val="00E7624D"/>
    <w:rsid w:val="00E81724"/>
    <w:rsid w:val="00E819A4"/>
    <w:rsid w:val="00E833FA"/>
    <w:rsid w:val="00E84B74"/>
    <w:rsid w:val="00E87066"/>
    <w:rsid w:val="00E966BF"/>
    <w:rsid w:val="00EA0C04"/>
    <w:rsid w:val="00EA3D42"/>
    <w:rsid w:val="00EA6B1B"/>
    <w:rsid w:val="00EB1CBD"/>
    <w:rsid w:val="00EB37C3"/>
    <w:rsid w:val="00EB3A34"/>
    <w:rsid w:val="00EB3C3F"/>
    <w:rsid w:val="00EB5AB3"/>
    <w:rsid w:val="00EC04F1"/>
    <w:rsid w:val="00EC237F"/>
    <w:rsid w:val="00EC573A"/>
    <w:rsid w:val="00ED35C8"/>
    <w:rsid w:val="00ED3968"/>
    <w:rsid w:val="00ED7323"/>
    <w:rsid w:val="00EE28F3"/>
    <w:rsid w:val="00EE50D1"/>
    <w:rsid w:val="00EE7614"/>
    <w:rsid w:val="00EF5110"/>
    <w:rsid w:val="00EF5890"/>
    <w:rsid w:val="00EF76BA"/>
    <w:rsid w:val="00F02153"/>
    <w:rsid w:val="00F0231A"/>
    <w:rsid w:val="00F03463"/>
    <w:rsid w:val="00F036B7"/>
    <w:rsid w:val="00F0700F"/>
    <w:rsid w:val="00F07F1F"/>
    <w:rsid w:val="00F10411"/>
    <w:rsid w:val="00F10A9A"/>
    <w:rsid w:val="00F11B2D"/>
    <w:rsid w:val="00F121C2"/>
    <w:rsid w:val="00F12798"/>
    <w:rsid w:val="00F1485B"/>
    <w:rsid w:val="00F15882"/>
    <w:rsid w:val="00F170C7"/>
    <w:rsid w:val="00F171E0"/>
    <w:rsid w:val="00F20483"/>
    <w:rsid w:val="00F20BD3"/>
    <w:rsid w:val="00F23E2B"/>
    <w:rsid w:val="00F2722C"/>
    <w:rsid w:val="00F322E9"/>
    <w:rsid w:val="00F3231B"/>
    <w:rsid w:val="00F33808"/>
    <w:rsid w:val="00F373A5"/>
    <w:rsid w:val="00F37864"/>
    <w:rsid w:val="00F4031E"/>
    <w:rsid w:val="00F404F9"/>
    <w:rsid w:val="00F44B0A"/>
    <w:rsid w:val="00F47559"/>
    <w:rsid w:val="00F50B30"/>
    <w:rsid w:val="00F51F5F"/>
    <w:rsid w:val="00F52D75"/>
    <w:rsid w:val="00F55582"/>
    <w:rsid w:val="00F57647"/>
    <w:rsid w:val="00F621E2"/>
    <w:rsid w:val="00F62A14"/>
    <w:rsid w:val="00F644AB"/>
    <w:rsid w:val="00F64C7B"/>
    <w:rsid w:val="00F67102"/>
    <w:rsid w:val="00F676DD"/>
    <w:rsid w:val="00F67AB6"/>
    <w:rsid w:val="00F70028"/>
    <w:rsid w:val="00F70434"/>
    <w:rsid w:val="00F75A26"/>
    <w:rsid w:val="00F76706"/>
    <w:rsid w:val="00F77D6D"/>
    <w:rsid w:val="00F80206"/>
    <w:rsid w:val="00F83034"/>
    <w:rsid w:val="00F83FAD"/>
    <w:rsid w:val="00F844C6"/>
    <w:rsid w:val="00F85E40"/>
    <w:rsid w:val="00F91540"/>
    <w:rsid w:val="00F92FA6"/>
    <w:rsid w:val="00F9350D"/>
    <w:rsid w:val="00F9353B"/>
    <w:rsid w:val="00F937F1"/>
    <w:rsid w:val="00F952A0"/>
    <w:rsid w:val="00FA31B1"/>
    <w:rsid w:val="00FA3320"/>
    <w:rsid w:val="00FA3C7F"/>
    <w:rsid w:val="00FA6246"/>
    <w:rsid w:val="00FB24ED"/>
    <w:rsid w:val="00FB3304"/>
    <w:rsid w:val="00FB5005"/>
    <w:rsid w:val="00FB60FE"/>
    <w:rsid w:val="00FB74E2"/>
    <w:rsid w:val="00FB778B"/>
    <w:rsid w:val="00FD5614"/>
    <w:rsid w:val="00FD5E78"/>
    <w:rsid w:val="00FE0BE1"/>
    <w:rsid w:val="00FE11BB"/>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33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67A3961B</Template>
  <TotalTime>0</TotalTime>
  <Pages>14</Pages>
  <Words>2938</Words>
  <Characters>16751</Characters>
  <Application>Microsoft Office Word</Application>
  <DocSecurity>0</DocSecurity>
  <Lines>139</Lines>
  <Paragraphs>39</Paragraphs>
  <ScaleCrop>false</ScaleCrop>
  <LinksUpToDate>false</LinksUpToDate>
  <CharactersWithSpaces>19650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2016-05-20T08:32:00Z</dcterms:created>
  <dcterms:modified xsi:type="dcterms:W3CDTF">2016-05-20T08:32:00Z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8589633</vt:lpwstr>
  </property>
</Properties>
</file>